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cs="Times New Roman"/>
        </w:rPr>
      </w:pPr>
      <w:r>
        <w:pict>
          <v:shape id="图片 1" o:spid="_x0000_s1027" o:spt="75" alt="封面.jpg" type="#_x0000_t75" style="position:absolute;left:0pt;margin-left:-85.25pt;margin-top:-73.9pt;height:842.25pt;width:601.95pt;z-index:-251658240;mso-width-relative:page;mso-height-relative:page;" filled="f" o:preferrelative="t" stroked="f" coordsize="21600,21600">
            <v:path/>
            <v:fill on="f" focussize="0,0"/>
            <v:stroke on="f" joinstyle="miter"/>
            <v:imagedata r:id="rId6" o:title=""/>
            <o:lock v:ext="edit" aspectratio="t"/>
          </v:shape>
        </w:pict>
      </w:r>
    </w:p>
    <w:p>
      <w:pPr>
        <w:pStyle w:val="40"/>
        <w:tabs>
          <w:tab w:val="center" w:pos="4153"/>
          <w:tab w:val="left" w:pos="5910"/>
          <w:tab w:val="left" w:pos="7501"/>
        </w:tabs>
        <w:spacing w:line="400" w:lineRule="exact"/>
        <w:rPr>
          <w:rFonts w:hint="eastAsia" w:ascii="宋体" w:hAnsi="宋体" w:cs="宋体"/>
          <w:b/>
          <w:bCs/>
          <w:color w:val="000000"/>
          <w:sz w:val="28"/>
          <w:szCs w:val="28"/>
          <w:lang w:eastAsia="zh-CN"/>
        </w:rPr>
      </w:pPr>
      <w:r>
        <w:rPr>
          <w:lang w:eastAsia="zh-CN"/>
        </w:rPr>
        <w:pict>
          <v:shape id="_x0000_s1028" o:spid="_x0000_s1028" o:spt="202" type="#_x0000_t202" style="position:absolute;left:0pt;margin-left:175.45pt;margin-top:490.7pt;height:54.1pt;width:134.3pt;z-index:251659264;mso-width-relative:page;mso-height-relative:page;" filled="f" stroked="f" coordsize="21600,21600">
            <v:path/>
            <v:fill on="f" focussize="0,0"/>
            <v:stroke on="f" joinstyle="miter"/>
            <v:imagedata o:title=""/>
            <o:lock v:ext="edit"/>
            <v:textbox>
              <w:txbxContent>
                <w:p>
                  <w:pPr>
                    <w:pStyle w:val="2"/>
                    <w:rPr>
                      <w:rFonts w:hint="default" w:eastAsia="黑体" w:cs="Times New Roman"/>
                      <w:kern w:val="2"/>
                      <w:lang w:val="en-US" w:eastAsia="zh-CN"/>
                    </w:rPr>
                  </w:pPr>
                  <w:bookmarkStart w:id="23" w:name="_Toc485828984"/>
                  <w:bookmarkStart w:id="24" w:name="_Toc525913129"/>
                  <w:bookmarkStart w:id="25" w:name="_Toc507769000"/>
                  <w:bookmarkStart w:id="26" w:name="_Toc527035872"/>
                  <w:bookmarkStart w:id="27" w:name="_Toc504057445"/>
                  <w:bookmarkStart w:id="28" w:name="_Toc504140101"/>
                  <w:bookmarkStart w:id="29" w:name="_Toc528936986"/>
                  <w:bookmarkStart w:id="30" w:name="_Toc528913994"/>
                  <w:bookmarkStart w:id="31" w:name="_Toc512521225"/>
                  <w:bookmarkStart w:id="32" w:name="_Toc528222492"/>
                  <w:bookmarkStart w:id="33" w:name="_Toc530728485"/>
                  <w:bookmarkStart w:id="34" w:name="_Toc512001762"/>
                  <w:bookmarkStart w:id="35" w:name="_Toc527640818"/>
                  <w:bookmarkStart w:id="36" w:name="_Toc529541800"/>
                  <w:bookmarkStart w:id="37" w:name="_Toc520366056"/>
                  <w:bookmarkStart w:id="38" w:name="_Toc531358358"/>
                  <w:bookmarkStart w:id="39" w:name="_Toc527728174"/>
                  <w:bookmarkStart w:id="40" w:name="_Toc513728611"/>
                  <w:bookmarkStart w:id="41" w:name="_Toc513728505"/>
                  <w:bookmarkStart w:id="42" w:name="_Toc529455508"/>
                  <w:bookmarkStart w:id="43" w:name="_Toc516819989"/>
                  <w:bookmarkStart w:id="44" w:name="_Toc511397199"/>
                  <w:bookmarkStart w:id="45" w:name="_Toc508369676"/>
                  <w:bookmarkStart w:id="46" w:name="_Toc511290048"/>
                  <w:bookmarkStart w:id="47" w:name="_Toc512520694"/>
                  <w:bookmarkStart w:id="48" w:name="_Toc521051959"/>
                  <w:bookmarkStart w:id="49" w:name="_Toc505347182"/>
                  <w:bookmarkStart w:id="50" w:name="_Toc520452528"/>
                  <w:bookmarkStart w:id="51" w:name="_Toc533083465"/>
                  <w:bookmarkStart w:id="52" w:name="_Toc511375612"/>
                  <w:bookmarkStart w:id="53" w:name="_Toc533777202"/>
                  <w:bookmarkStart w:id="54" w:name="_Toc527037029"/>
                  <w:bookmarkStart w:id="55" w:name="_Toc524704217"/>
                  <w:bookmarkStart w:id="56" w:name="_Toc513123883"/>
                  <w:bookmarkStart w:id="57" w:name="_Toc534383436"/>
                  <w:bookmarkStart w:id="58" w:name="_Toc507665368"/>
                  <w:bookmarkStart w:id="59" w:name="_Toc517448405"/>
                  <w:bookmarkStart w:id="60" w:name="_Toc533168359"/>
                  <w:bookmarkStart w:id="61" w:name="_Toc518051249"/>
                  <w:bookmarkStart w:id="62" w:name="_Toc513211123"/>
                  <w:bookmarkStart w:id="63" w:name="_Toc508267081"/>
                  <w:bookmarkStart w:id="64" w:name="_Toc518650435"/>
                  <w:bookmarkStart w:id="65" w:name="_Toc518548545"/>
                  <w:bookmarkStart w:id="66" w:name="_Toc510190825"/>
                  <w:bookmarkStart w:id="67" w:name="_Toc519258206"/>
                  <w:bookmarkStart w:id="68" w:name="_Toc531854138"/>
                  <w:bookmarkStart w:id="69" w:name="_Toc517965461"/>
                  <w:bookmarkStart w:id="70" w:name="_Toc510166278"/>
                  <w:bookmarkStart w:id="71" w:name="_Toc519865236"/>
                  <w:bookmarkStart w:id="72" w:name="_Toc515027608"/>
                  <w:bookmarkStart w:id="73" w:name="_Toc519842315"/>
                  <w:bookmarkStart w:id="74" w:name="_Toc509582478"/>
                  <w:bookmarkStart w:id="75" w:name="_Toc504123327"/>
                  <w:bookmarkStart w:id="76" w:name="_Toc513118842"/>
                  <w:bookmarkStart w:id="77" w:name="_Toc511898980"/>
                  <w:bookmarkStart w:id="78" w:name="_Toc520381693"/>
                  <w:bookmarkStart w:id="79" w:name="_Toc527123553"/>
                  <w:bookmarkStart w:id="80" w:name="_Toc530057359"/>
                  <w:bookmarkStart w:id="81" w:name="_Toc524334722"/>
                  <w:bookmarkStart w:id="82" w:name="_Toc510190043"/>
                  <w:bookmarkStart w:id="83" w:name="_Toc531943255"/>
                  <w:bookmarkStart w:id="84" w:name="_Toc525309223"/>
                  <w:bookmarkStart w:id="85" w:name="_Toc523381108"/>
                  <w:bookmarkStart w:id="86" w:name="_Toc530751847"/>
                  <w:bookmarkStart w:id="87" w:name="_Toc514329181"/>
                  <w:bookmarkStart w:id="88" w:name="_Toc523494890"/>
                  <w:bookmarkStart w:id="89" w:name="_Toc533167784"/>
                  <w:bookmarkStart w:id="90" w:name="_Toc533674480"/>
                  <w:bookmarkStart w:id="91" w:name="_Toc521679472"/>
                  <w:bookmarkStart w:id="92" w:name="_Toc513816736"/>
                  <w:bookmarkStart w:id="93" w:name="_Toc521075423"/>
                  <w:bookmarkStart w:id="94" w:name="_Toc515633934"/>
                  <w:bookmarkStart w:id="95" w:name="_Toc505261402"/>
                  <w:bookmarkStart w:id="96" w:name="_Toc508975637"/>
                  <w:bookmarkStart w:id="97" w:name="_Toc518651973"/>
                  <w:bookmarkStart w:id="98" w:name="_Toc508960595"/>
                  <w:bookmarkStart w:id="99" w:name="_Toc522179796"/>
                  <w:bookmarkStart w:id="100" w:name="_Toc515611913"/>
                  <w:bookmarkStart w:id="101" w:name="_Toc532566849"/>
                  <w:bookmarkStart w:id="102" w:name="_Toc531271720"/>
                  <w:bookmarkStart w:id="103" w:name="_Toc512606000"/>
                  <w:bookmarkStart w:id="104" w:name="_Toc504651767"/>
                  <w:bookmarkStart w:id="105" w:name="_Toc514422624"/>
                  <w:bookmarkStart w:id="106" w:name="_Toc522285450"/>
                  <w:bookmarkStart w:id="107" w:name="_Toc521053860"/>
                  <w:bookmarkStart w:id="108" w:name="_Toc522890290"/>
                  <w:bookmarkStart w:id="109" w:name="_Toc505947794"/>
                  <w:bookmarkStart w:id="110" w:name="_Toc515612471"/>
                  <w:bookmarkStart w:id="111" w:name="_Toc523991798"/>
                  <w:bookmarkStart w:id="112" w:name="_Toc530147840"/>
                  <w:bookmarkStart w:id="113" w:name="_Toc504744209"/>
                  <w:bookmarkStart w:id="114" w:name="_Toc519147013"/>
                  <w:bookmarkStart w:id="115" w:name="_Toc516841874"/>
                  <w:bookmarkStart w:id="116" w:name="_Toc1132017"/>
                  <w:bookmarkStart w:id="117" w:name="_Toc528332594"/>
                  <w:bookmarkStart w:id="118" w:name="_Toc517427833"/>
                  <w:bookmarkStart w:id="119" w:name="_Toc516237036"/>
                  <w:bookmarkStart w:id="120" w:name="_Toc530149342"/>
                  <w:bookmarkStart w:id="121" w:name="_Toc514921969"/>
                  <w:bookmarkStart w:id="122" w:name="_Toc509574325"/>
                  <w:bookmarkStart w:id="123" w:name="_Toc521586415"/>
                  <w:r>
                    <w:rPr>
                      <w:kern w:val="2"/>
                    </w:rPr>
                    <w:t>2019.</w:t>
                  </w:r>
                  <w:r>
                    <w:rPr>
                      <w:rFonts w:hint="eastAsia"/>
                      <w:kern w:val="2"/>
                      <w:lang w:val="en-US" w:eastAsia="zh-CN"/>
                    </w:rPr>
                    <w:t>4</w:t>
                  </w:r>
                  <w:r>
                    <w:rPr>
                      <w:kern w:val="2"/>
                    </w:rPr>
                    <w:t>.</w:t>
                  </w:r>
                  <w:bookmarkEnd w:id="23"/>
                  <w:r>
                    <w:rPr>
                      <w:rFonts w:hint="eastAsia"/>
                      <w:kern w:val="2"/>
                      <w:lang w:val="en-US" w:eastAsia="zh-CN"/>
                    </w:rPr>
                    <w:t>17</w:t>
                  </w:r>
                  <w:r>
                    <w:rPr>
                      <w:kern w:val="2"/>
                    </w:rPr>
                    <w:t>-</w:t>
                  </w:r>
                  <w:r>
                    <w:rPr>
                      <w:rFonts w:hint="eastAsia"/>
                      <w:kern w:val="2"/>
                      <w:lang w:val="en-US" w:eastAsia="zh-CN"/>
                    </w:rPr>
                    <w:t>4</w:t>
                  </w:r>
                  <w:r>
                    <w:rPr>
                      <w:kern w:val="2"/>
                    </w:rPr>
                    <w:t>.</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Pr>
                      <w:rFonts w:hint="eastAsia"/>
                      <w:kern w:val="2"/>
                      <w:lang w:val="en-US" w:eastAsia="zh-CN"/>
                    </w:rPr>
                    <w:t>19</w:t>
                  </w:r>
                </w:p>
                <w:p>
                  <w:pPr>
                    <w:rPr>
                      <w:rFonts w:cs="Times New Roman"/>
                    </w:rPr>
                  </w:pPr>
                </w:p>
              </w:txbxContent>
            </v:textbox>
          </v:shape>
        </w:pict>
      </w:r>
      <w:r>
        <w:rPr>
          <w:lang w:eastAsia="zh-CN"/>
        </w:rPr>
        <w:pict>
          <v:shape id="_x0000_s1029" o:spid="_x0000_s1029" o:spt="202" type="#_x0000_t202" style="position:absolute;left:0pt;margin-left:36.75pt;margin-top:580.6pt;height:112.15pt;width:414pt;z-index:251660288;mso-width-relative:page;mso-height-relative:page;" filled="f" stroked="f" coordsize="21600,21600">
            <v:path/>
            <v:fill on="f" focussize="0,0"/>
            <v:stroke on="f" joinstyle="miter"/>
            <v:imagedata o:title=""/>
            <o:lock v:ext="edit"/>
            <v:textbox>
              <w:txbxContent>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责任编辑：朱海燕</w:t>
                  </w:r>
                  <w:r>
                    <w:rPr>
                      <w:rFonts w:ascii="黑体" w:hAnsi="宋体" w:eastAsia="黑体" w:cs="黑体"/>
                      <w:kern w:val="2"/>
                      <w:sz w:val="24"/>
                      <w:szCs w:val="24"/>
                      <w:lang w:eastAsia="zh-CN"/>
                    </w:rPr>
                    <w:t>/</w:t>
                  </w:r>
                  <w:r>
                    <w:rPr>
                      <w:rFonts w:hint="eastAsia" w:ascii="黑体" w:hAnsi="宋体" w:eastAsia="黑体" w:cs="黑体"/>
                      <w:kern w:val="2"/>
                      <w:sz w:val="24"/>
                      <w:szCs w:val="24"/>
                      <w:lang w:eastAsia="zh-CN"/>
                    </w:rPr>
                    <w:t>于亚楠</w:t>
                  </w:r>
                </w:p>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电话：</w:t>
                  </w:r>
                  <w:r>
                    <w:rPr>
                      <w:rFonts w:ascii="黑体" w:hAnsi="宋体" w:eastAsia="黑体" w:cs="黑体"/>
                      <w:kern w:val="2"/>
                      <w:sz w:val="24"/>
                      <w:szCs w:val="24"/>
                      <w:lang w:eastAsia="zh-CN"/>
                    </w:rPr>
                    <w:t>86-10-18513790749</w:t>
                  </w:r>
                </w:p>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传真：</w:t>
                  </w:r>
                  <w:r>
                    <w:rPr>
                      <w:rFonts w:ascii="黑体" w:hAnsi="宋体" w:eastAsia="黑体" w:cs="黑体"/>
                      <w:kern w:val="2"/>
                      <w:sz w:val="24"/>
                      <w:szCs w:val="24"/>
                      <w:lang w:eastAsia="zh-CN"/>
                    </w:rPr>
                    <w:t>86-010-</w:t>
                  </w:r>
                  <w:r>
                    <w:rPr>
                      <w:rFonts w:ascii="黑体" w:hAnsi="Arial" w:eastAsia="黑体" w:cs="黑体"/>
                      <w:color w:val="333333"/>
                      <w:sz w:val="24"/>
                      <w:szCs w:val="24"/>
                      <w:lang w:eastAsia="zh-CN"/>
                    </w:rPr>
                    <w:t>85725399</w:t>
                  </w:r>
                </w:p>
                <w:p>
                  <w:pPr>
                    <w:pStyle w:val="40"/>
                    <w:rPr>
                      <w:rFonts w:ascii="黑体" w:hAnsi="宋体" w:eastAsia="黑体" w:cs="黑体"/>
                      <w:kern w:val="2"/>
                      <w:sz w:val="24"/>
                      <w:szCs w:val="24"/>
                      <w:lang w:eastAsia="zh-CN"/>
                    </w:rPr>
                  </w:pPr>
                  <w:r>
                    <w:rPr>
                      <w:rFonts w:hint="eastAsia" w:ascii="黑体" w:hAnsi="宋体" w:eastAsia="黑体" w:cs="黑体"/>
                      <w:kern w:val="2"/>
                      <w:sz w:val="24"/>
                      <w:szCs w:val="24"/>
                      <w:lang w:eastAsia="zh-CN"/>
                    </w:rPr>
                    <w:t>编辑邮箱：</w:t>
                  </w:r>
                  <w:r>
                    <w:rPr>
                      <w:rFonts w:ascii="黑体" w:hAnsi="宋体" w:eastAsia="黑体" w:cs="黑体"/>
                      <w:kern w:val="2"/>
                      <w:sz w:val="24"/>
                      <w:szCs w:val="24"/>
                      <w:lang w:eastAsia="zh-CN"/>
                    </w:rPr>
                    <w:t>zhuhy@chinaccm.com</w:t>
                  </w:r>
                </w:p>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地址：</w:t>
                  </w:r>
                  <w:r>
                    <w:rPr>
                      <w:rFonts w:hint="eastAsia" w:ascii="黑体" w:eastAsia="黑体" w:cs="黑体"/>
                      <w:sz w:val="24"/>
                      <w:szCs w:val="24"/>
                      <w:lang w:eastAsia="zh-CN"/>
                    </w:rPr>
                    <w:t>北京市朝阳区高碑店东区</w:t>
                  </w:r>
                  <w:r>
                    <w:rPr>
                      <w:rFonts w:ascii="黑体" w:eastAsia="黑体" w:cs="黑体"/>
                      <w:sz w:val="24"/>
                      <w:szCs w:val="24"/>
                      <w:lang w:eastAsia="zh-CN"/>
                    </w:rPr>
                    <w:t>B</w:t>
                  </w:r>
                  <w:r>
                    <w:rPr>
                      <w:rFonts w:hint="eastAsia" w:ascii="黑体" w:eastAsia="黑体" w:cs="黑体"/>
                      <w:sz w:val="24"/>
                      <w:szCs w:val="24"/>
                      <w:lang w:eastAsia="zh-CN"/>
                    </w:rPr>
                    <w:t>区</w:t>
                  </w:r>
                  <w:r>
                    <w:rPr>
                      <w:rFonts w:ascii="黑体" w:eastAsia="黑体" w:cs="黑体"/>
                      <w:sz w:val="24"/>
                      <w:szCs w:val="24"/>
                      <w:lang w:eastAsia="zh-CN"/>
                    </w:rPr>
                    <w:t>8-1</w:t>
                  </w:r>
                  <w:r>
                    <w:rPr>
                      <w:rFonts w:hint="eastAsia" w:ascii="黑体" w:hAnsi="宋体" w:eastAsia="黑体" w:cs="黑体"/>
                      <w:kern w:val="2"/>
                      <w:sz w:val="24"/>
                      <w:szCs w:val="24"/>
                      <w:lang w:eastAsia="zh-CN"/>
                    </w:rPr>
                    <w:t>（邮编：</w:t>
                  </w:r>
                  <w:r>
                    <w:rPr>
                      <w:rFonts w:ascii="黑体" w:hAnsi="宋体" w:eastAsia="黑体" w:cs="黑体"/>
                      <w:kern w:val="2"/>
                      <w:sz w:val="24"/>
                      <w:szCs w:val="24"/>
                      <w:lang w:eastAsia="zh-CN"/>
                    </w:rPr>
                    <w:t>100022</w:t>
                  </w:r>
                  <w:r>
                    <w:rPr>
                      <w:rFonts w:hint="eastAsia" w:ascii="黑体" w:hAnsi="宋体" w:eastAsia="黑体" w:cs="黑体"/>
                      <w:kern w:val="2"/>
                      <w:sz w:val="24"/>
                      <w:szCs w:val="24"/>
                      <w:lang w:eastAsia="zh-CN"/>
                    </w:rPr>
                    <w:t>）</w:t>
                  </w:r>
                </w:p>
                <w:p>
                  <w:pPr>
                    <w:jc w:val="left"/>
                    <w:rPr>
                      <w:rFonts w:cs="Times New Roman"/>
                    </w:rPr>
                  </w:pPr>
                </w:p>
              </w:txbxContent>
            </v:textbox>
          </v:shape>
        </w:pict>
      </w:r>
      <w:r>
        <w:rPr>
          <w:rFonts w:cs="Times New Roman"/>
        </w:rPr>
        <w:br w:type="page"/>
      </w:r>
      <w:r>
        <w:rPr>
          <w:rFonts w:hint="eastAsia" w:ascii="宋体" w:hAnsi="宋体" w:cs="宋体"/>
          <w:b/>
          <w:bCs/>
          <w:color w:val="000000"/>
          <w:sz w:val="28"/>
          <w:szCs w:val="28"/>
          <w:lang w:eastAsia="zh-CN"/>
        </w:rPr>
        <w:t>小金属周报目录</w:t>
      </w:r>
      <w:bookmarkStart w:id="0" w:name="_Toc485828985"/>
      <w:bookmarkStart w:id="1" w:name="_Toc486002518"/>
    </w:p>
    <w:p>
      <w:pPr>
        <w:pStyle w:val="15"/>
        <w:rPr>
          <w:rFonts w:hint="eastAsia" w:ascii="宋体" w:hAnsi="宋体" w:cs="宋体"/>
          <w:b/>
          <w:bCs/>
          <w:color w:val="000000"/>
          <w:sz w:val="28"/>
          <w:szCs w:val="28"/>
          <w:lang w:eastAsia="zh-CN"/>
        </w:rPr>
      </w:pPr>
      <w:r>
        <w:fldChar w:fldCharType="begin"/>
      </w:r>
      <w:r>
        <w:instrText xml:space="preserve"> HYPERLINK "file:///C:\\Users\\Administrator\\Desktop\\周报\\2019年2月第二周小金属周刊.docx" \l "_Toc1132017" </w:instrText>
      </w:r>
      <w:r>
        <w:fldChar w:fldCharType="separate"/>
      </w:r>
      <w:r>
        <w:rPr>
          <w:rFonts w:hint="eastAsia" w:cs="黑体"/>
        </w:rPr>
        <w:t>2019.</w:t>
      </w:r>
      <w:r>
        <w:rPr>
          <w:rFonts w:hint="eastAsia" w:cs="黑体"/>
          <w:lang w:val="en-US" w:eastAsia="zh-CN"/>
        </w:rPr>
        <w:t>4</w:t>
      </w:r>
      <w:r>
        <w:rPr>
          <w:rFonts w:hint="eastAsia" w:cs="黑体"/>
        </w:rPr>
        <w:t>.</w:t>
      </w:r>
      <w:r>
        <w:rPr>
          <w:rFonts w:hint="eastAsia" w:cs="黑体"/>
          <w:lang w:val="en-US" w:eastAsia="zh-CN"/>
        </w:rPr>
        <w:t>17</w:t>
      </w:r>
      <w:r>
        <w:rPr>
          <w:rFonts w:hint="eastAsia" w:cs="黑体"/>
        </w:rPr>
        <w:t>-</w:t>
      </w:r>
      <w:r>
        <w:rPr>
          <w:rFonts w:hint="eastAsia" w:cs="黑体"/>
          <w:lang w:val="en-US" w:eastAsia="zh-CN"/>
        </w:rPr>
        <w:t>4</w:t>
      </w:r>
      <w:r>
        <w:rPr>
          <w:rFonts w:hint="eastAsia" w:cs="黑体"/>
        </w:rPr>
        <w:t>.</w:t>
      </w:r>
      <w:r>
        <w:rPr>
          <w:rFonts w:hint="eastAsia" w:cs="黑体"/>
          <w:lang w:val="en-US" w:eastAsia="zh-CN"/>
        </w:rPr>
        <w:t>19</w:t>
      </w:r>
      <w:r>
        <w:rPr>
          <w:rFonts w:cs="Times New Roman"/>
        </w:rPr>
        <w:tab/>
      </w:r>
      <w:r>
        <w:fldChar w:fldCharType="begin"/>
      </w:r>
      <w:r>
        <w:instrText xml:space="preserve"> PAGEREF _Toc1132017 \h </w:instrText>
      </w:r>
      <w:r>
        <w:fldChar w:fldCharType="separate"/>
      </w:r>
      <w:r>
        <w:t>1</w:t>
      </w:r>
      <w:r>
        <w:fldChar w:fldCharType="end"/>
      </w:r>
      <w:r>
        <w:fldChar w:fldCharType="end"/>
      </w:r>
    </w:p>
    <w:p>
      <w:pPr>
        <w:pStyle w:val="15"/>
        <w:tabs>
          <w:tab w:val="right" w:leader="dot" w:pos="8504"/>
          <w:tab w:val="clear" w:pos="9170"/>
        </w:tabs>
      </w:pPr>
      <w:r>
        <w:fldChar w:fldCharType="begin"/>
      </w:r>
      <w:r>
        <w:instrText xml:space="preserve"> TOC \o "1-3" \h \z \u </w:instrText>
      </w:r>
      <w:r>
        <w:fldChar w:fldCharType="separate"/>
      </w:r>
      <w:r>
        <w:fldChar w:fldCharType="begin"/>
      </w:r>
      <w:r>
        <w:instrText xml:space="preserve"> HYPERLINK \l _Toc6005 </w:instrText>
      </w:r>
      <w:r>
        <w:fldChar w:fldCharType="separate"/>
      </w:r>
      <w:r>
        <w:rPr>
          <w:rFonts w:hint="eastAsia" w:cs="黑体"/>
        </w:rPr>
        <w:t>　　一、小金属一周评述</w:t>
      </w:r>
      <w:r>
        <w:tab/>
      </w:r>
      <w:r>
        <w:fldChar w:fldCharType="begin"/>
      </w:r>
      <w:r>
        <w:instrText xml:space="preserve"> PAGEREF _Toc6005 </w:instrText>
      </w:r>
      <w:r>
        <w:fldChar w:fldCharType="separate"/>
      </w:r>
      <w:r>
        <w:t>3</w:t>
      </w:r>
      <w:r>
        <w:fldChar w:fldCharType="end"/>
      </w:r>
      <w:r>
        <w:fldChar w:fldCharType="end"/>
      </w:r>
    </w:p>
    <w:p>
      <w:pPr>
        <w:pStyle w:val="9"/>
        <w:tabs>
          <w:tab w:val="right" w:leader="dot" w:pos="8504"/>
          <w:tab w:val="clear" w:pos="8494"/>
        </w:tabs>
      </w:pPr>
      <w:r>
        <w:fldChar w:fldCharType="begin"/>
      </w:r>
      <w:r>
        <w:instrText xml:space="preserve"> HYPERLINK \l _Toc8305 </w:instrText>
      </w:r>
      <w:r>
        <w:fldChar w:fldCharType="separate"/>
      </w:r>
      <w:r>
        <w:rPr>
          <w:rFonts w:hint="eastAsia"/>
          <w:kern w:val="0"/>
          <w:lang w:val="en-US" w:eastAsia="zh-CN"/>
        </w:rPr>
        <w:t>1、硒评论：锰价上调 硒市弱势运行价</w:t>
      </w:r>
      <w:r>
        <w:tab/>
      </w:r>
      <w:r>
        <w:fldChar w:fldCharType="begin"/>
      </w:r>
      <w:r>
        <w:instrText xml:space="preserve"> PAGEREF _Toc8305 </w:instrText>
      </w:r>
      <w:r>
        <w:fldChar w:fldCharType="separate"/>
      </w:r>
      <w:r>
        <w:t>3</w:t>
      </w:r>
      <w:r>
        <w:fldChar w:fldCharType="end"/>
      </w:r>
      <w:r>
        <w:fldChar w:fldCharType="end"/>
      </w:r>
    </w:p>
    <w:p>
      <w:pPr>
        <w:pStyle w:val="9"/>
        <w:tabs>
          <w:tab w:val="right" w:leader="dot" w:pos="8504"/>
          <w:tab w:val="clear" w:pos="8494"/>
        </w:tabs>
      </w:pPr>
      <w:r>
        <w:fldChar w:fldCharType="begin"/>
      </w:r>
      <w:r>
        <w:instrText xml:space="preserve"> HYPERLINK \l _Toc13973 </w:instrText>
      </w:r>
      <w:r>
        <w:fldChar w:fldCharType="separate"/>
      </w:r>
      <w:r>
        <w:rPr>
          <w:rFonts w:hint="eastAsia"/>
          <w:kern w:val="0"/>
          <w:lang w:val="en-US" w:eastAsia="zh-CN"/>
        </w:rPr>
        <w:t> 2、铋评论：</w:t>
      </w:r>
      <w:r>
        <w:rPr>
          <w:rFonts w:hint="eastAsia" w:ascii="Calibri" w:hAnsi="Calibri" w:eastAsia="宋体" w:cs="Calibri"/>
          <w:b/>
          <w:bCs/>
          <w:kern w:val="0"/>
          <w:sz w:val="32"/>
          <w:szCs w:val="32"/>
          <w:lang w:val="en-US" w:eastAsia="zh-CN" w:bidi="ar-SA"/>
        </w:rPr>
        <w:t>铋锭弱势运行 价格下调</w:t>
      </w:r>
      <w:r>
        <w:tab/>
      </w:r>
      <w:r>
        <w:fldChar w:fldCharType="begin"/>
      </w:r>
      <w:r>
        <w:instrText xml:space="preserve"> PAGEREF _Toc13973 </w:instrText>
      </w:r>
      <w:r>
        <w:fldChar w:fldCharType="separate"/>
      </w:r>
      <w:r>
        <w:t>3</w:t>
      </w:r>
      <w:r>
        <w:fldChar w:fldCharType="end"/>
      </w:r>
      <w:r>
        <w:fldChar w:fldCharType="end"/>
      </w:r>
    </w:p>
    <w:p>
      <w:pPr>
        <w:pStyle w:val="9"/>
        <w:tabs>
          <w:tab w:val="right" w:leader="dot" w:pos="8504"/>
          <w:tab w:val="clear" w:pos="8494"/>
        </w:tabs>
      </w:pPr>
      <w:r>
        <w:fldChar w:fldCharType="begin"/>
      </w:r>
      <w:r>
        <w:instrText xml:space="preserve"> HYPERLINK \l _Toc21967 </w:instrText>
      </w:r>
      <w:r>
        <w:fldChar w:fldCharType="separate"/>
      </w:r>
      <w:r>
        <w:rPr>
          <w:kern w:val="0"/>
        </w:rPr>
        <w:t>3</w:t>
      </w:r>
      <w:r>
        <w:rPr>
          <w:rFonts w:hint="eastAsia"/>
          <w:kern w:val="0"/>
        </w:rPr>
        <w:t>、铟评论</w:t>
      </w:r>
      <w:r>
        <w:rPr>
          <w:kern w:val="0"/>
        </w:rPr>
        <w:t xml:space="preserve">: </w:t>
      </w:r>
      <w:r>
        <w:rPr>
          <w:rFonts w:hint="eastAsia"/>
          <w:kern w:val="0"/>
        </w:rPr>
        <w:t>铟市成交稀少 弱稳运行</w:t>
      </w:r>
      <w:r>
        <w:tab/>
      </w:r>
      <w:r>
        <w:fldChar w:fldCharType="begin"/>
      </w:r>
      <w:r>
        <w:instrText xml:space="preserve"> PAGEREF _Toc21967 </w:instrText>
      </w:r>
      <w:r>
        <w:fldChar w:fldCharType="separate"/>
      </w:r>
      <w:r>
        <w:t>4</w:t>
      </w:r>
      <w:r>
        <w:fldChar w:fldCharType="end"/>
      </w:r>
      <w:r>
        <w:fldChar w:fldCharType="end"/>
      </w:r>
    </w:p>
    <w:p>
      <w:pPr>
        <w:pStyle w:val="9"/>
        <w:tabs>
          <w:tab w:val="right" w:leader="dot" w:pos="8504"/>
          <w:tab w:val="clear" w:pos="8494"/>
        </w:tabs>
      </w:pPr>
      <w:r>
        <w:fldChar w:fldCharType="begin"/>
      </w:r>
      <w:r>
        <w:instrText xml:space="preserve"> HYPERLINK \l _Toc13406 </w:instrText>
      </w:r>
      <w:r>
        <w:fldChar w:fldCharType="separate"/>
      </w:r>
      <w:r>
        <w:rPr>
          <w:kern w:val="0"/>
        </w:rPr>
        <w:t>4</w:t>
      </w:r>
      <w:r>
        <w:rPr>
          <w:rFonts w:hint="eastAsia" w:cs="宋体"/>
          <w:kern w:val="0"/>
        </w:rPr>
        <w:t>、碲评论：碲锭价格下降 成交稀少</w:t>
      </w:r>
      <w:r>
        <w:tab/>
      </w:r>
      <w:r>
        <w:fldChar w:fldCharType="begin"/>
      </w:r>
      <w:r>
        <w:instrText xml:space="preserve"> PAGEREF _Toc13406 </w:instrText>
      </w:r>
      <w:r>
        <w:fldChar w:fldCharType="separate"/>
      </w:r>
      <w:r>
        <w:t>5</w:t>
      </w:r>
      <w:r>
        <w:fldChar w:fldCharType="end"/>
      </w:r>
      <w:r>
        <w:fldChar w:fldCharType="end"/>
      </w:r>
    </w:p>
    <w:p>
      <w:pPr>
        <w:pStyle w:val="15"/>
        <w:tabs>
          <w:tab w:val="right" w:leader="dot" w:pos="8504"/>
          <w:tab w:val="clear" w:pos="9170"/>
        </w:tabs>
      </w:pPr>
      <w:r>
        <w:fldChar w:fldCharType="begin"/>
      </w:r>
      <w:r>
        <w:instrText xml:space="preserve"> HYPERLINK \l _Toc108 </w:instrText>
      </w:r>
      <w:r>
        <w:fldChar w:fldCharType="separate"/>
      </w:r>
      <w:r>
        <w:rPr>
          <w:rFonts w:hint="eastAsia" w:cs="黑体"/>
        </w:rPr>
        <w:t>二、价格行情</w:t>
      </w:r>
      <w:r>
        <w:tab/>
      </w:r>
      <w:r>
        <w:fldChar w:fldCharType="begin"/>
      </w:r>
      <w:r>
        <w:instrText xml:space="preserve"> PAGEREF _Toc108 </w:instrText>
      </w:r>
      <w:r>
        <w:fldChar w:fldCharType="separate"/>
      </w:r>
      <w:r>
        <w:t>5</w:t>
      </w:r>
      <w:r>
        <w:fldChar w:fldCharType="end"/>
      </w:r>
      <w:r>
        <w:fldChar w:fldCharType="end"/>
      </w:r>
    </w:p>
    <w:p>
      <w:pPr>
        <w:pStyle w:val="9"/>
        <w:tabs>
          <w:tab w:val="right" w:leader="dot" w:pos="8504"/>
          <w:tab w:val="clear" w:pos="8494"/>
        </w:tabs>
      </w:pPr>
      <w:r>
        <w:fldChar w:fldCharType="begin"/>
      </w:r>
      <w:r>
        <w:instrText xml:space="preserve"> HYPERLINK \l _Toc20417 </w:instrText>
      </w:r>
      <w:r>
        <w:fldChar w:fldCharType="separate"/>
      </w:r>
      <w:r>
        <w:rPr>
          <w:kern w:val="0"/>
        </w:rPr>
        <w:t>1</w:t>
      </w:r>
      <w:r>
        <w:rPr>
          <w:rFonts w:hint="eastAsia" w:cs="宋体"/>
          <w:kern w:val="0"/>
        </w:rPr>
        <w:t>、国际价格</w:t>
      </w:r>
      <w:r>
        <w:tab/>
      </w:r>
      <w:r>
        <w:fldChar w:fldCharType="begin"/>
      </w:r>
      <w:r>
        <w:instrText xml:space="preserve"> PAGEREF _Toc20417 </w:instrText>
      </w:r>
      <w:r>
        <w:fldChar w:fldCharType="separate"/>
      </w:r>
      <w:r>
        <w:t>5</w:t>
      </w:r>
      <w:r>
        <w:fldChar w:fldCharType="end"/>
      </w:r>
      <w:r>
        <w:fldChar w:fldCharType="end"/>
      </w:r>
    </w:p>
    <w:p>
      <w:pPr>
        <w:pStyle w:val="9"/>
        <w:tabs>
          <w:tab w:val="right" w:leader="dot" w:pos="8504"/>
          <w:tab w:val="clear" w:pos="8494"/>
        </w:tabs>
      </w:pPr>
      <w:r>
        <w:fldChar w:fldCharType="begin"/>
      </w:r>
      <w:r>
        <w:instrText xml:space="preserve"> HYPERLINK \l _Toc18228 </w:instrText>
      </w:r>
      <w:r>
        <w:fldChar w:fldCharType="separate"/>
      </w:r>
      <w:r>
        <w:rPr>
          <w:kern w:val="0"/>
        </w:rPr>
        <w:t>2</w:t>
      </w:r>
      <w:r>
        <w:rPr>
          <w:rFonts w:hint="eastAsia" w:cs="宋体"/>
          <w:kern w:val="0"/>
        </w:rPr>
        <w:t>、欧洲鹿特丹小金属价格</w:t>
      </w:r>
      <w:r>
        <w:tab/>
      </w:r>
      <w:r>
        <w:fldChar w:fldCharType="begin"/>
      </w:r>
      <w:r>
        <w:instrText xml:space="preserve"> PAGEREF _Toc18228 </w:instrText>
      </w:r>
      <w:r>
        <w:fldChar w:fldCharType="separate"/>
      </w:r>
      <w:r>
        <w:t>5</w:t>
      </w:r>
      <w:r>
        <w:fldChar w:fldCharType="end"/>
      </w:r>
      <w:r>
        <w:fldChar w:fldCharType="end"/>
      </w:r>
    </w:p>
    <w:p>
      <w:pPr>
        <w:pStyle w:val="9"/>
        <w:tabs>
          <w:tab w:val="right" w:leader="dot" w:pos="8504"/>
          <w:tab w:val="clear" w:pos="8494"/>
        </w:tabs>
      </w:pPr>
      <w:r>
        <w:fldChar w:fldCharType="begin"/>
      </w:r>
      <w:r>
        <w:instrText xml:space="preserve"> HYPERLINK \l _Toc28853 </w:instrText>
      </w:r>
      <w:r>
        <w:fldChar w:fldCharType="separate"/>
      </w:r>
      <w:r>
        <w:rPr>
          <w:kern w:val="0"/>
        </w:rPr>
        <w:t>3</w:t>
      </w:r>
      <w:r>
        <w:rPr>
          <w:rFonts w:hint="eastAsia" w:cs="宋体"/>
          <w:kern w:val="0"/>
        </w:rPr>
        <w:t>、</w:t>
      </w:r>
      <w:r>
        <w:rPr>
          <w:rFonts w:hint="eastAsia" w:cs="宋体"/>
          <w:kern w:val="0"/>
          <w:highlight w:val="none"/>
        </w:rPr>
        <w:t>国内一周小金属价格汇总</w:t>
      </w:r>
      <w:r>
        <w:tab/>
      </w:r>
      <w:r>
        <w:fldChar w:fldCharType="begin"/>
      </w:r>
      <w:r>
        <w:instrText xml:space="preserve"> PAGEREF _Toc28853 </w:instrText>
      </w:r>
      <w:r>
        <w:fldChar w:fldCharType="separate"/>
      </w:r>
      <w:r>
        <w:t>6</w:t>
      </w:r>
      <w:r>
        <w:fldChar w:fldCharType="end"/>
      </w:r>
      <w:r>
        <w:fldChar w:fldCharType="end"/>
      </w:r>
    </w:p>
    <w:p>
      <w:pPr>
        <w:pStyle w:val="15"/>
        <w:tabs>
          <w:tab w:val="right" w:leader="dot" w:pos="8504"/>
          <w:tab w:val="clear" w:pos="9170"/>
        </w:tabs>
      </w:pPr>
      <w:r>
        <w:fldChar w:fldCharType="begin"/>
      </w:r>
      <w:r>
        <w:instrText xml:space="preserve"> HYPERLINK \l _Toc17430 </w:instrText>
      </w:r>
      <w:r>
        <w:fldChar w:fldCharType="separate"/>
      </w:r>
      <w:r>
        <w:rPr>
          <w:rFonts w:hint="eastAsia"/>
        </w:rPr>
        <w:t xml:space="preserve">三、 </w:t>
      </w:r>
      <w:r>
        <w:rPr>
          <w:rFonts w:hint="eastAsia" w:cs="黑体"/>
          <w:kern w:val="0"/>
        </w:rPr>
        <w:t>一周市场动态回</w:t>
      </w:r>
      <w:r>
        <w:rPr>
          <w:rFonts w:hint="eastAsia" w:cs="黑体"/>
          <w:kern w:val="0"/>
          <w:lang w:eastAsia="zh-CN"/>
        </w:rPr>
        <w:t>顾</w:t>
      </w:r>
      <w:r>
        <w:tab/>
      </w:r>
      <w:r>
        <w:fldChar w:fldCharType="begin"/>
      </w:r>
      <w:r>
        <w:instrText xml:space="preserve"> PAGEREF _Toc17430 </w:instrText>
      </w:r>
      <w:r>
        <w:fldChar w:fldCharType="separate"/>
      </w:r>
      <w:r>
        <w:t>6</w:t>
      </w:r>
      <w:r>
        <w:fldChar w:fldCharType="end"/>
      </w:r>
      <w:r>
        <w:fldChar w:fldCharType="end"/>
      </w:r>
    </w:p>
    <w:p>
      <w:pPr>
        <w:pStyle w:val="17"/>
        <w:tabs>
          <w:tab w:val="right" w:leader="dot" w:pos="8504"/>
          <w:tab w:val="clear" w:pos="9170"/>
        </w:tabs>
      </w:pPr>
      <w:r>
        <w:fldChar w:fldCharType="begin"/>
      </w:r>
      <w:r>
        <w:instrText xml:space="preserve"> HYPERLINK \l _Toc7159 </w:instrText>
      </w:r>
      <w:r>
        <w:fldChar w:fldCharType="separate"/>
      </w:r>
      <w:r>
        <w:rPr>
          <w:rFonts w:hint="eastAsia" w:ascii="宋体" w:hAnsi="宋体" w:cs="宋体"/>
          <w:bCs/>
          <w:kern w:val="0"/>
          <w:szCs w:val="30"/>
          <w:lang w:eastAsia="zh-CN"/>
        </w:rPr>
        <w:t>振兴铜矿可能不足以让智利保持领先地位</w:t>
      </w:r>
      <w:r>
        <w:tab/>
      </w:r>
      <w:r>
        <w:fldChar w:fldCharType="begin"/>
      </w:r>
      <w:r>
        <w:instrText xml:space="preserve"> PAGEREF _Toc7159 </w:instrText>
      </w:r>
      <w:r>
        <w:fldChar w:fldCharType="separate"/>
      </w:r>
      <w:r>
        <w:t>6</w:t>
      </w:r>
      <w:r>
        <w:fldChar w:fldCharType="end"/>
      </w:r>
      <w:r>
        <w:fldChar w:fldCharType="end"/>
      </w:r>
    </w:p>
    <w:p>
      <w:pPr>
        <w:pStyle w:val="17"/>
        <w:tabs>
          <w:tab w:val="right" w:leader="dot" w:pos="8504"/>
          <w:tab w:val="clear" w:pos="9170"/>
        </w:tabs>
      </w:pPr>
      <w:r>
        <w:fldChar w:fldCharType="begin"/>
      </w:r>
      <w:r>
        <w:instrText xml:space="preserve"> HYPERLINK \l _Toc6461 </w:instrText>
      </w:r>
      <w:r>
        <w:fldChar w:fldCharType="separate"/>
      </w:r>
      <w:r>
        <w:rPr>
          <w:rFonts w:hint="eastAsia" w:ascii="宋体" w:hAnsi="宋体" w:cs="宋体"/>
          <w:bCs/>
          <w:kern w:val="0"/>
          <w:szCs w:val="30"/>
          <w:lang w:eastAsia="zh-CN"/>
        </w:rPr>
        <w:t>一流江铜的底层代码</w:t>
      </w:r>
      <w:r>
        <w:tab/>
      </w:r>
      <w:r>
        <w:fldChar w:fldCharType="begin"/>
      </w:r>
      <w:r>
        <w:instrText xml:space="preserve"> PAGEREF _Toc6461 </w:instrText>
      </w:r>
      <w:r>
        <w:fldChar w:fldCharType="separate"/>
      </w:r>
      <w:r>
        <w:t>8</w:t>
      </w:r>
      <w:r>
        <w:fldChar w:fldCharType="end"/>
      </w:r>
      <w:r>
        <w:fldChar w:fldCharType="end"/>
      </w:r>
    </w:p>
    <w:p>
      <w:pPr>
        <w:pStyle w:val="17"/>
        <w:tabs>
          <w:tab w:val="right" w:leader="dot" w:pos="8504"/>
          <w:tab w:val="clear" w:pos="9170"/>
        </w:tabs>
      </w:pPr>
      <w:r>
        <w:fldChar w:fldCharType="begin"/>
      </w:r>
      <w:r>
        <w:instrText xml:space="preserve"> HYPERLINK \l _Toc25052 </w:instrText>
      </w:r>
      <w:r>
        <w:fldChar w:fldCharType="separate"/>
      </w:r>
      <w:r>
        <w:rPr>
          <w:rFonts w:hint="eastAsia" w:ascii="宋体" w:hAnsi="宋体" w:cs="宋体"/>
          <w:bCs/>
          <w:kern w:val="0"/>
          <w:szCs w:val="30"/>
        </w:rPr>
        <w:t>NASA开发新的航天级3D打印铜合金粉末</w:t>
      </w:r>
      <w:r>
        <w:tab/>
      </w:r>
      <w:r>
        <w:fldChar w:fldCharType="begin"/>
      </w:r>
      <w:r>
        <w:instrText xml:space="preserve"> PAGEREF _Toc25052 </w:instrText>
      </w:r>
      <w:r>
        <w:fldChar w:fldCharType="separate"/>
      </w:r>
      <w:r>
        <w:t>11</w:t>
      </w:r>
      <w:r>
        <w:fldChar w:fldCharType="end"/>
      </w:r>
      <w:r>
        <w:fldChar w:fldCharType="end"/>
      </w:r>
    </w:p>
    <w:p>
      <w:pPr>
        <w:pStyle w:val="17"/>
        <w:tabs>
          <w:tab w:val="right" w:leader="dot" w:pos="8504"/>
          <w:tab w:val="clear" w:pos="9170"/>
        </w:tabs>
      </w:pPr>
      <w:r>
        <w:fldChar w:fldCharType="begin"/>
      </w:r>
      <w:r>
        <w:instrText xml:space="preserve"> HYPERLINK \l _Toc6426 </w:instrText>
      </w:r>
      <w:r>
        <w:fldChar w:fldCharType="separate"/>
      </w:r>
      <w:r>
        <w:rPr>
          <w:rFonts w:hint="eastAsia" w:ascii="宋体" w:hAnsi="宋体" w:cs="宋体"/>
          <w:bCs/>
          <w:kern w:val="0"/>
          <w:szCs w:val="30"/>
          <w:lang w:eastAsia="zh-CN"/>
        </w:rPr>
        <w:t>云南铜业：轻装上阵，扬帆起航</w:t>
      </w:r>
      <w:r>
        <w:tab/>
      </w:r>
      <w:r>
        <w:fldChar w:fldCharType="begin"/>
      </w:r>
      <w:r>
        <w:instrText xml:space="preserve"> PAGEREF _Toc6426 </w:instrText>
      </w:r>
      <w:r>
        <w:fldChar w:fldCharType="separate"/>
      </w:r>
      <w:r>
        <w:t>14</w:t>
      </w:r>
      <w:r>
        <w:fldChar w:fldCharType="end"/>
      </w:r>
      <w:r>
        <w:fldChar w:fldCharType="end"/>
      </w:r>
    </w:p>
    <w:p>
      <w:pPr>
        <w:pStyle w:val="17"/>
        <w:tabs>
          <w:tab w:val="right" w:leader="dot" w:pos="8504"/>
          <w:tab w:val="clear" w:pos="9170"/>
        </w:tabs>
      </w:pPr>
      <w:r>
        <w:fldChar w:fldCharType="begin"/>
      </w:r>
      <w:r>
        <w:instrText xml:space="preserve"> HYPERLINK \l _Toc2241 </w:instrText>
      </w:r>
      <w:r>
        <w:fldChar w:fldCharType="separate"/>
      </w:r>
      <w:r>
        <w:rPr>
          <w:rFonts w:hint="eastAsia" w:ascii="宋体" w:hAnsi="宋体" w:cs="宋体"/>
          <w:bCs/>
          <w:kern w:val="0"/>
          <w:szCs w:val="30"/>
          <w:lang w:eastAsia="zh-CN"/>
        </w:rPr>
        <w:t>陕西有色集团被评为“宝鸡市驻村帮扶工作先进集体”</w:t>
      </w:r>
      <w:r>
        <w:tab/>
      </w:r>
      <w:r>
        <w:fldChar w:fldCharType="begin"/>
      </w:r>
      <w:r>
        <w:instrText xml:space="preserve"> PAGEREF _Toc2241 </w:instrText>
      </w:r>
      <w:r>
        <w:fldChar w:fldCharType="separate"/>
      </w:r>
      <w:r>
        <w:t>18</w:t>
      </w:r>
      <w:r>
        <w:fldChar w:fldCharType="end"/>
      </w:r>
      <w:r>
        <w:fldChar w:fldCharType="end"/>
      </w:r>
    </w:p>
    <w:p>
      <w:pPr>
        <w:pStyle w:val="17"/>
        <w:tabs>
          <w:tab w:val="right" w:leader="dot" w:pos="8504"/>
          <w:tab w:val="clear" w:pos="9170"/>
        </w:tabs>
      </w:pPr>
      <w:r>
        <w:fldChar w:fldCharType="begin"/>
      </w:r>
      <w:r>
        <w:instrText xml:space="preserve"> HYPERLINK \l _Toc24474 </w:instrText>
      </w:r>
      <w:r>
        <w:fldChar w:fldCharType="separate"/>
      </w:r>
      <w:r>
        <w:rPr>
          <w:rFonts w:hint="eastAsia" w:ascii="宋体" w:hAnsi="宋体" w:cs="宋体"/>
          <w:bCs/>
          <w:kern w:val="0"/>
          <w:szCs w:val="30"/>
          <w:lang w:val="en-US" w:eastAsia="zh-CN"/>
        </w:rPr>
        <w:t>国务院国资委副主任翁杰明到中国有色集团调研</w:t>
      </w:r>
      <w:r>
        <w:tab/>
      </w:r>
      <w:r>
        <w:fldChar w:fldCharType="begin"/>
      </w:r>
      <w:r>
        <w:instrText xml:space="preserve"> PAGEREF _Toc24474 </w:instrText>
      </w:r>
      <w:r>
        <w:fldChar w:fldCharType="separate"/>
      </w:r>
      <w:r>
        <w:t>18</w:t>
      </w:r>
      <w:r>
        <w:fldChar w:fldCharType="end"/>
      </w:r>
      <w:r>
        <w:fldChar w:fldCharType="end"/>
      </w:r>
    </w:p>
    <w:p>
      <w:pPr>
        <w:pStyle w:val="17"/>
        <w:tabs>
          <w:tab w:val="right" w:leader="dot" w:pos="8504"/>
          <w:tab w:val="clear" w:pos="9170"/>
        </w:tabs>
      </w:pPr>
      <w:r>
        <w:fldChar w:fldCharType="begin"/>
      </w:r>
      <w:r>
        <w:instrText xml:space="preserve"> HYPERLINK \l _Toc30675 </w:instrText>
      </w:r>
      <w:r>
        <w:fldChar w:fldCharType="separate"/>
      </w:r>
      <w:r>
        <w:rPr>
          <w:rFonts w:hint="eastAsia" w:ascii="宋体" w:hAnsi="宋体" w:cs="宋体"/>
          <w:bCs/>
          <w:kern w:val="0"/>
          <w:szCs w:val="30"/>
          <w:lang w:eastAsia="zh-CN"/>
        </w:rPr>
        <w:t>纳米比亚今年有3座老矿山重新投入生产</w:t>
      </w:r>
      <w:r>
        <w:tab/>
      </w:r>
      <w:r>
        <w:fldChar w:fldCharType="begin"/>
      </w:r>
      <w:r>
        <w:instrText xml:space="preserve"> PAGEREF _Toc30675 </w:instrText>
      </w:r>
      <w:r>
        <w:fldChar w:fldCharType="separate"/>
      </w:r>
      <w:r>
        <w:t>21</w:t>
      </w:r>
      <w:r>
        <w:fldChar w:fldCharType="end"/>
      </w:r>
      <w:r>
        <w:fldChar w:fldCharType="end"/>
      </w:r>
    </w:p>
    <w:p>
      <w:pPr>
        <w:pStyle w:val="17"/>
        <w:tabs>
          <w:tab w:val="right" w:leader="dot" w:pos="8504"/>
          <w:tab w:val="clear" w:pos="9170"/>
        </w:tabs>
      </w:pPr>
      <w:r>
        <w:fldChar w:fldCharType="begin"/>
      </w:r>
      <w:r>
        <w:instrText xml:space="preserve"> HYPERLINK \l _Toc28229 </w:instrText>
      </w:r>
      <w:r>
        <w:fldChar w:fldCharType="separate"/>
      </w:r>
      <w:r>
        <w:rPr>
          <w:rFonts w:hint="eastAsia" w:ascii="宋体" w:hAnsi="宋体" w:cs="宋体"/>
          <w:bCs/>
          <w:kern w:val="0"/>
          <w:szCs w:val="30"/>
          <w:lang w:val="en-US" w:eastAsia="zh-CN"/>
        </w:rPr>
        <w:t>国家发布4项照明行业相关标准，含车用、道路照明等</w:t>
      </w:r>
      <w:r>
        <w:tab/>
      </w:r>
      <w:r>
        <w:fldChar w:fldCharType="begin"/>
      </w:r>
      <w:r>
        <w:instrText xml:space="preserve"> PAGEREF _Toc28229 </w:instrText>
      </w:r>
      <w:r>
        <w:fldChar w:fldCharType="separate"/>
      </w:r>
      <w:r>
        <w:t>22</w:t>
      </w:r>
      <w:r>
        <w:fldChar w:fldCharType="end"/>
      </w:r>
      <w:r>
        <w:fldChar w:fldCharType="end"/>
      </w:r>
    </w:p>
    <w:p>
      <w:pPr>
        <w:pStyle w:val="17"/>
        <w:tabs>
          <w:tab w:val="right" w:leader="dot" w:pos="8504"/>
          <w:tab w:val="clear" w:pos="9170"/>
        </w:tabs>
      </w:pPr>
      <w:r>
        <w:fldChar w:fldCharType="begin"/>
      </w:r>
      <w:r>
        <w:instrText xml:space="preserve"> HYPERLINK \l _Toc19788 </w:instrText>
      </w:r>
      <w:r>
        <w:fldChar w:fldCharType="separate"/>
      </w:r>
      <w:r>
        <w:rPr>
          <w:rFonts w:hint="eastAsia" w:ascii="宋体" w:hAnsi="宋体" w:cs="宋体"/>
          <w:bCs/>
          <w:kern w:val="0"/>
          <w:szCs w:val="30"/>
          <w:lang w:val="en-US" w:eastAsia="zh-CN"/>
        </w:rPr>
        <w:t>32.8万户潜在市场 西班牙户用光伏预计将强劲增长</w:t>
      </w:r>
      <w:r>
        <w:tab/>
      </w:r>
      <w:r>
        <w:fldChar w:fldCharType="begin"/>
      </w:r>
      <w:r>
        <w:instrText xml:space="preserve"> PAGEREF _Toc19788 </w:instrText>
      </w:r>
      <w:r>
        <w:fldChar w:fldCharType="separate"/>
      </w:r>
      <w:r>
        <w:t>23</w:t>
      </w:r>
      <w:r>
        <w:fldChar w:fldCharType="end"/>
      </w:r>
      <w:r>
        <w:fldChar w:fldCharType="end"/>
      </w:r>
    </w:p>
    <w:p>
      <w:pPr>
        <w:pStyle w:val="17"/>
        <w:tabs>
          <w:tab w:val="right" w:leader="dot" w:pos="8504"/>
          <w:tab w:val="clear" w:pos="9170"/>
        </w:tabs>
      </w:pPr>
      <w:r>
        <w:fldChar w:fldCharType="begin"/>
      </w:r>
      <w:r>
        <w:instrText xml:space="preserve"> HYPERLINK \l _Toc10773 </w:instrText>
      </w:r>
      <w:r>
        <w:fldChar w:fldCharType="separate"/>
      </w:r>
      <w:r>
        <w:rPr>
          <w:rFonts w:hint="eastAsia" w:ascii="宋体" w:hAnsi="宋体" w:cs="宋体"/>
          <w:bCs/>
          <w:kern w:val="0"/>
          <w:szCs w:val="30"/>
          <w:lang w:val="en-US" w:eastAsia="zh-CN"/>
        </w:rPr>
        <w:t>关西涂料开发在涂层上的太阳能电池</w:t>
      </w:r>
      <w:r>
        <w:tab/>
      </w:r>
      <w:r>
        <w:fldChar w:fldCharType="begin"/>
      </w:r>
      <w:r>
        <w:instrText xml:space="preserve"> PAGEREF _Toc10773 </w:instrText>
      </w:r>
      <w:r>
        <w:fldChar w:fldCharType="separate"/>
      </w:r>
      <w:r>
        <w:t>25</w:t>
      </w:r>
      <w:r>
        <w:fldChar w:fldCharType="end"/>
      </w:r>
      <w:r>
        <w:fldChar w:fldCharType="end"/>
      </w:r>
    </w:p>
    <w:p>
      <w:pPr>
        <w:pStyle w:val="2"/>
        <w:spacing w:line="400" w:lineRule="exact"/>
      </w:pPr>
      <w:r>
        <w:fldChar w:fldCharType="end"/>
      </w:r>
      <w:bookmarkEnd w:id="0"/>
      <w:bookmarkStart w:id="2" w:name="_Toc6005"/>
      <w:r>
        <w:rPr>
          <w:rFonts w:hint="eastAsia" w:cs="黑体"/>
        </w:rPr>
        <w:t>　　一、小金属一周评述</w:t>
      </w:r>
      <w:bookmarkEnd w:id="1"/>
      <w:bookmarkEnd w:id="2"/>
    </w:p>
    <w:p>
      <w:pPr>
        <w:pStyle w:val="4"/>
        <w:spacing w:line="400" w:lineRule="exact"/>
        <w:rPr>
          <w:rFonts w:hint="eastAsia"/>
          <w:kern w:val="0"/>
          <w:lang w:val="en-US" w:eastAsia="zh-CN"/>
        </w:rPr>
      </w:pPr>
      <w:bookmarkStart w:id="3" w:name="_Toc8305"/>
      <w:r>
        <w:rPr>
          <w:rFonts w:hint="eastAsia"/>
          <w:kern w:val="0"/>
          <w:lang w:val="en-US" w:eastAsia="zh-CN"/>
        </w:rPr>
        <w:t>1、硒评论：锰价上调 硒市弱势运行价</w:t>
      </w:r>
      <w:bookmarkEnd w:id="3"/>
    </w:p>
    <w:p>
      <w:pPr>
        <w:widowControl/>
        <w:wordWrap w:val="0"/>
        <w:spacing w:after="90" w:line="288" w:lineRule="auto"/>
        <w:ind w:firstLine="480"/>
        <w:jc w:val="left"/>
        <w:rPr>
          <w:rFonts w:hint="eastAsia" w:ascii="仿宋_GB2312" w:hAnsi="宋体" w:eastAsia="仿宋_GB2312" w:cs="仿宋_GB2312"/>
          <w:kern w:val="0"/>
          <w:sz w:val="28"/>
          <w:szCs w:val="28"/>
          <w:lang w:val="en-US" w:eastAsia="zh-CN"/>
        </w:rPr>
      </w:pPr>
      <w:bookmarkStart w:id="4" w:name="_Toc13973"/>
      <w:r>
        <w:rPr>
          <w:rFonts w:hint="eastAsia" w:ascii="仿宋_GB2312" w:hAnsi="宋体" w:eastAsia="仿宋_GB2312" w:cs="仿宋_GB2312"/>
          <w:kern w:val="0"/>
          <w:sz w:val="28"/>
          <w:szCs w:val="28"/>
          <w:lang w:val="en-US" w:eastAsia="zh-CN"/>
        </w:rPr>
        <w:t>中商网讯：本周电解锰市场强势运行。截至到目前电解锰的最新报价在13200-13300元/吨，最低价格较上周上调300元/吨，最高价格较上周上调200元/吨。</w:t>
      </w:r>
    </w:p>
    <w:p>
      <w:pPr>
        <w:widowControl/>
        <w:wordWrap w:val="0"/>
        <w:spacing w:after="90" w:line="288" w:lineRule="auto"/>
        <w:ind w:firstLine="480"/>
        <w:jc w:val="left"/>
        <w:rPr>
          <w:rFonts w:hint="default" w:ascii="仿宋_GB2312" w:hAnsi="宋体" w:eastAsia="仿宋_GB2312" w:cs="仿宋_GB2312"/>
          <w:kern w:val="0"/>
          <w:sz w:val="28"/>
          <w:szCs w:val="28"/>
          <w:lang w:val="en-US" w:eastAsia="zh-CN"/>
        </w:rPr>
      </w:pPr>
      <w:r>
        <w:rPr>
          <w:rFonts w:hint="default" w:ascii="仿宋_GB2312" w:hAnsi="宋体" w:eastAsia="仿宋_GB2312" w:cs="仿宋_GB2312"/>
          <w:kern w:val="0"/>
          <w:sz w:val="28"/>
          <w:szCs w:val="28"/>
          <w:lang w:val="en-US" w:eastAsia="zh-CN"/>
        </w:rPr>
        <w:t>硒粉国际市场价格最新报价在</w:t>
      </w:r>
      <w:r>
        <w:rPr>
          <w:rFonts w:hint="eastAsia" w:ascii="仿宋_GB2312" w:hAnsi="宋体" w:eastAsia="仿宋_GB2312" w:cs="仿宋_GB2312"/>
          <w:kern w:val="0"/>
          <w:sz w:val="28"/>
          <w:szCs w:val="28"/>
          <w:lang w:val="en-US" w:eastAsia="zh-CN"/>
        </w:rPr>
        <w:t>9</w:t>
      </w:r>
      <w:r>
        <w:rPr>
          <w:rFonts w:hint="default" w:ascii="仿宋_GB2312" w:hAnsi="宋体" w:eastAsia="仿宋_GB2312" w:cs="仿宋_GB2312"/>
          <w:kern w:val="0"/>
          <w:sz w:val="28"/>
          <w:szCs w:val="28"/>
          <w:lang w:val="en-US" w:eastAsia="zh-CN"/>
        </w:rPr>
        <w:t>-1</w:t>
      </w:r>
      <w:r>
        <w:rPr>
          <w:rFonts w:hint="eastAsia" w:ascii="仿宋_GB2312" w:hAnsi="宋体" w:eastAsia="仿宋_GB2312" w:cs="仿宋_GB2312"/>
          <w:kern w:val="0"/>
          <w:sz w:val="28"/>
          <w:szCs w:val="28"/>
          <w:lang w:val="en-US" w:eastAsia="zh-CN"/>
        </w:rPr>
        <w:t>1</w:t>
      </w:r>
      <w:r>
        <w:rPr>
          <w:rFonts w:hint="default" w:ascii="仿宋_GB2312" w:hAnsi="宋体" w:eastAsia="仿宋_GB2312" w:cs="仿宋_GB2312"/>
          <w:kern w:val="0"/>
          <w:sz w:val="28"/>
          <w:szCs w:val="28"/>
          <w:lang w:val="en-US" w:eastAsia="zh-CN"/>
        </w:rPr>
        <w:t>美元/磅，</w:t>
      </w:r>
      <w:r>
        <w:rPr>
          <w:rFonts w:hint="eastAsia" w:ascii="仿宋_GB2312" w:hAnsi="宋体" w:eastAsia="仿宋_GB2312" w:cs="仿宋_GB2312"/>
          <w:kern w:val="0"/>
          <w:sz w:val="28"/>
          <w:szCs w:val="28"/>
          <w:lang w:val="en-US" w:eastAsia="zh-CN"/>
        </w:rPr>
        <w:t>均价</w:t>
      </w:r>
      <w:r>
        <w:rPr>
          <w:rFonts w:hint="default" w:ascii="仿宋_GB2312" w:hAnsi="宋体" w:eastAsia="仿宋_GB2312" w:cs="仿宋_GB2312"/>
          <w:kern w:val="0"/>
          <w:sz w:val="28"/>
          <w:szCs w:val="28"/>
          <w:lang w:val="en-US" w:eastAsia="zh-CN"/>
        </w:rPr>
        <w:t>较上周五</w:t>
      </w:r>
      <w:r>
        <w:rPr>
          <w:rFonts w:hint="eastAsia" w:ascii="仿宋_GB2312" w:hAnsi="宋体" w:eastAsia="仿宋_GB2312" w:cs="仿宋_GB2312"/>
          <w:kern w:val="0"/>
          <w:sz w:val="28"/>
          <w:szCs w:val="28"/>
          <w:lang w:val="en-US" w:eastAsia="zh-CN"/>
        </w:rPr>
        <w:t>保持不变</w:t>
      </w:r>
      <w:r>
        <w:rPr>
          <w:rFonts w:hint="default" w:ascii="仿宋_GB2312" w:hAnsi="宋体" w:eastAsia="仿宋_GB2312" w:cs="仿宋_GB2312"/>
          <w:kern w:val="0"/>
          <w:sz w:val="28"/>
          <w:szCs w:val="28"/>
          <w:lang w:val="en-US" w:eastAsia="zh-CN"/>
        </w:rPr>
        <w:t>。欧洲鹿特丹市场硒粉报价</w:t>
      </w:r>
      <w:r>
        <w:rPr>
          <w:rFonts w:hint="eastAsia" w:ascii="仿宋_GB2312" w:hAnsi="宋体" w:eastAsia="仿宋_GB2312" w:cs="仿宋_GB2312"/>
          <w:kern w:val="0"/>
          <w:sz w:val="28"/>
          <w:szCs w:val="28"/>
          <w:lang w:val="en-US" w:eastAsia="zh-CN"/>
        </w:rPr>
        <w:t>10.5</w:t>
      </w:r>
      <w:r>
        <w:rPr>
          <w:rFonts w:hint="default" w:ascii="仿宋_GB2312" w:hAnsi="宋体" w:eastAsia="仿宋_GB2312" w:cs="仿宋_GB2312"/>
          <w:kern w:val="0"/>
          <w:sz w:val="28"/>
          <w:szCs w:val="28"/>
          <w:lang w:val="en-US" w:eastAsia="zh-CN"/>
        </w:rPr>
        <w:t>美元/磅</w:t>
      </w:r>
      <w:r>
        <w:rPr>
          <w:rFonts w:hint="eastAsia" w:ascii="仿宋_GB2312" w:hAnsi="宋体" w:eastAsia="仿宋_GB2312" w:cs="仿宋_GB2312"/>
          <w:kern w:val="0"/>
          <w:sz w:val="28"/>
          <w:szCs w:val="28"/>
          <w:lang w:val="en-US" w:eastAsia="zh-CN"/>
        </w:rPr>
        <w:t>，</w:t>
      </w:r>
      <w:r>
        <w:rPr>
          <w:rFonts w:hint="default" w:ascii="仿宋_GB2312" w:hAnsi="宋体" w:eastAsia="仿宋_GB2312" w:cs="仿宋_GB2312"/>
          <w:kern w:val="0"/>
          <w:sz w:val="28"/>
          <w:szCs w:val="28"/>
          <w:lang w:val="en-US" w:eastAsia="zh-CN"/>
        </w:rPr>
        <w:t>价格</w:t>
      </w:r>
      <w:r>
        <w:rPr>
          <w:rFonts w:hint="eastAsia" w:ascii="仿宋_GB2312" w:hAnsi="宋体" w:eastAsia="仿宋_GB2312" w:cs="仿宋_GB2312"/>
          <w:kern w:val="0"/>
          <w:sz w:val="28"/>
          <w:szCs w:val="28"/>
          <w:lang w:val="en-US" w:eastAsia="zh-CN"/>
        </w:rPr>
        <w:t>较上周五保持不变</w:t>
      </w:r>
      <w:r>
        <w:rPr>
          <w:rFonts w:hint="default" w:ascii="仿宋_GB2312" w:hAnsi="宋体" w:eastAsia="仿宋_GB2312" w:cs="仿宋_GB2312"/>
          <w:kern w:val="0"/>
          <w:sz w:val="28"/>
          <w:szCs w:val="28"/>
          <w:lang w:val="en-US" w:eastAsia="zh-CN"/>
        </w:rPr>
        <w:t>。</w:t>
      </w:r>
      <w:r>
        <w:rPr>
          <w:rFonts w:hint="eastAsia" w:ascii="仿宋_GB2312" w:hAnsi="宋体" w:eastAsia="仿宋_GB2312" w:cs="仿宋_GB2312"/>
          <w:kern w:val="0"/>
          <w:sz w:val="28"/>
          <w:szCs w:val="28"/>
          <w:lang w:val="en-US" w:eastAsia="zh-CN"/>
        </w:rPr>
        <w:t>本</w:t>
      </w:r>
      <w:r>
        <w:rPr>
          <w:rFonts w:hint="default" w:ascii="仿宋_GB2312" w:hAnsi="宋体" w:eastAsia="仿宋_GB2312" w:cs="仿宋_GB2312"/>
          <w:kern w:val="0"/>
          <w:sz w:val="28"/>
          <w:szCs w:val="28"/>
          <w:lang w:val="en-US" w:eastAsia="zh-CN"/>
        </w:rPr>
        <w:t>周硒粉市场价格在1</w:t>
      </w:r>
      <w:r>
        <w:rPr>
          <w:rFonts w:hint="eastAsia" w:ascii="仿宋_GB2312" w:hAnsi="宋体" w:eastAsia="仿宋_GB2312" w:cs="仿宋_GB2312"/>
          <w:kern w:val="0"/>
          <w:sz w:val="28"/>
          <w:szCs w:val="28"/>
          <w:lang w:val="en-US" w:eastAsia="zh-CN"/>
        </w:rPr>
        <w:t>60</w:t>
      </w:r>
      <w:r>
        <w:rPr>
          <w:rFonts w:hint="default" w:ascii="仿宋_GB2312" w:hAnsi="宋体" w:eastAsia="仿宋_GB2312" w:cs="仿宋_GB2312"/>
          <w:kern w:val="0"/>
          <w:sz w:val="28"/>
          <w:szCs w:val="28"/>
          <w:lang w:val="en-US" w:eastAsia="zh-CN"/>
        </w:rPr>
        <w:t>-1</w:t>
      </w:r>
      <w:r>
        <w:rPr>
          <w:rFonts w:hint="eastAsia" w:ascii="仿宋_GB2312" w:hAnsi="宋体" w:eastAsia="仿宋_GB2312" w:cs="仿宋_GB2312"/>
          <w:kern w:val="0"/>
          <w:sz w:val="28"/>
          <w:szCs w:val="28"/>
          <w:lang w:val="en-US" w:eastAsia="zh-CN"/>
        </w:rPr>
        <w:t>8</w:t>
      </w:r>
      <w:r>
        <w:rPr>
          <w:rFonts w:hint="default" w:ascii="仿宋_GB2312" w:hAnsi="宋体" w:eastAsia="仿宋_GB2312" w:cs="仿宋_GB2312"/>
          <w:kern w:val="0"/>
          <w:sz w:val="28"/>
          <w:szCs w:val="28"/>
          <w:lang w:val="en-US" w:eastAsia="zh-CN"/>
        </w:rPr>
        <w:t>0元/公斤，</w:t>
      </w:r>
      <w:r>
        <w:rPr>
          <w:rFonts w:hint="eastAsia" w:ascii="仿宋_GB2312" w:hAnsi="宋体" w:eastAsia="仿宋_GB2312" w:cs="仿宋_GB2312"/>
          <w:kern w:val="0"/>
          <w:sz w:val="28"/>
          <w:szCs w:val="28"/>
          <w:lang w:val="en-US" w:eastAsia="zh-CN"/>
        </w:rPr>
        <w:t>最高价</w:t>
      </w:r>
      <w:r>
        <w:rPr>
          <w:rFonts w:hint="default" w:ascii="仿宋_GB2312" w:hAnsi="宋体" w:eastAsia="仿宋_GB2312" w:cs="仿宋_GB2312"/>
          <w:kern w:val="0"/>
          <w:sz w:val="28"/>
          <w:szCs w:val="28"/>
          <w:lang w:val="en-US" w:eastAsia="zh-CN"/>
        </w:rPr>
        <w:t>较上周五</w:t>
      </w:r>
      <w:r>
        <w:rPr>
          <w:rFonts w:hint="eastAsia" w:ascii="仿宋_GB2312" w:hAnsi="宋体" w:eastAsia="仿宋_GB2312" w:cs="仿宋_GB2312"/>
          <w:kern w:val="0"/>
          <w:sz w:val="28"/>
          <w:szCs w:val="28"/>
          <w:lang w:val="en-US" w:eastAsia="zh-CN"/>
        </w:rPr>
        <w:t>保持不变</w:t>
      </w:r>
      <w:r>
        <w:rPr>
          <w:rFonts w:hint="default" w:ascii="仿宋_GB2312" w:hAnsi="宋体" w:eastAsia="仿宋_GB2312" w:cs="仿宋_GB2312"/>
          <w:kern w:val="0"/>
          <w:sz w:val="28"/>
          <w:szCs w:val="28"/>
          <w:lang w:val="en-US" w:eastAsia="zh-CN"/>
        </w:rPr>
        <w:t>。</w:t>
      </w:r>
      <w:r>
        <w:rPr>
          <w:rFonts w:hint="eastAsia" w:ascii="仿宋_GB2312" w:hAnsi="宋体" w:eastAsia="仿宋_GB2312" w:cs="仿宋_GB2312"/>
          <w:kern w:val="0"/>
          <w:sz w:val="28"/>
          <w:szCs w:val="28"/>
          <w:lang w:val="en-US" w:eastAsia="zh-CN"/>
        </w:rPr>
        <w:t>目前国内硒粉市场下游需求依旧冷清，消费商多不急于采购，上游供应商为了资金的周转，出货的意愿较为强烈。预计短期内硒粉99%min扔将弱稳运行。</w:t>
      </w:r>
    </w:p>
    <w:p>
      <w:pPr>
        <w:widowControl/>
        <w:wordWrap w:val="0"/>
        <w:spacing w:after="90" w:line="288" w:lineRule="auto"/>
        <w:ind w:firstLine="480"/>
        <w:jc w:val="left"/>
        <w:rPr>
          <w:rFonts w:hint="eastAsia" w:ascii="仿宋_GB2312" w:hAnsi="宋体" w:eastAsia="仿宋_GB2312" w:cs="仿宋_GB2312"/>
          <w:kern w:val="0"/>
          <w:sz w:val="28"/>
          <w:szCs w:val="28"/>
          <w:lang w:val="en-US" w:eastAsia="zh-CN"/>
        </w:rPr>
      </w:pPr>
      <w:r>
        <w:rPr>
          <w:rFonts w:hint="default" w:ascii="仿宋_GB2312" w:hAnsi="宋体" w:eastAsia="仿宋_GB2312" w:cs="仿宋_GB2312"/>
          <w:kern w:val="0"/>
          <w:sz w:val="28"/>
          <w:szCs w:val="28"/>
          <w:lang w:val="en-US" w:eastAsia="zh-CN"/>
        </w:rPr>
        <w:t>二氧化硒主流价格报于1</w:t>
      </w:r>
      <w:r>
        <w:rPr>
          <w:rFonts w:hint="eastAsia" w:ascii="仿宋_GB2312" w:hAnsi="宋体" w:eastAsia="仿宋_GB2312" w:cs="仿宋_GB2312"/>
          <w:kern w:val="0"/>
          <w:sz w:val="28"/>
          <w:szCs w:val="28"/>
          <w:lang w:val="en-US" w:eastAsia="zh-CN"/>
        </w:rPr>
        <w:t>00</w:t>
      </w:r>
      <w:r>
        <w:rPr>
          <w:rFonts w:hint="default" w:ascii="仿宋_GB2312" w:hAnsi="宋体" w:eastAsia="仿宋_GB2312" w:cs="仿宋_GB2312"/>
          <w:kern w:val="0"/>
          <w:sz w:val="28"/>
          <w:szCs w:val="28"/>
          <w:lang w:val="en-US" w:eastAsia="zh-CN"/>
        </w:rPr>
        <w:t>-1</w:t>
      </w:r>
      <w:r>
        <w:rPr>
          <w:rFonts w:hint="eastAsia" w:ascii="仿宋_GB2312" w:hAnsi="宋体" w:eastAsia="仿宋_GB2312" w:cs="仿宋_GB2312"/>
          <w:kern w:val="0"/>
          <w:sz w:val="28"/>
          <w:szCs w:val="28"/>
          <w:lang w:val="en-US" w:eastAsia="zh-CN"/>
        </w:rPr>
        <w:t>05</w:t>
      </w:r>
      <w:r>
        <w:rPr>
          <w:rFonts w:hint="default" w:ascii="仿宋_GB2312" w:hAnsi="宋体" w:eastAsia="仿宋_GB2312" w:cs="仿宋_GB2312"/>
          <w:kern w:val="0"/>
          <w:sz w:val="28"/>
          <w:szCs w:val="28"/>
          <w:lang w:val="en-US" w:eastAsia="zh-CN"/>
        </w:rPr>
        <w:t>元/公斤</w:t>
      </w:r>
      <w:r>
        <w:rPr>
          <w:rFonts w:hint="eastAsia" w:ascii="仿宋_GB2312" w:hAnsi="宋体" w:eastAsia="仿宋_GB2312" w:cs="仿宋_GB2312"/>
          <w:kern w:val="0"/>
          <w:sz w:val="28"/>
          <w:szCs w:val="28"/>
          <w:lang w:val="en-US" w:eastAsia="zh-CN"/>
        </w:rPr>
        <w:t>，最低价较上周五下降2元/公斤，最高价较上周五下降1元/公斤。由于二氧化硒市场整体供应充足，而下游的需求相对疲软，多数的供应商依旧存在库存成本的压力，导致目前二氧化硒市场整体弱势运行。目前二氧化硒供应商暂时报价坚挺，贸易商即使降价也不会有销售量的增长，预计未来几天二氧化硒价格将持续趋弱运行。</w:t>
      </w:r>
    </w:p>
    <w:p>
      <w:pPr>
        <w:widowControl/>
        <w:wordWrap w:val="0"/>
        <w:spacing w:after="90" w:line="288" w:lineRule="auto"/>
        <w:ind w:firstLine="480"/>
        <w:jc w:val="left"/>
        <w:rPr>
          <w:rFonts w:hint="eastAsia" w:ascii="仿宋_GB2312" w:hAnsi="宋体" w:eastAsia="仿宋_GB2312" w:cs="仿宋_GB2312"/>
          <w:kern w:val="0"/>
          <w:sz w:val="28"/>
          <w:szCs w:val="28"/>
          <w:lang w:val="en-US" w:eastAsia="zh-CN"/>
        </w:rPr>
      </w:pPr>
      <w:r>
        <w:rPr>
          <w:rFonts w:hint="default" w:ascii="仿宋_GB2312" w:hAnsi="宋体" w:eastAsia="仿宋_GB2312" w:cs="仿宋_GB2312"/>
          <w:kern w:val="0"/>
          <w:sz w:val="28"/>
          <w:szCs w:val="28"/>
          <w:lang w:val="en-US" w:eastAsia="zh-CN"/>
        </w:rPr>
        <w:t>分析评述：</w:t>
      </w:r>
    </w:p>
    <w:p>
      <w:pPr>
        <w:widowControl/>
        <w:wordWrap w:val="0"/>
        <w:spacing w:after="90" w:line="288" w:lineRule="auto"/>
        <w:ind w:firstLine="480"/>
        <w:jc w:val="left"/>
        <w:rPr>
          <w:rFonts w:hint="eastAsia" w:ascii="仿宋_GB2312" w:hAnsi="宋体" w:eastAsia="仿宋_GB2312" w:cs="仿宋_GB2312"/>
          <w:kern w:val="0"/>
          <w:sz w:val="28"/>
          <w:szCs w:val="28"/>
          <w:lang w:val="en-US" w:eastAsia="zh-CN"/>
        </w:rPr>
      </w:pPr>
      <w:r>
        <w:rPr>
          <w:rFonts w:hint="eastAsia" w:ascii="仿宋_GB2312" w:hAnsi="宋体" w:eastAsia="仿宋_GB2312" w:cs="仿宋_GB2312"/>
          <w:kern w:val="0"/>
          <w:sz w:val="28"/>
          <w:szCs w:val="28"/>
          <w:lang w:val="en-US" w:eastAsia="zh-CN"/>
        </w:rPr>
        <w:t>目前国内硒市消费需求疲软，因此预计短期内行情仍将弱势运行。</w:t>
      </w:r>
    </w:p>
    <w:p>
      <w:pPr>
        <w:widowControl/>
        <w:wordWrap w:val="0"/>
        <w:spacing w:after="90" w:line="288" w:lineRule="auto"/>
        <w:ind w:firstLine="480"/>
        <w:jc w:val="left"/>
        <w:rPr>
          <w:rFonts w:hint="eastAsia" w:ascii="Calibri" w:hAnsi="Calibri" w:eastAsia="宋体" w:cs="Calibri"/>
          <w:b/>
          <w:bCs/>
          <w:kern w:val="0"/>
          <w:sz w:val="32"/>
          <w:szCs w:val="32"/>
          <w:lang w:val="en-US" w:eastAsia="zh-CN" w:bidi="ar-SA"/>
        </w:rPr>
      </w:pPr>
      <w:r>
        <w:rPr>
          <w:rFonts w:hint="eastAsia" w:ascii="仿宋_GB2312" w:hAnsi="宋体" w:eastAsia="仿宋_GB2312" w:cs="仿宋_GB2312"/>
          <w:kern w:val="0"/>
          <w:sz w:val="28"/>
          <w:szCs w:val="28"/>
          <w:lang w:val="en-US" w:eastAsia="zh-CN"/>
        </w:rPr>
        <w:br w:type="textWrapping"/>
      </w:r>
      <w:r>
        <w:rPr>
          <w:rFonts w:hint="eastAsia" w:ascii="Calibri" w:hAnsi="Calibri" w:eastAsia="宋体" w:cs="Calibri"/>
          <w:b/>
          <w:bCs/>
          <w:kern w:val="0"/>
          <w:sz w:val="32"/>
          <w:szCs w:val="32"/>
          <w:lang w:val="en-US" w:eastAsia="zh-CN" w:bidi="ar-SA"/>
        </w:rPr>
        <w:t> 2、铋评论：铋锭弱势</w:t>
      </w:r>
      <w:r>
        <w:rPr>
          <w:rFonts w:hint="eastAsia" w:ascii="Calibri" w:hAnsi="Calibri" w:eastAsia="宋体" w:cs="Calibri"/>
          <w:b/>
          <w:bCs/>
          <w:kern w:val="0"/>
          <w:sz w:val="32"/>
          <w:szCs w:val="32"/>
          <w:lang w:val="en-US" w:eastAsia="zh-CN" w:bidi="ar-SA"/>
        </w:rPr>
        <w:t>运行 价格</w:t>
      </w:r>
      <w:bookmarkEnd w:id="4"/>
      <w:r>
        <w:rPr>
          <w:rFonts w:hint="eastAsia" w:ascii="Calibri" w:hAnsi="Calibri" w:eastAsia="宋体" w:cs="Calibri"/>
          <w:b/>
          <w:bCs/>
          <w:kern w:val="0"/>
          <w:sz w:val="32"/>
          <w:szCs w:val="32"/>
          <w:lang w:val="en-US" w:eastAsia="zh-CN" w:bidi="ar-SA"/>
        </w:rPr>
        <w:t>下调</w:t>
      </w:r>
    </w:p>
    <w:p>
      <w:pPr>
        <w:widowControl/>
        <w:wordWrap w:val="0"/>
        <w:spacing w:after="90" w:line="288" w:lineRule="auto"/>
        <w:ind w:firstLine="480"/>
        <w:jc w:val="left"/>
        <w:rPr>
          <w:rFonts w:hint="default" w:ascii="仿宋_GB2312" w:hAnsi="宋体" w:eastAsia="仿宋_GB2312" w:cs="仿宋_GB2312"/>
          <w:kern w:val="0"/>
          <w:sz w:val="28"/>
          <w:szCs w:val="28"/>
          <w:lang w:eastAsia="zh-CN"/>
        </w:rPr>
      </w:pPr>
      <w:r>
        <w:rPr>
          <w:rFonts w:hint="default" w:ascii="仿宋_GB2312" w:hAnsi="宋体" w:eastAsia="仿宋_GB2312" w:cs="仿宋_GB2312"/>
          <w:kern w:val="0"/>
          <w:sz w:val="28"/>
          <w:szCs w:val="28"/>
          <w:lang w:eastAsia="zh-CN"/>
        </w:rPr>
        <w:t>中商网讯：本周铋锭市场</w:t>
      </w:r>
      <w:r>
        <w:rPr>
          <w:rFonts w:hint="eastAsia" w:ascii="仿宋_GB2312" w:hAnsi="宋体" w:eastAsia="仿宋_GB2312" w:cs="仿宋_GB2312"/>
          <w:kern w:val="0"/>
          <w:sz w:val="28"/>
          <w:szCs w:val="28"/>
          <w:lang w:eastAsia="zh-CN"/>
        </w:rPr>
        <w:t>市场整体活跃度较低</w:t>
      </w:r>
      <w:r>
        <w:rPr>
          <w:rFonts w:hint="default" w:ascii="仿宋_GB2312" w:hAnsi="宋体" w:eastAsia="仿宋_GB2312" w:cs="仿宋_GB2312"/>
          <w:kern w:val="0"/>
          <w:sz w:val="28"/>
          <w:szCs w:val="28"/>
          <w:lang w:eastAsia="zh-CN"/>
        </w:rPr>
        <w:t>。</w:t>
      </w:r>
    </w:p>
    <w:p>
      <w:pPr>
        <w:widowControl/>
        <w:wordWrap w:val="0"/>
        <w:spacing w:after="90" w:line="288" w:lineRule="auto"/>
        <w:ind w:firstLine="480"/>
        <w:jc w:val="left"/>
        <w:rPr>
          <w:rFonts w:hint="eastAsia" w:ascii="仿宋_GB2312" w:hAnsi="宋体" w:eastAsia="仿宋_GB2312" w:cs="仿宋_GB2312"/>
          <w:kern w:val="0"/>
          <w:sz w:val="28"/>
          <w:szCs w:val="28"/>
          <w:lang w:eastAsia="zh-CN"/>
        </w:rPr>
      </w:pPr>
      <w:r>
        <w:rPr>
          <w:rFonts w:hint="default" w:ascii="仿宋_GB2312" w:hAnsi="宋体" w:eastAsia="仿宋_GB2312" w:cs="仿宋_GB2312"/>
          <w:kern w:val="0"/>
          <w:sz w:val="28"/>
          <w:szCs w:val="28"/>
          <w:lang w:eastAsia="zh-CN"/>
        </w:rPr>
        <w:t>国际市场铋锭价格报价在3.</w:t>
      </w:r>
      <w:r>
        <w:rPr>
          <w:rFonts w:hint="eastAsia" w:ascii="仿宋_GB2312" w:hAnsi="宋体" w:eastAsia="仿宋_GB2312" w:cs="仿宋_GB2312"/>
          <w:kern w:val="0"/>
          <w:sz w:val="28"/>
          <w:szCs w:val="28"/>
          <w:lang w:val="en-US" w:eastAsia="zh-CN"/>
        </w:rPr>
        <w:t>4</w:t>
      </w:r>
      <w:r>
        <w:rPr>
          <w:rFonts w:hint="default" w:ascii="仿宋_GB2312" w:hAnsi="宋体" w:eastAsia="仿宋_GB2312" w:cs="仿宋_GB2312"/>
          <w:kern w:val="0"/>
          <w:sz w:val="28"/>
          <w:szCs w:val="28"/>
          <w:lang w:eastAsia="zh-CN"/>
        </w:rPr>
        <w:t>-</w:t>
      </w:r>
      <w:r>
        <w:rPr>
          <w:rFonts w:hint="eastAsia" w:ascii="仿宋_GB2312" w:hAnsi="宋体" w:eastAsia="仿宋_GB2312" w:cs="仿宋_GB2312"/>
          <w:kern w:val="0"/>
          <w:sz w:val="28"/>
          <w:szCs w:val="28"/>
          <w:lang w:val="en-US" w:eastAsia="zh-CN"/>
        </w:rPr>
        <w:t>3.8</w:t>
      </w:r>
      <w:r>
        <w:rPr>
          <w:rFonts w:hint="default" w:ascii="仿宋_GB2312" w:hAnsi="宋体" w:eastAsia="仿宋_GB2312" w:cs="仿宋_GB2312"/>
          <w:kern w:val="0"/>
          <w:sz w:val="28"/>
          <w:szCs w:val="28"/>
          <w:lang w:eastAsia="zh-CN"/>
        </w:rPr>
        <w:t>美元/磅，</w:t>
      </w:r>
      <w:r>
        <w:rPr>
          <w:rFonts w:hint="eastAsia" w:ascii="仿宋_GB2312" w:hAnsi="宋体" w:eastAsia="仿宋_GB2312" w:cs="仿宋_GB2312"/>
          <w:kern w:val="0"/>
          <w:sz w:val="28"/>
          <w:szCs w:val="28"/>
          <w:lang w:eastAsia="zh-CN"/>
        </w:rPr>
        <w:t>最低价较上周上调</w:t>
      </w:r>
      <w:r>
        <w:rPr>
          <w:rFonts w:hint="eastAsia" w:ascii="仿宋_GB2312" w:hAnsi="宋体" w:eastAsia="仿宋_GB2312" w:cs="仿宋_GB2312"/>
          <w:kern w:val="0"/>
          <w:sz w:val="28"/>
          <w:szCs w:val="28"/>
          <w:lang w:val="en-US" w:eastAsia="zh-CN"/>
        </w:rPr>
        <w:t>0.1</w:t>
      </w:r>
      <w:r>
        <w:rPr>
          <w:rFonts w:hint="default" w:ascii="仿宋_GB2312" w:hAnsi="宋体" w:eastAsia="仿宋_GB2312" w:cs="仿宋_GB2312"/>
          <w:kern w:val="0"/>
          <w:sz w:val="28"/>
          <w:szCs w:val="28"/>
          <w:lang w:eastAsia="zh-CN"/>
        </w:rPr>
        <w:t>美元/磅</w:t>
      </w:r>
      <w:r>
        <w:rPr>
          <w:rFonts w:hint="eastAsia" w:ascii="仿宋_GB2312" w:hAnsi="宋体" w:eastAsia="仿宋_GB2312" w:cs="仿宋_GB2312"/>
          <w:kern w:val="0"/>
          <w:sz w:val="28"/>
          <w:szCs w:val="28"/>
          <w:lang w:val="en-US" w:eastAsia="zh-CN"/>
        </w:rPr>
        <w:t>。</w:t>
      </w:r>
      <w:r>
        <w:rPr>
          <w:rFonts w:hint="default" w:ascii="仿宋_GB2312" w:hAnsi="宋体" w:eastAsia="仿宋_GB2312" w:cs="仿宋_GB2312"/>
          <w:kern w:val="0"/>
          <w:sz w:val="28"/>
          <w:szCs w:val="28"/>
          <w:lang w:eastAsia="zh-CN"/>
        </w:rPr>
        <w:t>欧洲鹿特丹市场最新报价在</w:t>
      </w:r>
      <w:r>
        <w:rPr>
          <w:rFonts w:hint="eastAsia" w:ascii="仿宋_GB2312" w:hAnsi="宋体" w:eastAsia="仿宋_GB2312" w:cs="仿宋_GB2312"/>
          <w:kern w:val="0"/>
          <w:sz w:val="28"/>
          <w:szCs w:val="28"/>
          <w:lang w:val="en-US" w:eastAsia="zh-CN"/>
        </w:rPr>
        <w:t>4.25</w:t>
      </w:r>
      <w:r>
        <w:rPr>
          <w:rFonts w:hint="default" w:ascii="仿宋_GB2312" w:hAnsi="宋体" w:eastAsia="仿宋_GB2312" w:cs="仿宋_GB2312"/>
          <w:kern w:val="0"/>
          <w:sz w:val="28"/>
          <w:szCs w:val="28"/>
          <w:lang w:eastAsia="zh-CN"/>
        </w:rPr>
        <w:t>美元/磅，较上周</w:t>
      </w:r>
      <w:r>
        <w:rPr>
          <w:rFonts w:hint="eastAsia" w:ascii="仿宋_GB2312" w:hAnsi="宋体" w:eastAsia="仿宋_GB2312" w:cs="仿宋_GB2312"/>
          <w:kern w:val="0"/>
          <w:sz w:val="28"/>
          <w:szCs w:val="28"/>
          <w:lang w:eastAsia="zh-CN"/>
        </w:rPr>
        <w:t>五</w:t>
      </w:r>
      <w:r>
        <w:rPr>
          <w:rFonts w:hint="default" w:ascii="仿宋_GB2312" w:hAnsi="宋体" w:eastAsia="仿宋_GB2312" w:cs="仿宋_GB2312"/>
          <w:kern w:val="0"/>
          <w:sz w:val="28"/>
          <w:szCs w:val="28"/>
          <w:lang w:eastAsia="zh-CN"/>
        </w:rPr>
        <w:t>报</w:t>
      </w:r>
      <w:r>
        <w:rPr>
          <w:rFonts w:hint="eastAsia" w:ascii="仿宋_GB2312" w:hAnsi="宋体" w:eastAsia="仿宋_GB2312" w:cs="仿宋_GB2312"/>
          <w:kern w:val="0"/>
          <w:sz w:val="28"/>
          <w:szCs w:val="28"/>
          <w:lang w:eastAsia="zh-CN"/>
        </w:rPr>
        <w:t>价保持不变</w:t>
      </w:r>
      <w:r>
        <w:rPr>
          <w:rFonts w:hint="default" w:ascii="仿宋_GB2312" w:hAnsi="宋体" w:eastAsia="仿宋_GB2312" w:cs="仿宋_GB2312"/>
          <w:kern w:val="0"/>
          <w:sz w:val="28"/>
          <w:szCs w:val="28"/>
          <w:lang w:eastAsia="zh-CN"/>
        </w:rPr>
        <w:t>；出口市场价格3.</w:t>
      </w:r>
      <w:r>
        <w:rPr>
          <w:rFonts w:hint="eastAsia" w:ascii="仿宋_GB2312" w:hAnsi="宋体" w:eastAsia="仿宋_GB2312" w:cs="仿宋_GB2312"/>
          <w:kern w:val="0"/>
          <w:sz w:val="28"/>
          <w:szCs w:val="28"/>
          <w:lang w:val="en-US" w:eastAsia="zh-CN"/>
        </w:rPr>
        <w:t>4</w:t>
      </w:r>
      <w:r>
        <w:rPr>
          <w:rFonts w:hint="default" w:ascii="仿宋_GB2312" w:hAnsi="宋体" w:eastAsia="仿宋_GB2312" w:cs="仿宋_GB2312"/>
          <w:kern w:val="0"/>
          <w:sz w:val="28"/>
          <w:szCs w:val="28"/>
          <w:lang w:eastAsia="zh-CN"/>
        </w:rPr>
        <w:t>-3.</w:t>
      </w:r>
      <w:r>
        <w:rPr>
          <w:rFonts w:hint="eastAsia" w:ascii="仿宋_GB2312" w:hAnsi="宋体" w:eastAsia="仿宋_GB2312" w:cs="仿宋_GB2312"/>
          <w:kern w:val="0"/>
          <w:sz w:val="28"/>
          <w:szCs w:val="28"/>
          <w:lang w:val="en-US" w:eastAsia="zh-CN"/>
        </w:rPr>
        <w:t>6</w:t>
      </w:r>
      <w:r>
        <w:rPr>
          <w:rFonts w:hint="default" w:ascii="仿宋_GB2312" w:hAnsi="宋体" w:eastAsia="仿宋_GB2312" w:cs="仿宋_GB2312"/>
          <w:kern w:val="0"/>
          <w:sz w:val="28"/>
          <w:szCs w:val="28"/>
          <w:lang w:eastAsia="zh-CN"/>
        </w:rPr>
        <w:t>美元/磅</w:t>
      </w:r>
      <w:r>
        <w:rPr>
          <w:rFonts w:hint="eastAsia" w:ascii="仿宋_GB2312" w:hAnsi="宋体" w:eastAsia="仿宋_GB2312" w:cs="仿宋_GB2312"/>
          <w:kern w:val="0"/>
          <w:sz w:val="28"/>
          <w:szCs w:val="28"/>
          <w:lang w:eastAsia="zh-CN"/>
        </w:rPr>
        <w:t>，均价较上周五保持不变。</w:t>
      </w:r>
    </w:p>
    <w:p>
      <w:pPr>
        <w:widowControl/>
        <w:wordWrap w:val="0"/>
        <w:spacing w:after="90" w:line="288" w:lineRule="auto"/>
        <w:ind w:firstLine="480"/>
        <w:jc w:val="left"/>
        <w:rPr>
          <w:rFonts w:hint="default" w:ascii="仿宋_GB2312" w:hAnsi="宋体" w:eastAsia="仿宋_GB2312" w:cs="仿宋_GB2312"/>
          <w:kern w:val="0"/>
          <w:sz w:val="28"/>
          <w:szCs w:val="28"/>
          <w:lang w:eastAsia="zh-CN"/>
        </w:rPr>
      </w:pPr>
      <w:r>
        <w:rPr>
          <w:rFonts w:hint="eastAsia" w:ascii="仿宋_GB2312" w:hAnsi="宋体" w:eastAsia="仿宋_GB2312" w:cs="仿宋_GB2312"/>
          <w:kern w:val="0"/>
          <w:sz w:val="28"/>
          <w:szCs w:val="28"/>
          <w:lang w:eastAsia="zh-CN"/>
        </w:rPr>
        <w:t>本周</w:t>
      </w:r>
      <w:r>
        <w:rPr>
          <w:rFonts w:hint="default" w:ascii="仿宋_GB2312" w:hAnsi="宋体" w:eastAsia="仿宋_GB2312" w:cs="仿宋_GB2312"/>
          <w:kern w:val="0"/>
          <w:sz w:val="28"/>
          <w:szCs w:val="28"/>
          <w:lang w:eastAsia="zh-CN"/>
        </w:rPr>
        <w:t>铋</w:t>
      </w:r>
      <w:r>
        <w:rPr>
          <w:rFonts w:hint="eastAsia" w:ascii="仿宋_GB2312" w:hAnsi="宋体" w:eastAsia="仿宋_GB2312" w:cs="仿宋_GB2312"/>
          <w:kern w:val="0"/>
          <w:sz w:val="28"/>
          <w:szCs w:val="28"/>
          <w:lang w:eastAsia="zh-CN"/>
        </w:rPr>
        <w:t>锭</w:t>
      </w:r>
      <w:r>
        <w:rPr>
          <w:rFonts w:hint="default" w:ascii="仿宋_GB2312" w:hAnsi="宋体" w:eastAsia="仿宋_GB2312" w:cs="仿宋_GB2312"/>
          <w:kern w:val="0"/>
          <w:sz w:val="28"/>
          <w:szCs w:val="28"/>
          <w:lang w:eastAsia="zh-CN"/>
        </w:rPr>
        <w:t>市场</w:t>
      </w:r>
      <w:r>
        <w:rPr>
          <w:rFonts w:hint="eastAsia" w:ascii="仿宋_GB2312" w:hAnsi="宋体" w:eastAsia="仿宋_GB2312" w:cs="仿宋_GB2312"/>
          <w:kern w:val="0"/>
          <w:sz w:val="28"/>
          <w:szCs w:val="28"/>
          <w:lang w:eastAsia="zh-CN"/>
        </w:rPr>
        <w:t>的交易量相对较少，在过去的一周，由于消费商的采购意愿普遍较为清淡，对市场持有观望态度，都在等待价格的进一步下跌，所以市场上的询单并不活跃，采购活动也是寥寥无几。市场整体需求疲软，贸易商普遍对</w:t>
      </w:r>
      <w:r>
        <w:rPr>
          <w:rFonts w:hint="default" w:ascii="仿宋_GB2312" w:hAnsi="宋体" w:eastAsia="仿宋_GB2312" w:cs="仿宋_GB2312"/>
          <w:kern w:val="0"/>
          <w:sz w:val="28"/>
          <w:szCs w:val="28"/>
          <w:lang w:eastAsia="zh-CN"/>
        </w:rPr>
        <w:t>铋</w:t>
      </w:r>
      <w:r>
        <w:rPr>
          <w:rFonts w:hint="eastAsia" w:ascii="仿宋_GB2312" w:hAnsi="宋体" w:eastAsia="仿宋_GB2312" w:cs="仿宋_GB2312"/>
          <w:kern w:val="0"/>
          <w:sz w:val="28"/>
          <w:szCs w:val="28"/>
          <w:lang w:eastAsia="zh-CN"/>
        </w:rPr>
        <w:t>锭的后市并不看好，预计下周价格可能会持续下跌。</w:t>
      </w:r>
      <w:r>
        <w:rPr>
          <w:rFonts w:hint="default" w:ascii="仿宋_GB2312" w:hAnsi="宋体" w:eastAsia="仿宋_GB2312" w:cs="仿宋_GB2312"/>
          <w:kern w:val="0"/>
          <w:sz w:val="28"/>
          <w:szCs w:val="28"/>
          <w:lang w:eastAsia="zh-CN"/>
        </w:rPr>
        <w:t>截至本周五铋锭主流报价为</w:t>
      </w:r>
      <w:r>
        <w:rPr>
          <w:rFonts w:hint="eastAsia" w:ascii="仿宋_GB2312" w:hAnsi="宋体" w:eastAsia="仿宋_GB2312" w:cs="仿宋_GB2312"/>
          <w:kern w:val="0"/>
          <w:sz w:val="28"/>
          <w:szCs w:val="28"/>
          <w:lang w:val="en-US" w:eastAsia="zh-CN"/>
        </w:rPr>
        <w:t>47500-4850</w:t>
      </w:r>
      <w:r>
        <w:rPr>
          <w:rFonts w:hint="default" w:ascii="仿宋_GB2312" w:hAnsi="宋体" w:eastAsia="仿宋_GB2312" w:cs="仿宋_GB2312"/>
          <w:kern w:val="0"/>
          <w:sz w:val="28"/>
          <w:szCs w:val="28"/>
          <w:lang w:eastAsia="zh-CN"/>
        </w:rPr>
        <w:t>0元/吨，均价格较上周五</w:t>
      </w:r>
      <w:r>
        <w:rPr>
          <w:rFonts w:hint="eastAsia" w:ascii="仿宋_GB2312" w:hAnsi="宋体" w:eastAsia="仿宋_GB2312" w:cs="仿宋_GB2312"/>
          <w:kern w:val="0"/>
          <w:sz w:val="28"/>
          <w:szCs w:val="28"/>
          <w:lang w:eastAsia="zh-CN"/>
        </w:rPr>
        <w:t>下调</w:t>
      </w:r>
      <w:r>
        <w:rPr>
          <w:rFonts w:hint="eastAsia" w:ascii="仿宋_GB2312" w:hAnsi="宋体" w:eastAsia="仿宋_GB2312" w:cs="仿宋_GB2312"/>
          <w:kern w:val="0"/>
          <w:sz w:val="28"/>
          <w:szCs w:val="28"/>
          <w:lang w:val="en-US" w:eastAsia="zh-CN"/>
        </w:rPr>
        <w:t>500</w:t>
      </w:r>
      <w:r>
        <w:rPr>
          <w:rFonts w:hint="default" w:ascii="仿宋_GB2312" w:hAnsi="宋体" w:eastAsia="仿宋_GB2312" w:cs="仿宋_GB2312"/>
          <w:kern w:val="0"/>
          <w:sz w:val="28"/>
          <w:szCs w:val="28"/>
          <w:lang w:eastAsia="zh-CN"/>
        </w:rPr>
        <w:t>元/吨。</w:t>
      </w:r>
    </w:p>
    <w:p>
      <w:pPr>
        <w:widowControl/>
        <w:wordWrap w:val="0"/>
        <w:spacing w:after="90" w:line="288" w:lineRule="auto"/>
        <w:ind w:firstLine="480"/>
        <w:jc w:val="left"/>
        <w:rPr>
          <w:rFonts w:hint="default" w:ascii="仿宋_GB2312" w:hAnsi="宋体" w:eastAsia="仿宋_GB2312" w:cs="仿宋_GB2312"/>
          <w:kern w:val="0"/>
          <w:sz w:val="28"/>
          <w:szCs w:val="28"/>
          <w:lang w:eastAsia="zh-CN"/>
        </w:rPr>
      </w:pPr>
      <w:r>
        <w:rPr>
          <w:rFonts w:hint="default" w:ascii="仿宋_GB2312" w:hAnsi="宋体" w:eastAsia="仿宋_GB2312" w:cs="仿宋_GB2312"/>
          <w:kern w:val="0"/>
          <w:sz w:val="28"/>
          <w:szCs w:val="28"/>
          <w:lang w:eastAsia="zh-CN"/>
        </w:rPr>
        <w:t>目前氧化铋报价稳定在</w:t>
      </w:r>
      <w:r>
        <w:rPr>
          <w:rFonts w:hint="eastAsia" w:ascii="仿宋_GB2312" w:hAnsi="宋体" w:eastAsia="仿宋_GB2312" w:cs="仿宋_GB2312"/>
          <w:kern w:val="0"/>
          <w:sz w:val="28"/>
          <w:szCs w:val="28"/>
          <w:lang w:val="en-US" w:eastAsia="zh-CN"/>
        </w:rPr>
        <w:t>50000</w:t>
      </w:r>
      <w:r>
        <w:rPr>
          <w:rFonts w:hint="default" w:ascii="仿宋_GB2312" w:hAnsi="宋体" w:eastAsia="仿宋_GB2312" w:cs="仿宋_GB2312"/>
          <w:kern w:val="0"/>
          <w:sz w:val="28"/>
          <w:szCs w:val="28"/>
          <w:lang w:eastAsia="zh-CN"/>
        </w:rPr>
        <w:t>-</w:t>
      </w:r>
      <w:r>
        <w:rPr>
          <w:rFonts w:hint="eastAsia" w:ascii="仿宋_GB2312" w:hAnsi="宋体" w:eastAsia="仿宋_GB2312" w:cs="仿宋_GB2312"/>
          <w:kern w:val="0"/>
          <w:sz w:val="28"/>
          <w:szCs w:val="28"/>
          <w:lang w:val="en-US" w:eastAsia="zh-CN"/>
        </w:rPr>
        <w:t>52000</w:t>
      </w:r>
      <w:r>
        <w:rPr>
          <w:rFonts w:hint="default" w:ascii="仿宋_GB2312" w:hAnsi="宋体" w:eastAsia="仿宋_GB2312" w:cs="仿宋_GB2312"/>
          <w:kern w:val="0"/>
          <w:sz w:val="28"/>
          <w:szCs w:val="28"/>
          <w:lang w:eastAsia="zh-CN"/>
        </w:rPr>
        <w:t>元/吨，</w:t>
      </w:r>
      <w:r>
        <w:rPr>
          <w:rFonts w:hint="eastAsia" w:ascii="仿宋_GB2312" w:hAnsi="宋体" w:eastAsia="仿宋_GB2312" w:cs="仿宋_GB2312"/>
          <w:kern w:val="0"/>
          <w:sz w:val="28"/>
          <w:szCs w:val="28"/>
          <w:lang w:eastAsia="zh-CN"/>
        </w:rPr>
        <w:t>均价</w:t>
      </w:r>
      <w:r>
        <w:rPr>
          <w:rFonts w:hint="default" w:ascii="仿宋_GB2312" w:hAnsi="宋体" w:eastAsia="仿宋_GB2312" w:cs="仿宋_GB2312"/>
          <w:kern w:val="0"/>
          <w:sz w:val="28"/>
          <w:szCs w:val="28"/>
          <w:lang w:eastAsia="zh-CN"/>
        </w:rPr>
        <w:t>较上周</w:t>
      </w:r>
      <w:r>
        <w:rPr>
          <w:rFonts w:hint="eastAsia" w:ascii="仿宋_GB2312" w:hAnsi="宋体" w:eastAsia="仿宋_GB2312" w:cs="仿宋_GB2312"/>
          <w:kern w:val="0"/>
          <w:sz w:val="28"/>
          <w:szCs w:val="28"/>
          <w:lang w:eastAsia="zh-CN"/>
        </w:rPr>
        <w:t>五持平</w:t>
      </w:r>
      <w:r>
        <w:rPr>
          <w:rFonts w:hint="default" w:ascii="仿宋_GB2312" w:hAnsi="宋体" w:eastAsia="仿宋_GB2312" w:cs="仿宋_GB2312"/>
          <w:kern w:val="0"/>
          <w:sz w:val="28"/>
          <w:szCs w:val="28"/>
          <w:lang w:eastAsia="zh-CN"/>
        </w:rPr>
        <w:t>。市场</w:t>
      </w:r>
      <w:r>
        <w:rPr>
          <w:rFonts w:hint="eastAsia" w:ascii="仿宋_GB2312" w:hAnsi="宋体" w:eastAsia="仿宋_GB2312" w:cs="仿宋_GB2312"/>
          <w:kern w:val="0"/>
          <w:sz w:val="28"/>
          <w:szCs w:val="28"/>
          <w:lang w:eastAsia="zh-CN"/>
        </w:rPr>
        <w:t>整体持续稳定运行</w:t>
      </w:r>
      <w:r>
        <w:rPr>
          <w:rFonts w:hint="default" w:ascii="仿宋_GB2312" w:hAnsi="宋体" w:eastAsia="仿宋_GB2312" w:cs="仿宋_GB2312"/>
          <w:kern w:val="0"/>
          <w:sz w:val="28"/>
          <w:szCs w:val="28"/>
          <w:lang w:eastAsia="zh-CN"/>
        </w:rPr>
        <w:t>。</w:t>
      </w:r>
    </w:p>
    <w:p>
      <w:pPr>
        <w:widowControl/>
        <w:wordWrap w:val="0"/>
        <w:spacing w:after="90" w:line="288" w:lineRule="auto"/>
        <w:ind w:firstLine="480"/>
        <w:jc w:val="left"/>
        <w:rPr>
          <w:rFonts w:hint="default" w:ascii="仿宋_GB2312" w:hAnsi="宋体" w:eastAsia="仿宋_GB2312" w:cs="仿宋_GB2312"/>
          <w:kern w:val="0"/>
          <w:sz w:val="28"/>
          <w:szCs w:val="28"/>
          <w:lang w:eastAsia="zh-CN"/>
        </w:rPr>
      </w:pPr>
      <w:r>
        <w:rPr>
          <w:rFonts w:hint="default" w:ascii="仿宋_GB2312" w:hAnsi="宋体" w:eastAsia="仿宋_GB2312" w:cs="仿宋_GB2312"/>
          <w:kern w:val="0"/>
          <w:sz w:val="28"/>
          <w:szCs w:val="28"/>
          <w:lang w:eastAsia="zh-CN"/>
        </w:rPr>
        <w:t>分析评述：</w:t>
      </w:r>
    </w:p>
    <w:p>
      <w:pPr>
        <w:widowControl/>
        <w:wordWrap w:val="0"/>
        <w:spacing w:after="90" w:line="288" w:lineRule="auto"/>
        <w:ind w:firstLine="480"/>
        <w:jc w:val="left"/>
        <w:rPr>
          <w:rFonts w:hint="default" w:ascii="仿宋_GB2312" w:hAnsi="宋体" w:eastAsia="仿宋_GB2312" w:cs="仿宋_GB2312"/>
          <w:kern w:val="0"/>
          <w:sz w:val="28"/>
          <w:szCs w:val="28"/>
          <w:lang w:eastAsia="zh-CN"/>
        </w:rPr>
      </w:pPr>
      <w:r>
        <w:rPr>
          <w:rFonts w:hint="eastAsia" w:ascii="仿宋_GB2312" w:hAnsi="宋体" w:eastAsia="仿宋_GB2312" w:cs="仿宋_GB2312"/>
          <w:kern w:val="0"/>
          <w:sz w:val="28"/>
          <w:szCs w:val="28"/>
          <w:lang w:eastAsia="zh-CN"/>
        </w:rPr>
        <w:t>由于当前市场活跃度较低，</w:t>
      </w:r>
      <w:r>
        <w:rPr>
          <w:rFonts w:hint="default" w:ascii="仿宋_GB2312" w:hAnsi="宋体" w:eastAsia="仿宋_GB2312" w:cs="仿宋_GB2312"/>
          <w:kern w:val="0"/>
          <w:sz w:val="28"/>
          <w:szCs w:val="28"/>
          <w:lang w:eastAsia="zh-CN"/>
        </w:rPr>
        <w:t>预计短期内市场</w:t>
      </w:r>
      <w:r>
        <w:rPr>
          <w:rFonts w:hint="eastAsia" w:ascii="仿宋_GB2312" w:hAnsi="宋体" w:eastAsia="仿宋_GB2312" w:cs="仿宋_GB2312"/>
          <w:kern w:val="0"/>
          <w:sz w:val="28"/>
          <w:szCs w:val="28"/>
          <w:lang w:eastAsia="zh-CN"/>
        </w:rPr>
        <w:t>价格将会弱势运行</w:t>
      </w:r>
      <w:r>
        <w:rPr>
          <w:rFonts w:hint="default" w:ascii="仿宋_GB2312" w:hAnsi="宋体" w:eastAsia="仿宋_GB2312" w:cs="仿宋_GB2312"/>
          <w:kern w:val="0"/>
          <w:sz w:val="28"/>
          <w:szCs w:val="28"/>
          <w:lang w:eastAsia="zh-CN"/>
        </w:rPr>
        <w:t>。</w:t>
      </w:r>
    </w:p>
    <w:p>
      <w:pPr>
        <w:widowControl/>
        <w:wordWrap w:val="0"/>
        <w:spacing w:after="90" w:line="288" w:lineRule="auto"/>
        <w:ind w:firstLine="480"/>
        <w:jc w:val="left"/>
        <w:rPr>
          <w:rFonts w:hint="eastAsia" w:ascii="仿宋_GB2312" w:hAnsi="宋体" w:eastAsia="仿宋_GB2312" w:cs="仿宋_GB2312"/>
          <w:kern w:val="0"/>
          <w:sz w:val="28"/>
          <w:szCs w:val="28"/>
          <w:lang w:val="en-US" w:eastAsia="zh-CN"/>
        </w:rPr>
      </w:pPr>
    </w:p>
    <w:p>
      <w:pPr>
        <w:pStyle w:val="4"/>
        <w:spacing w:line="400" w:lineRule="exact"/>
        <w:rPr>
          <w:rFonts w:hint="eastAsia" w:eastAsia="宋体"/>
          <w:kern w:val="0"/>
          <w:lang w:eastAsia="zh-CN"/>
        </w:rPr>
      </w:pPr>
      <w:bookmarkStart w:id="5" w:name="_Toc21967"/>
      <w:r>
        <w:rPr>
          <w:kern w:val="0"/>
        </w:rPr>
        <w:t>3</w:t>
      </w:r>
      <w:r>
        <w:rPr>
          <w:rFonts w:hint="eastAsia"/>
          <w:kern w:val="0"/>
        </w:rPr>
        <w:t>、铟评论</w:t>
      </w:r>
      <w:r>
        <w:rPr>
          <w:kern w:val="0"/>
        </w:rPr>
        <w:t xml:space="preserve">: </w:t>
      </w:r>
      <w:r>
        <w:rPr>
          <w:rFonts w:hint="eastAsia"/>
          <w:kern w:val="0"/>
        </w:rPr>
        <w:t>铟市成交稀少 弱稳运行</w:t>
      </w:r>
      <w:bookmarkEnd w:id="5"/>
    </w:p>
    <w:p>
      <w:pPr>
        <w:widowControl/>
        <w:wordWrap w:val="0"/>
        <w:spacing w:after="90" w:line="288" w:lineRule="auto"/>
        <w:ind w:firstLine="480"/>
        <w:jc w:val="left"/>
        <w:rPr>
          <w:rFonts w:hint="default" w:ascii="仿宋_GB2312" w:hAnsi="宋体" w:eastAsia="仿宋_GB2312" w:cs="仿宋_GB2312"/>
          <w:kern w:val="0"/>
          <w:sz w:val="28"/>
          <w:szCs w:val="28"/>
          <w:lang w:eastAsia="zh-CN"/>
        </w:rPr>
      </w:pPr>
      <w:r>
        <w:rPr>
          <w:rFonts w:hint="default" w:ascii="仿宋_GB2312" w:hAnsi="宋体" w:eastAsia="仿宋_GB2312" w:cs="仿宋_GB2312"/>
          <w:kern w:val="0"/>
          <w:sz w:val="28"/>
          <w:szCs w:val="28"/>
          <w:lang w:eastAsia="zh-CN"/>
        </w:rPr>
        <w:t>中商网讯：整体来看,目前国内铟锭市场活跃度不高，现货市场成交相对稀少，采购商对后市缺乏信心，更倾向于观望后市。大多数客户当前观望市场的心态为主，市场需求相对疲软，询单也不活跃，出口市场成交同样十分的清淡。当前精铟主流成交价格在1240-1290元/公斤，均价较上一交易日下调10元/公斤。</w:t>
      </w:r>
    </w:p>
    <w:p>
      <w:pPr>
        <w:widowControl/>
        <w:wordWrap w:val="0"/>
        <w:spacing w:after="90" w:line="288" w:lineRule="auto"/>
        <w:ind w:firstLine="480"/>
        <w:jc w:val="left"/>
        <w:rPr>
          <w:rFonts w:hint="eastAsia" w:ascii="仿宋_GB2312" w:hAnsi="宋体" w:eastAsia="仿宋_GB2312" w:cs="仿宋_GB2312"/>
          <w:kern w:val="0"/>
          <w:sz w:val="28"/>
          <w:szCs w:val="28"/>
          <w:lang w:eastAsia="zh-CN"/>
        </w:rPr>
      </w:pPr>
      <w:r>
        <w:rPr>
          <w:rFonts w:hint="default" w:ascii="仿宋_GB2312" w:hAnsi="宋体" w:eastAsia="仿宋_GB2312" w:cs="仿宋_GB2312"/>
          <w:kern w:val="0"/>
          <w:sz w:val="28"/>
          <w:szCs w:val="28"/>
          <w:lang w:eastAsia="zh-CN"/>
        </w:rPr>
        <w:t>总的来看，预计短期内铟市价格可能会继续下降。</w:t>
      </w:r>
    </w:p>
    <w:p>
      <w:pPr>
        <w:pStyle w:val="4"/>
        <w:spacing w:line="400" w:lineRule="exact"/>
        <w:rPr>
          <w:rFonts w:hint="eastAsia" w:eastAsia="宋体" w:cs="宋体"/>
          <w:kern w:val="0"/>
          <w:lang w:eastAsia="zh-CN"/>
        </w:rPr>
      </w:pPr>
      <w:bookmarkStart w:id="6" w:name="_Toc13406"/>
      <w:r>
        <w:rPr>
          <w:kern w:val="0"/>
        </w:rPr>
        <w:t>4</w:t>
      </w:r>
      <w:r>
        <w:rPr>
          <w:rFonts w:hint="eastAsia" w:cs="宋体"/>
          <w:kern w:val="0"/>
        </w:rPr>
        <w:t>、碲评论：碲锭价格下降 成交稀少</w:t>
      </w:r>
      <w:bookmarkEnd w:id="6"/>
    </w:p>
    <w:p>
      <w:pPr>
        <w:widowControl/>
        <w:wordWrap w:val="0"/>
        <w:spacing w:after="90" w:line="288" w:lineRule="auto"/>
        <w:ind w:firstLine="480"/>
        <w:jc w:val="left"/>
        <w:rPr>
          <w:rFonts w:hint="eastAsia" w:ascii="仿宋_GB2312" w:hAnsi="宋体" w:eastAsia="仿宋_GB2312" w:cs="仿宋_GB2312"/>
          <w:kern w:val="0"/>
          <w:sz w:val="28"/>
          <w:szCs w:val="28"/>
          <w:lang w:val="en-US" w:eastAsia="zh-CN"/>
        </w:rPr>
      </w:pPr>
      <w:r>
        <w:rPr>
          <w:rFonts w:hint="eastAsia" w:ascii="仿宋_GB2312" w:hAnsi="宋体" w:eastAsia="仿宋_GB2312" w:cs="仿宋_GB2312"/>
          <w:kern w:val="0"/>
          <w:sz w:val="28"/>
          <w:szCs w:val="28"/>
          <w:lang w:val="en-US" w:eastAsia="zh-CN"/>
        </w:rPr>
        <w:t>中商网讯：目前碲锭市场需求不足，成交稀少。目前市场主流价格在400-420元/公斤，均价较本周一下降10元/公斤。</w:t>
      </w:r>
    </w:p>
    <w:p>
      <w:pPr>
        <w:widowControl/>
        <w:wordWrap w:val="0"/>
        <w:spacing w:after="90" w:line="288" w:lineRule="auto"/>
        <w:ind w:firstLine="480"/>
        <w:jc w:val="left"/>
        <w:rPr>
          <w:rFonts w:hint="default" w:ascii="仿宋_GB2312" w:hAnsi="宋体" w:eastAsia="仿宋_GB2312" w:cs="仿宋_GB2312"/>
          <w:kern w:val="0"/>
          <w:sz w:val="28"/>
          <w:szCs w:val="28"/>
          <w:lang w:val="en-US" w:eastAsia="zh-CN"/>
        </w:rPr>
      </w:pPr>
      <w:r>
        <w:rPr>
          <w:rFonts w:hint="default" w:ascii="仿宋_GB2312" w:hAnsi="宋体" w:eastAsia="仿宋_GB2312" w:cs="仿宋_GB2312"/>
          <w:kern w:val="0"/>
          <w:sz w:val="28"/>
          <w:szCs w:val="28"/>
          <w:lang w:val="en-US" w:eastAsia="zh-CN"/>
        </w:rPr>
        <w:t>目前总体看来，市场需求对价格的支撑力度不够，市场整体活跃度不高，成交不易。市场的询单量相对较少，许多贸易商由于价格太低暂停销售。</w:t>
      </w:r>
    </w:p>
    <w:p>
      <w:pPr>
        <w:widowControl/>
        <w:wordWrap w:val="0"/>
        <w:spacing w:after="90" w:line="288" w:lineRule="auto"/>
        <w:ind w:firstLine="480"/>
        <w:jc w:val="left"/>
        <w:rPr>
          <w:rFonts w:hint="eastAsia" w:ascii="仿宋_GB2312" w:hAnsi="宋体" w:eastAsia="仿宋_GB2312" w:cs="仿宋_GB2312"/>
          <w:kern w:val="0"/>
          <w:sz w:val="28"/>
          <w:szCs w:val="28"/>
          <w:lang w:val="en-US" w:eastAsia="zh-CN"/>
        </w:rPr>
      </w:pPr>
      <w:r>
        <w:rPr>
          <w:rFonts w:hint="default" w:ascii="仿宋_GB2312" w:hAnsi="宋体" w:eastAsia="仿宋_GB2312" w:cs="仿宋_GB2312"/>
          <w:kern w:val="0"/>
          <w:sz w:val="28"/>
          <w:szCs w:val="28"/>
          <w:lang w:val="en-US" w:eastAsia="zh-CN"/>
        </w:rPr>
        <w:t>预计未来一周金属碲99.99%min价格仍有下降的空间。</w:t>
      </w:r>
    </w:p>
    <w:p>
      <w:pPr>
        <w:pStyle w:val="2"/>
        <w:spacing w:line="400" w:lineRule="exact"/>
        <w:rPr>
          <w:kern w:val="0"/>
        </w:rPr>
      </w:pPr>
      <w:bookmarkStart w:id="7" w:name="_Toc108"/>
      <w:r>
        <w:rPr>
          <w:rFonts w:hint="eastAsia" w:cs="黑体"/>
        </w:rPr>
        <w:t>二、价格行情</w:t>
      </w:r>
      <w:bookmarkEnd w:id="7"/>
    </w:p>
    <w:p>
      <w:pPr>
        <w:pStyle w:val="4"/>
        <w:spacing w:line="400" w:lineRule="exact"/>
        <w:rPr>
          <w:rFonts w:cs="Times New Roman"/>
          <w:kern w:val="0"/>
        </w:rPr>
      </w:pPr>
      <w:bookmarkStart w:id="8" w:name="_Toc20417"/>
      <w:r>
        <w:rPr>
          <w:kern w:val="0"/>
        </w:rPr>
        <w:t>1</w:t>
      </w:r>
      <w:r>
        <w:rPr>
          <w:rFonts w:hint="eastAsia" w:cs="宋体"/>
          <w:kern w:val="0"/>
        </w:rPr>
        <w:t>、国际价格</w:t>
      </w:r>
      <w:bookmarkEnd w:id="8"/>
    </w:p>
    <w:tbl>
      <w:tblPr>
        <w:tblStyle w:val="21"/>
        <w:tblW w:w="8720" w:type="dxa"/>
        <w:tblInd w:w="-106" w:type="dxa"/>
        <w:tblLayout w:type="fixed"/>
        <w:tblCellMar>
          <w:top w:w="0" w:type="dxa"/>
          <w:left w:w="108" w:type="dxa"/>
          <w:bottom w:w="0" w:type="dxa"/>
          <w:right w:w="108" w:type="dxa"/>
        </w:tblCellMar>
      </w:tblPr>
      <w:tblGrid>
        <w:gridCol w:w="636"/>
        <w:gridCol w:w="531"/>
        <w:gridCol w:w="741"/>
        <w:gridCol w:w="644"/>
        <w:gridCol w:w="538"/>
        <w:gridCol w:w="576"/>
        <w:gridCol w:w="576"/>
        <w:gridCol w:w="576"/>
        <w:gridCol w:w="576"/>
        <w:gridCol w:w="547"/>
        <w:gridCol w:w="547"/>
        <w:gridCol w:w="475"/>
        <w:gridCol w:w="475"/>
        <w:gridCol w:w="583"/>
        <w:gridCol w:w="699"/>
      </w:tblGrid>
      <w:tr>
        <w:tblPrEx>
          <w:tblLayout w:type="fixed"/>
          <w:tblCellMar>
            <w:top w:w="0" w:type="dxa"/>
            <w:left w:w="108" w:type="dxa"/>
            <w:bottom w:w="0" w:type="dxa"/>
            <w:right w:w="108" w:type="dxa"/>
          </w:tblCellMar>
        </w:tblPrEx>
        <w:trPr>
          <w:trHeight w:val="255" w:hRule="atLeast"/>
        </w:trPr>
        <w:tc>
          <w:tcPr>
            <w:tcW w:w="8720" w:type="dxa"/>
            <w:gridSpan w:val="15"/>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ascii="仿宋_GB2312" w:hAnsi="宋体" w:eastAsia="仿宋_GB2312" w:cs="Times New Roman"/>
                <w:b/>
                <w:bCs/>
                <w:color w:val="000000"/>
                <w:kern w:val="0"/>
              </w:rPr>
            </w:pPr>
            <w:r>
              <w:rPr>
                <w:rFonts w:hint="eastAsia" w:ascii="仿宋_GB2312" w:hAnsi="宋体" w:eastAsia="仿宋_GB2312" w:cs="仿宋_GB2312"/>
                <w:b/>
                <w:bCs/>
                <w:color w:val="000000"/>
                <w:kern w:val="0"/>
              </w:rPr>
              <w:t>国际小金属价格</w:t>
            </w:r>
          </w:p>
        </w:tc>
      </w:tr>
      <w:tr>
        <w:tblPrEx>
          <w:tblLayout w:type="fixed"/>
          <w:tblCellMar>
            <w:top w:w="0" w:type="dxa"/>
            <w:left w:w="108" w:type="dxa"/>
            <w:bottom w:w="0" w:type="dxa"/>
            <w:right w:w="108" w:type="dxa"/>
          </w:tblCellMar>
        </w:tblPrEx>
        <w:trPr>
          <w:trHeight w:val="465" w:hRule="atLeast"/>
        </w:trPr>
        <w:tc>
          <w:tcPr>
            <w:tcW w:w="636"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Times New Roman"/>
                <w:color w:val="000000"/>
                <w:kern w:val="0"/>
              </w:rPr>
            </w:pPr>
            <w:r>
              <w:rPr>
                <w:rFonts w:hint="eastAsia" w:ascii="仿宋_GB2312" w:hAnsi="宋体" w:eastAsia="仿宋_GB2312" w:cs="仿宋_GB2312"/>
                <w:color w:val="000000"/>
                <w:kern w:val="0"/>
              </w:rPr>
              <w:t>日期</w:t>
            </w:r>
          </w:p>
        </w:tc>
        <w:tc>
          <w:tcPr>
            <w:tcW w:w="1272"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仿宋_GB2312" w:hAnsi="宋体" w:eastAsia="仿宋_GB2312" w:cs="Times New Roman"/>
                <w:color w:val="000000"/>
                <w:kern w:val="0"/>
              </w:rPr>
            </w:pPr>
            <w:r>
              <w:rPr>
                <w:rFonts w:hint="eastAsia" w:ascii="仿宋_GB2312" w:hAnsi="宋体" w:eastAsia="仿宋_GB2312" w:cs="仿宋_GB2312"/>
                <w:color w:val="000000"/>
                <w:kern w:val="0"/>
              </w:rPr>
              <w:t>硒（美元）</w:t>
            </w:r>
          </w:p>
        </w:tc>
        <w:tc>
          <w:tcPr>
            <w:tcW w:w="1182"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仿宋_GB2312" w:hAnsi="宋体" w:eastAsia="仿宋_GB2312" w:cs="Times New Roman"/>
                <w:color w:val="000000"/>
                <w:kern w:val="0"/>
              </w:rPr>
            </w:pPr>
            <w:r>
              <w:rPr>
                <w:rFonts w:hint="eastAsia" w:ascii="仿宋_GB2312" w:hAnsi="宋体" w:eastAsia="仿宋_GB2312" w:cs="仿宋_GB2312"/>
                <w:color w:val="000000"/>
                <w:kern w:val="0"/>
              </w:rPr>
              <w:t>铋（美元）</w:t>
            </w:r>
          </w:p>
        </w:tc>
        <w:tc>
          <w:tcPr>
            <w:tcW w:w="1152"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仿宋_GB2312" w:hAnsi="宋体" w:eastAsia="仿宋_GB2312" w:cs="Times New Roman"/>
                <w:color w:val="000000"/>
                <w:kern w:val="0"/>
              </w:rPr>
            </w:pPr>
            <w:r>
              <w:rPr>
                <w:rFonts w:hint="eastAsia" w:ascii="仿宋_GB2312" w:hAnsi="宋体" w:eastAsia="仿宋_GB2312" w:cs="仿宋_GB2312"/>
                <w:color w:val="000000"/>
                <w:kern w:val="0"/>
              </w:rPr>
              <w:t>镉</w:t>
            </w:r>
          </w:p>
          <w:p>
            <w:pPr>
              <w:widowControl/>
              <w:spacing w:line="400" w:lineRule="exact"/>
              <w:jc w:val="center"/>
              <w:rPr>
                <w:rFonts w:ascii="仿宋_GB2312" w:hAnsi="宋体" w:eastAsia="仿宋_GB2312" w:cs="Times New Roman"/>
                <w:color w:val="000000"/>
                <w:kern w:val="0"/>
              </w:rPr>
            </w:pPr>
            <w:r>
              <w:rPr>
                <w:rFonts w:hint="eastAsia" w:ascii="仿宋_GB2312" w:hAnsi="宋体" w:eastAsia="仿宋_GB2312" w:cs="仿宋_GB2312"/>
                <w:color w:val="000000"/>
                <w:kern w:val="0"/>
              </w:rPr>
              <w:t>（</w:t>
            </w:r>
            <w:r>
              <w:rPr>
                <w:rFonts w:ascii="仿宋_GB2312" w:hAnsi="宋体" w:eastAsia="仿宋_GB2312" w:cs="仿宋_GB2312"/>
                <w:color w:val="000000"/>
                <w:kern w:val="0"/>
              </w:rPr>
              <w:t>99.95</w:t>
            </w:r>
            <w:r>
              <w:rPr>
                <w:rFonts w:hint="eastAsia" w:ascii="仿宋_GB2312" w:hAnsi="宋体" w:eastAsia="仿宋_GB2312" w:cs="仿宋_GB2312"/>
                <w:color w:val="000000"/>
                <w:kern w:val="0"/>
              </w:rPr>
              <w:t>美分）</w:t>
            </w:r>
          </w:p>
        </w:tc>
        <w:tc>
          <w:tcPr>
            <w:tcW w:w="1152"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仿宋_GB2312" w:hAnsi="宋体" w:eastAsia="仿宋_GB2312" w:cs="Times New Roman"/>
                <w:color w:val="000000"/>
                <w:kern w:val="0"/>
              </w:rPr>
            </w:pPr>
            <w:r>
              <w:rPr>
                <w:rFonts w:hint="eastAsia" w:ascii="仿宋_GB2312" w:hAnsi="宋体" w:eastAsia="仿宋_GB2312" w:cs="仿宋_GB2312"/>
                <w:color w:val="000000"/>
                <w:kern w:val="0"/>
              </w:rPr>
              <w:t>镉</w:t>
            </w:r>
          </w:p>
          <w:p>
            <w:pPr>
              <w:widowControl/>
              <w:spacing w:line="400" w:lineRule="exact"/>
              <w:jc w:val="center"/>
              <w:rPr>
                <w:rFonts w:ascii="仿宋_GB2312" w:hAnsi="宋体" w:eastAsia="仿宋_GB2312" w:cs="Times New Roman"/>
                <w:color w:val="000000"/>
                <w:kern w:val="0"/>
              </w:rPr>
            </w:pPr>
            <w:r>
              <w:rPr>
                <w:rFonts w:hint="eastAsia" w:ascii="仿宋_GB2312" w:hAnsi="宋体" w:eastAsia="仿宋_GB2312" w:cs="仿宋_GB2312"/>
                <w:color w:val="000000"/>
                <w:kern w:val="0"/>
              </w:rPr>
              <w:t>（</w:t>
            </w:r>
            <w:r>
              <w:rPr>
                <w:rFonts w:ascii="仿宋_GB2312" w:hAnsi="宋体" w:eastAsia="仿宋_GB2312" w:cs="仿宋_GB2312"/>
                <w:color w:val="000000"/>
                <w:kern w:val="0"/>
              </w:rPr>
              <w:t>99.99</w:t>
            </w:r>
            <w:r>
              <w:rPr>
                <w:rFonts w:hint="eastAsia" w:ascii="仿宋_GB2312" w:hAnsi="宋体" w:eastAsia="仿宋_GB2312" w:cs="仿宋_GB2312"/>
                <w:color w:val="000000"/>
                <w:kern w:val="0"/>
              </w:rPr>
              <w:t>美分）</w:t>
            </w:r>
          </w:p>
        </w:tc>
        <w:tc>
          <w:tcPr>
            <w:tcW w:w="1094"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仿宋_GB2312" w:hAnsi="宋体" w:eastAsia="仿宋_GB2312" w:cs="Times New Roman"/>
                <w:color w:val="000000"/>
                <w:kern w:val="0"/>
              </w:rPr>
            </w:pPr>
            <w:r>
              <w:rPr>
                <w:rFonts w:hint="eastAsia" w:ascii="仿宋_GB2312" w:hAnsi="宋体" w:eastAsia="仿宋_GB2312" w:cs="仿宋_GB2312"/>
                <w:color w:val="000000"/>
                <w:kern w:val="0"/>
              </w:rPr>
              <w:t>铟（美元）</w:t>
            </w:r>
          </w:p>
        </w:tc>
        <w:tc>
          <w:tcPr>
            <w:tcW w:w="950"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仿宋_GB2312" w:hAnsi="宋体" w:eastAsia="仿宋_GB2312" w:cs="Times New Roman"/>
                <w:color w:val="000000"/>
                <w:kern w:val="0"/>
              </w:rPr>
            </w:pPr>
            <w:r>
              <w:rPr>
                <w:rFonts w:hint="eastAsia" w:ascii="仿宋_GB2312" w:hAnsi="宋体" w:eastAsia="仿宋_GB2312" w:cs="仿宋_GB2312"/>
                <w:color w:val="000000"/>
                <w:kern w:val="0"/>
              </w:rPr>
              <w:t>碲锭（美元）</w:t>
            </w:r>
          </w:p>
        </w:tc>
        <w:tc>
          <w:tcPr>
            <w:tcW w:w="1282"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仿宋_GB2312" w:hAnsi="宋体" w:eastAsia="仿宋_GB2312" w:cs="Times New Roman"/>
                <w:color w:val="000000"/>
                <w:kern w:val="0"/>
              </w:rPr>
            </w:pPr>
            <w:r>
              <w:rPr>
                <w:rFonts w:hint="eastAsia" w:ascii="仿宋_GB2312" w:hAnsi="宋体" w:eastAsia="仿宋_GB2312" w:cs="仿宋_GB2312"/>
                <w:color w:val="000000"/>
                <w:kern w:val="0"/>
              </w:rPr>
              <w:t>二氧化锗（美元）</w:t>
            </w:r>
          </w:p>
        </w:tc>
      </w:tr>
      <w:tr>
        <w:tblPrEx>
          <w:tblLayout w:type="fixed"/>
          <w:tblCellMar>
            <w:top w:w="0" w:type="dxa"/>
            <w:left w:w="108" w:type="dxa"/>
            <w:bottom w:w="0" w:type="dxa"/>
            <w:right w:w="108" w:type="dxa"/>
          </w:tblCellMar>
        </w:tblPrEx>
        <w:trPr>
          <w:trHeight w:val="465" w:hRule="atLeast"/>
        </w:trPr>
        <w:tc>
          <w:tcPr>
            <w:tcW w:w="636"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hint="default" w:ascii="仿宋_GB2312" w:hAnsi="宋体" w:eastAsia="仿宋_GB2312" w:cs="Times New Roman"/>
                <w:kern w:val="0"/>
                <w:lang w:val="en-US" w:eastAsia="zh-CN"/>
              </w:rPr>
            </w:pPr>
            <w:bookmarkStart w:id="9" w:name="_Toc296348073"/>
            <w:r>
              <w:rPr>
                <w:rFonts w:hint="eastAsia" w:ascii="仿宋_GB2312" w:hAnsi="宋体" w:eastAsia="仿宋_GB2312" w:cs="仿宋_GB2312"/>
                <w:kern w:val="0"/>
                <w:lang w:val="en-US" w:eastAsia="zh-CN"/>
              </w:rPr>
              <w:t>4</w:t>
            </w:r>
            <w:r>
              <w:rPr>
                <w:rFonts w:ascii="仿宋_GB2312" w:hAnsi="宋体" w:eastAsia="仿宋_GB2312" w:cs="仿宋_GB2312"/>
                <w:kern w:val="0"/>
              </w:rPr>
              <w:t>-</w:t>
            </w:r>
            <w:r>
              <w:rPr>
                <w:rFonts w:hint="eastAsia" w:ascii="仿宋_GB2312" w:hAnsi="宋体" w:eastAsia="仿宋_GB2312" w:cs="仿宋_GB2312"/>
                <w:kern w:val="0"/>
                <w:lang w:val="en-US" w:eastAsia="zh-CN"/>
              </w:rPr>
              <w:t>17</w:t>
            </w:r>
          </w:p>
        </w:tc>
        <w:tc>
          <w:tcPr>
            <w:tcW w:w="531"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9</w:t>
            </w:r>
          </w:p>
        </w:tc>
        <w:tc>
          <w:tcPr>
            <w:tcW w:w="741"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11</w:t>
            </w:r>
          </w:p>
        </w:tc>
        <w:tc>
          <w:tcPr>
            <w:tcW w:w="644"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ascii="仿宋_GB2312" w:eastAsia="仿宋_GB2312" w:cs="仿宋_GB2312"/>
              </w:rPr>
              <w:t>3.</w:t>
            </w:r>
            <w:r>
              <w:rPr>
                <w:rFonts w:hint="eastAsia" w:ascii="仿宋_GB2312" w:eastAsia="仿宋_GB2312" w:cs="仿宋_GB2312"/>
                <w:lang w:val="en-US" w:eastAsia="zh-CN"/>
              </w:rPr>
              <w:t>4</w:t>
            </w:r>
          </w:p>
        </w:tc>
        <w:tc>
          <w:tcPr>
            <w:tcW w:w="538"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3.8</w:t>
            </w:r>
          </w:p>
        </w:tc>
        <w:tc>
          <w:tcPr>
            <w:tcW w:w="576"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133</w:t>
            </w:r>
          </w:p>
        </w:tc>
        <w:tc>
          <w:tcPr>
            <w:tcW w:w="576"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143</w:t>
            </w:r>
          </w:p>
        </w:tc>
        <w:tc>
          <w:tcPr>
            <w:tcW w:w="576"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137</w:t>
            </w:r>
          </w:p>
        </w:tc>
        <w:tc>
          <w:tcPr>
            <w:tcW w:w="576"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146</w:t>
            </w:r>
          </w:p>
        </w:tc>
        <w:tc>
          <w:tcPr>
            <w:tcW w:w="547"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185</w:t>
            </w:r>
          </w:p>
        </w:tc>
        <w:tc>
          <w:tcPr>
            <w:tcW w:w="547"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ascii="仿宋_GB2312" w:eastAsia="仿宋_GB2312" w:cs="仿宋_GB2312"/>
              </w:rPr>
              <w:t>2</w:t>
            </w:r>
            <w:r>
              <w:rPr>
                <w:rFonts w:hint="eastAsia" w:ascii="仿宋_GB2312" w:eastAsia="仿宋_GB2312" w:cs="仿宋_GB2312"/>
                <w:lang w:val="en-US" w:eastAsia="zh-CN"/>
              </w:rPr>
              <w:t>10</w:t>
            </w:r>
          </w:p>
        </w:tc>
        <w:tc>
          <w:tcPr>
            <w:tcW w:w="475"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eastAsia="zh-CN"/>
              </w:rPr>
            </w:pPr>
            <w:r>
              <w:rPr>
                <w:rFonts w:ascii="仿宋_GB2312" w:eastAsia="仿宋_GB2312" w:cs="仿宋_GB2312"/>
              </w:rPr>
              <w:t>5</w:t>
            </w:r>
            <w:r>
              <w:rPr>
                <w:rFonts w:hint="eastAsia" w:ascii="仿宋_GB2312" w:eastAsia="仿宋_GB2312" w:cs="仿宋_GB2312"/>
                <w:lang w:val="en-US" w:eastAsia="zh-CN"/>
              </w:rPr>
              <w:t>5</w:t>
            </w:r>
          </w:p>
        </w:tc>
        <w:tc>
          <w:tcPr>
            <w:tcW w:w="475"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65</w:t>
            </w:r>
          </w:p>
        </w:tc>
        <w:tc>
          <w:tcPr>
            <w:tcW w:w="583"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950</w:t>
            </w:r>
          </w:p>
        </w:tc>
        <w:tc>
          <w:tcPr>
            <w:tcW w:w="699"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1150</w:t>
            </w:r>
          </w:p>
        </w:tc>
      </w:tr>
      <w:bookmarkEnd w:id="9"/>
    </w:tbl>
    <w:p>
      <w:pPr>
        <w:pStyle w:val="4"/>
        <w:spacing w:line="400" w:lineRule="exact"/>
        <w:rPr>
          <w:rFonts w:cs="Times New Roman"/>
          <w:kern w:val="0"/>
        </w:rPr>
      </w:pPr>
      <w:bookmarkStart w:id="10" w:name="_Toc18228"/>
      <w:bookmarkStart w:id="124" w:name="_GoBack"/>
      <w:bookmarkEnd w:id="124"/>
      <w:r>
        <w:rPr>
          <w:kern w:val="0"/>
        </w:rPr>
        <w:t>2</w:t>
      </w:r>
      <w:r>
        <w:rPr>
          <w:rFonts w:hint="eastAsia" w:cs="宋体"/>
          <w:kern w:val="0"/>
        </w:rPr>
        <w:t>、欧洲鹿特丹小金属价格</w:t>
      </w:r>
      <w:bookmarkEnd w:id="10"/>
    </w:p>
    <w:tbl>
      <w:tblPr>
        <w:tblStyle w:val="21"/>
        <w:tblW w:w="8720" w:type="dxa"/>
        <w:tblInd w:w="-106" w:type="dxa"/>
        <w:tblLayout w:type="fixed"/>
        <w:tblCellMar>
          <w:top w:w="0" w:type="dxa"/>
          <w:left w:w="108" w:type="dxa"/>
          <w:bottom w:w="0" w:type="dxa"/>
          <w:right w:w="108" w:type="dxa"/>
        </w:tblCellMar>
      </w:tblPr>
      <w:tblGrid>
        <w:gridCol w:w="670"/>
        <w:gridCol w:w="864"/>
        <w:gridCol w:w="864"/>
        <w:gridCol w:w="1242"/>
        <w:gridCol w:w="1242"/>
        <w:gridCol w:w="914"/>
        <w:gridCol w:w="864"/>
        <w:gridCol w:w="1066"/>
        <w:gridCol w:w="994"/>
      </w:tblGrid>
      <w:tr>
        <w:tblPrEx>
          <w:tblLayout w:type="fixed"/>
          <w:tblCellMar>
            <w:top w:w="0" w:type="dxa"/>
            <w:left w:w="108" w:type="dxa"/>
            <w:bottom w:w="0" w:type="dxa"/>
            <w:right w:w="108" w:type="dxa"/>
          </w:tblCellMar>
        </w:tblPrEx>
        <w:trPr>
          <w:trHeight w:val="285" w:hRule="atLeast"/>
        </w:trPr>
        <w:tc>
          <w:tcPr>
            <w:tcW w:w="8720" w:type="dxa"/>
            <w:gridSpan w:val="9"/>
            <w:tcBorders>
              <w:top w:val="single" w:color="auto" w:sz="8" w:space="0"/>
              <w:left w:val="single" w:color="auto" w:sz="8" w:space="0"/>
              <w:bottom w:val="single" w:color="auto" w:sz="4" w:space="0"/>
              <w:right w:val="single" w:color="000000" w:sz="8" w:space="0"/>
            </w:tcBorders>
            <w:vAlign w:val="center"/>
          </w:tcPr>
          <w:p>
            <w:pPr>
              <w:spacing w:line="400" w:lineRule="exact"/>
              <w:jc w:val="center"/>
              <w:rPr>
                <w:rFonts w:ascii="仿宋_GB2312" w:eastAsia="仿宋_GB2312" w:cs="Times New Roman"/>
                <w:b/>
                <w:bCs/>
              </w:rPr>
            </w:pPr>
            <w:r>
              <w:rPr>
                <w:rFonts w:hint="eastAsia" w:ascii="仿宋_GB2312" w:eastAsia="仿宋_GB2312" w:cs="仿宋_GB2312"/>
                <w:b/>
                <w:bCs/>
              </w:rPr>
              <w:t>欧洲鹿特丹小金属价格一周汇总</w:t>
            </w:r>
          </w:p>
        </w:tc>
      </w:tr>
      <w:tr>
        <w:tblPrEx>
          <w:tblLayout w:type="fixed"/>
          <w:tblCellMar>
            <w:top w:w="0" w:type="dxa"/>
            <w:left w:w="108" w:type="dxa"/>
            <w:bottom w:w="0" w:type="dxa"/>
            <w:right w:w="108" w:type="dxa"/>
          </w:tblCellMar>
        </w:tblPrEx>
        <w:trPr>
          <w:trHeight w:val="450" w:hRule="atLeast"/>
        </w:trPr>
        <w:tc>
          <w:tcPr>
            <w:tcW w:w="670" w:type="dxa"/>
            <w:tcBorders>
              <w:top w:val="nil"/>
              <w:left w:val="single" w:color="auto" w:sz="8" w:space="0"/>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日期</w:t>
            </w:r>
          </w:p>
        </w:tc>
        <w:tc>
          <w:tcPr>
            <w:tcW w:w="864"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硒（美元</w:t>
            </w:r>
            <w:r>
              <w:rPr>
                <w:rFonts w:ascii="仿宋_GB2312" w:eastAsia="仿宋_GB2312" w:cs="仿宋_GB2312"/>
              </w:rPr>
              <w:t>/</w:t>
            </w:r>
            <w:r>
              <w:rPr>
                <w:rFonts w:hint="eastAsia" w:ascii="仿宋_GB2312" w:eastAsia="仿宋_GB2312" w:cs="仿宋_GB2312"/>
              </w:rPr>
              <w:t>磅）</w:t>
            </w:r>
          </w:p>
        </w:tc>
        <w:tc>
          <w:tcPr>
            <w:tcW w:w="864"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铋（美元</w:t>
            </w:r>
            <w:r>
              <w:rPr>
                <w:rFonts w:ascii="仿宋_GB2312" w:eastAsia="仿宋_GB2312" w:cs="仿宋_GB2312"/>
              </w:rPr>
              <w:t>/</w:t>
            </w:r>
            <w:r>
              <w:rPr>
                <w:rFonts w:hint="eastAsia" w:ascii="仿宋_GB2312" w:eastAsia="仿宋_GB2312" w:cs="仿宋_GB2312"/>
              </w:rPr>
              <w:t>磅）</w:t>
            </w:r>
          </w:p>
        </w:tc>
        <w:tc>
          <w:tcPr>
            <w:tcW w:w="1242"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镉（</w:t>
            </w:r>
            <w:r>
              <w:rPr>
                <w:rFonts w:ascii="仿宋_GB2312" w:eastAsia="仿宋_GB2312" w:cs="仿宋_GB2312"/>
              </w:rPr>
              <w:t>99.95</w:t>
            </w:r>
            <w:r>
              <w:rPr>
                <w:rFonts w:hint="eastAsia" w:ascii="仿宋_GB2312" w:eastAsia="仿宋_GB2312" w:cs="仿宋_GB2312"/>
              </w:rPr>
              <w:t>美元</w:t>
            </w:r>
            <w:r>
              <w:rPr>
                <w:rFonts w:ascii="仿宋_GB2312" w:eastAsia="仿宋_GB2312" w:cs="仿宋_GB2312"/>
              </w:rPr>
              <w:t>/</w:t>
            </w:r>
            <w:r>
              <w:rPr>
                <w:rFonts w:hint="eastAsia" w:ascii="仿宋_GB2312" w:eastAsia="仿宋_GB2312" w:cs="仿宋_GB2312"/>
              </w:rPr>
              <w:t>磅）</w:t>
            </w:r>
          </w:p>
        </w:tc>
        <w:tc>
          <w:tcPr>
            <w:tcW w:w="1242"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镉（</w:t>
            </w:r>
            <w:r>
              <w:rPr>
                <w:rFonts w:ascii="仿宋_GB2312" w:eastAsia="仿宋_GB2312" w:cs="仿宋_GB2312"/>
              </w:rPr>
              <w:t>99.99</w:t>
            </w:r>
            <w:r>
              <w:rPr>
                <w:rFonts w:hint="eastAsia" w:ascii="仿宋_GB2312" w:eastAsia="仿宋_GB2312" w:cs="仿宋_GB2312"/>
              </w:rPr>
              <w:t>美元</w:t>
            </w:r>
            <w:r>
              <w:rPr>
                <w:rFonts w:ascii="仿宋_GB2312" w:eastAsia="仿宋_GB2312" w:cs="仿宋_GB2312"/>
              </w:rPr>
              <w:t>/</w:t>
            </w:r>
            <w:r>
              <w:rPr>
                <w:rFonts w:hint="eastAsia" w:ascii="仿宋_GB2312" w:eastAsia="仿宋_GB2312" w:cs="仿宋_GB2312"/>
              </w:rPr>
              <w:t>磅）</w:t>
            </w:r>
          </w:p>
        </w:tc>
        <w:tc>
          <w:tcPr>
            <w:tcW w:w="914"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铟（美元</w:t>
            </w:r>
            <w:r>
              <w:rPr>
                <w:rFonts w:ascii="仿宋_GB2312" w:eastAsia="仿宋_GB2312" w:cs="仿宋_GB2312"/>
              </w:rPr>
              <w:t>/</w:t>
            </w:r>
            <w:r>
              <w:rPr>
                <w:rFonts w:hint="eastAsia" w:ascii="仿宋_GB2312" w:eastAsia="仿宋_GB2312" w:cs="仿宋_GB2312"/>
              </w:rPr>
              <w:t>公斤）</w:t>
            </w:r>
          </w:p>
        </w:tc>
        <w:tc>
          <w:tcPr>
            <w:tcW w:w="864"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锗（元</w:t>
            </w:r>
            <w:r>
              <w:rPr>
                <w:rFonts w:ascii="仿宋_GB2312" w:eastAsia="仿宋_GB2312" w:cs="仿宋_GB2312"/>
              </w:rPr>
              <w:t>/</w:t>
            </w:r>
            <w:r>
              <w:rPr>
                <w:rFonts w:hint="eastAsia" w:ascii="仿宋_GB2312" w:eastAsia="仿宋_GB2312" w:cs="仿宋_GB2312"/>
              </w:rPr>
              <w:t>公斤）</w:t>
            </w:r>
          </w:p>
        </w:tc>
        <w:tc>
          <w:tcPr>
            <w:tcW w:w="1066"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二氧化锗（美元</w:t>
            </w:r>
            <w:r>
              <w:rPr>
                <w:rFonts w:ascii="仿宋_GB2312" w:eastAsia="仿宋_GB2312" w:cs="仿宋_GB2312"/>
              </w:rPr>
              <w:t>/</w:t>
            </w:r>
            <w:r>
              <w:rPr>
                <w:rFonts w:hint="eastAsia" w:ascii="仿宋_GB2312" w:eastAsia="仿宋_GB2312" w:cs="仿宋_GB2312"/>
              </w:rPr>
              <w:t>公斤）</w:t>
            </w:r>
          </w:p>
        </w:tc>
        <w:tc>
          <w:tcPr>
            <w:tcW w:w="994" w:type="dxa"/>
            <w:tcBorders>
              <w:top w:val="single" w:color="auto" w:sz="4" w:space="0"/>
              <w:left w:val="nil"/>
              <w:bottom w:val="single" w:color="auto" w:sz="4" w:space="0"/>
              <w:right w:val="single" w:color="000000" w:sz="8"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镓（美元</w:t>
            </w:r>
            <w:r>
              <w:rPr>
                <w:rFonts w:ascii="仿宋_GB2312" w:eastAsia="仿宋_GB2312" w:cs="仿宋_GB2312"/>
              </w:rPr>
              <w:t>/</w:t>
            </w:r>
            <w:r>
              <w:rPr>
                <w:rFonts w:hint="eastAsia" w:ascii="仿宋_GB2312" w:eastAsia="仿宋_GB2312" w:cs="仿宋_GB2312"/>
              </w:rPr>
              <w:t>公斤）</w:t>
            </w:r>
          </w:p>
        </w:tc>
      </w:tr>
      <w:tr>
        <w:tblPrEx>
          <w:tblLayout w:type="fixed"/>
          <w:tblCellMar>
            <w:top w:w="0" w:type="dxa"/>
            <w:left w:w="108" w:type="dxa"/>
            <w:bottom w:w="0" w:type="dxa"/>
            <w:right w:w="108" w:type="dxa"/>
          </w:tblCellMar>
        </w:tblPrEx>
        <w:trPr>
          <w:trHeight w:val="285" w:hRule="atLeast"/>
        </w:trPr>
        <w:tc>
          <w:tcPr>
            <w:tcW w:w="670" w:type="dxa"/>
            <w:tcBorders>
              <w:top w:val="nil"/>
              <w:left w:val="single" w:color="auto" w:sz="8" w:space="0"/>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lang w:val="en-US" w:eastAsia="zh-CN"/>
              </w:rPr>
              <w:t>4</w:t>
            </w:r>
            <w:r>
              <w:rPr>
                <w:rFonts w:hint="eastAsia" w:ascii="仿宋_GB2312" w:eastAsia="仿宋_GB2312" w:cs="仿宋_GB2312"/>
              </w:rPr>
              <w:t>月</w:t>
            </w:r>
            <w:r>
              <w:rPr>
                <w:rFonts w:hint="eastAsia" w:ascii="仿宋_GB2312" w:eastAsia="仿宋_GB2312" w:cs="仿宋_GB2312"/>
                <w:lang w:val="en-US" w:eastAsia="zh-CN"/>
              </w:rPr>
              <w:t>17</w:t>
            </w:r>
            <w:r>
              <w:rPr>
                <w:rFonts w:hint="eastAsia" w:ascii="仿宋_GB2312" w:eastAsia="仿宋_GB2312" w:cs="仿宋_GB2312"/>
              </w:rPr>
              <w:t>日</w:t>
            </w:r>
          </w:p>
        </w:tc>
        <w:tc>
          <w:tcPr>
            <w:tcW w:w="864"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10.5</w:t>
            </w:r>
          </w:p>
        </w:tc>
        <w:tc>
          <w:tcPr>
            <w:tcW w:w="864"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4.25</w:t>
            </w:r>
          </w:p>
        </w:tc>
        <w:tc>
          <w:tcPr>
            <w:tcW w:w="1242"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ascii="仿宋_GB2312" w:eastAsia="仿宋_GB2312" w:cs="仿宋_GB2312"/>
              </w:rPr>
              <w:t>1.</w:t>
            </w:r>
            <w:r>
              <w:rPr>
                <w:rFonts w:hint="eastAsia" w:ascii="仿宋_GB2312" w:eastAsia="仿宋_GB2312" w:cs="仿宋_GB2312"/>
                <w:lang w:val="en-US" w:eastAsia="zh-CN"/>
              </w:rPr>
              <w:t>38</w:t>
            </w:r>
          </w:p>
        </w:tc>
        <w:tc>
          <w:tcPr>
            <w:tcW w:w="1242"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ascii="仿宋_GB2312" w:eastAsia="仿宋_GB2312" w:cs="仿宋_GB2312"/>
              </w:rPr>
              <w:t>1.</w:t>
            </w:r>
            <w:r>
              <w:rPr>
                <w:rFonts w:hint="eastAsia" w:ascii="仿宋_GB2312" w:eastAsia="仿宋_GB2312" w:cs="仿宋_GB2312"/>
                <w:lang w:val="en-US" w:eastAsia="zh-CN"/>
              </w:rPr>
              <w:t>43</w:t>
            </w:r>
          </w:p>
        </w:tc>
        <w:tc>
          <w:tcPr>
            <w:tcW w:w="914"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ascii="仿宋_GB2312" w:eastAsia="仿宋_GB2312" w:cs="仿宋_GB2312"/>
              </w:rPr>
              <w:t>2</w:t>
            </w:r>
            <w:r>
              <w:rPr>
                <w:rFonts w:hint="eastAsia" w:ascii="仿宋_GB2312" w:eastAsia="仿宋_GB2312" w:cs="仿宋_GB2312"/>
                <w:lang w:val="en-US" w:eastAsia="zh-CN"/>
              </w:rPr>
              <w:t>02.5</w:t>
            </w:r>
          </w:p>
        </w:tc>
        <w:tc>
          <w:tcPr>
            <w:tcW w:w="864"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1212.5</w:t>
            </w:r>
          </w:p>
        </w:tc>
        <w:tc>
          <w:tcPr>
            <w:tcW w:w="1066"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875</w:t>
            </w:r>
          </w:p>
        </w:tc>
        <w:tc>
          <w:tcPr>
            <w:tcW w:w="994" w:type="dxa"/>
            <w:tcBorders>
              <w:top w:val="single" w:color="auto" w:sz="4" w:space="0"/>
              <w:left w:val="nil"/>
              <w:bottom w:val="single" w:color="auto" w:sz="4" w:space="0"/>
              <w:right w:val="single" w:color="000000" w:sz="8" w:space="0"/>
            </w:tcBorders>
            <w:noWrap/>
            <w:vAlign w:val="center"/>
          </w:tcPr>
          <w:p>
            <w:pPr>
              <w:jc w:val="center"/>
              <w:rPr>
                <w:rFonts w:ascii="仿宋_GB2312" w:eastAsia="仿宋_GB2312" w:cs="仿宋_GB2312"/>
              </w:rPr>
            </w:pPr>
            <w:r>
              <w:rPr>
                <w:rFonts w:ascii="仿宋_GB2312" w:eastAsia="仿宋_GB2312" w:cs="仿宋_GB2312"/>
              </w:rPr>
              <w:t>172.5</w:t>
            </w:r>
          </w:p>
        </w:tc>
      </w:tr>
      <w:tr>
        <w:tblPrEx>
          <w:tblLayout w:type="fixed"/>
          <w:tblCellMar>
            <w:top w:w="0" w:type="dxa"/>
            <w:left w:w="108" w:type="dxa"/>
            <w:bottom w:w="0" w:type="dxa"/>
            <w:right w:w="108" w:type="dxa"/>
          </w:tblCellMar>
        </w:tblPrEx>
        <w:trPr>
          <w:trHeight w:val="285" w:hRule="atLeast"/>
        </w:trPr>
        <w:tc>
          <w:tcPr>
            <w:tcW w:w="670" w:type="dxa"/>
            <w:tcBorders>
              <w:top w:val="nil"/>
              <w:left w:val="single" w:color="auto" w:sz="8" w:space="0"/>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highlight w:val="none"/>
                <w:lang w:val="en-US" w:eastAsia="zh-CN"/>
              </w:rPr>
              <w:t>4</w:t>
            </w:r>
            <w:r>
              <w:rPr>
                <w:rFonts w:hint="eastAsia" w:ascii="仿宋_GB2312" w:eastAsia="仿宋_GB2312" w:cs="仿宋_GB2312"/>
                <w:highlight w:val="none"/>
              </w:rPr>
              <w:t>月</w:t>
            </w:r>
            <w:r>
              <w:rPr>
                <w:rFonts w:hint="eastAsia" w:ascii="仿宋_GB2312" w:eastAsia="仿宋_GB2312" w:cs="仿宋_GB2312"/>
                <w:highlight w:val="none"/>
                <w:lang w:val="en-US" w:eastAsia="zh-CN"/>
              </w:rPr>
              <w:t>18</w:t>
            </w:r>
            <w:r>
              <w:rPr>
                <w:rFonts w:hint="eastAsia" w:ascii="仿宋_GB2312" w:eastAsia="仿宋_GB2312" w:cs="仿宋_GB2312"/>
                <w:highlight w:val="none"/>
              </w:rPr>
              <w:t>日</w:t>
            </w:r>
          </w:p>
        </w:tc>
        <w:tc>
          <w:tcPr>
            <w:tcW w:w="864"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10.5</w:t>
            </w:r>
          </w:p>
        </w:tc>
        <w:tc>
          <w:tcPr>
            <w:tcW w:w="864" w:type="dxa"/>
            <w:tcBorders>
              <w:top w:val="single" w:color="auto" w:sz="4" w:space="0"/>
              <w:left w:val="nil"/>
              <w:bottom w:val="single" w:color="auto" w:sz="4" w:space="0"/>
              <w:right w:val="single" w:color="auto" w:sz="4" w:space="0"/>
            </w:tcBorders>
            <w:noWrap/>
            <w:vAlign w:val="center"/>
          </w:tcPr>
          <w:p>
            <w:pPr>
              <w:jc w:val="center"/>
              <w:rPr>
                <w:rFonts w:hint="eastAsia" w:ascii="仿宋_GB2312" w:eastAsia="仿宋_GB2312" w:cs="仿宋_GB2312"/>
                <w:lang w:eastAsia="zh-CN"/>
              </w:rPr>
            </w:pPr>
            <w:r>
              <w:rPr>
                <w:rFonts w:hint="eastAsia" w:ascii="仿宋_GB2312" w:eastAsia="仿宋_GB2312" w:cs="仿宋_GB2312"/>
                <w:lang w:val="en-US" w:eastAsia="zh-CN"/>
              </w:rPr>
              <w:t>4.25</w:t>
            </w:r>
          </w:p>
        </w:tc>
        <w:tc>
          <w:tcPr>
            <w:tcW w:w="1242" w:type="dxa"/>
            <w:tcBorders>
              <w:top w:val="single" w:color="auto" w:sz="4" w:space="0"/>
              <w:left w:val="nil"/>
              <w:bottom w:val="single" w:color="auto" w:sz="4" w:space="0"/>
              <w:right w:val="single" w:color="auto" w:sz="4" w:space="0"/>
            </w:tcBorders>
            <w:noWrap/>
            <w:vAlign w:val="center"/>
          </w:tcPr>
          <w:p>
            <w:pPr>
              <w:jc w:val="center"/>
              <w:rPr>
                <w:rFonts w:ascii="仿宋_GB2312" w:eastAsia="仿宋_GB2312" w:cs="仿宋_GB2312"/>
              </w:rPr>
            </w:pPr>
            <w:r>
              <w:rPr>
                <w:rFonts w:ascii="仿宋_GB2312" w:eastAsia="仿宋_GB2312" w:cs="仿宋_GB2312"/>
              </w:rPr>
              <w:t>1.</w:t>
            </w:r>
            <w:r>
              <w:rPr>
                <w:rFonts w:hint="eastAsia" w:ascii="仿宋_GB2312" w:eastAsia="仿宋_GB2312" w:cs="仿宋_GB2312"/>
                <w:lang w:val="en-US" w:eastAsia="zh-CN"/>
              </w:rPr>
              <w:t>38</w:t>
            </w:r>
          </w:p>
        </w:tc>
        <w:tc>
          <w:tcPr>
            <w:tcW w:w="1242" w:type="dxa"/>
            <w:tcBorders>
              <w:top w:val="single" w:color="auto" w:sz="4" w:space="0"/>
              <w:left w:val="nil"/>
              <w:bottom w:val="single" w:color="auto" w:sz="4" w:space="0"/>
              <w:right w:val="single" w:color="auto" w:sz="4" w:space="0"/>
            </w:tcBorders>
            <w:noWrap/>
            <w:vAlign w:val="center"/>
          </w:tcPr>
          <w:p>
            <w:pPr>
              <w:jc w:val="center"/>
              <w:rPr>
                <w:rFonts w:hint="eastAsia" w:ascii="仿宋_GB2312" w:eastAsia="仿宋_GB2312" w:cs="仿宋_GB2312"/>
                <w:lang w:eastAsia="zh-CN"/>
              </w:rPr>
            </w:pPr>
            <w:r>
              <w:rPr>
                <w:rFonts w:ascii="仿宋_GB2312" w:eastAsia="仿宋_GB2312" w:cs="仿宋_GB2312"/>
              </w:rPr>
              <w:t>1.</w:t>
            </w:r>
            <w:r>
              <w:rPr>
                <w:rFonts w:hint="eastAsia" w:ascii="仿宋_GB2312" w:eastAsia="仿宋_GB2312" w:cs="仿宋_GB2312"/>
                <w:lang w:val="en-US" w:eastAsia="zh-CN"/>
              </w:rPr>
              <w:t>43</w:t>
            </w:r>
          </w:p>
        </w:tc>
        <w:tc>
          <w:tcPr>
            <w:tcW w:w="914" w:type="dxa"/>
            <w:tcBorders>
              <w:top w:val="single" w:color="auto" w:sz="4" w:space="0"/>
              <w:left w:val="nil"/>
              <w:bottom w:val="single" w:color="auto" w:sz="4" w:space="0"/>
              <w:right w:val="single" w:color="auto" w:sz="4" w:space="0"/>
            </w:tcBorders>
            <w:noWrap/>
            <w:vAlign w:val="center"/>
          </w:tcPr>
          <w:p>
            <w:pPr>
              <w:jc w:val="center"/>
              <w:rPr>
                <w:rFonts w:ascii="仿宋_GB2312" w:eastAsia="仿宋_GB2312" w:cs="仿宋_GB2312"/>
              </w:rPr>
            </w:pPr>
            <w:r>
              <w:rPr>
                <w:rFonts w:ascii="仿宋_GB2312" w:eastAsia="仿宋_GB2312" w:cs="仿宋_GB2312"/>
              </w:rPr>
              <w:t>2</w:t>
            </w:r>
            <w:r>
              <w:rPr>
                <w:rFonts w:hint="eastAsia" w:ascii="仿宋_GB2312" w:eastAsia="仿宋_GB2312" w:cs="仿宋_GB2312"/>
                <w:lang w:val="en-US" w:eastAsia="zh-CN"/>
              </w:rPr>
              <w:t>02.5</w:t>
            </w:r>
          </w:p>
        </w:tc>
        <w:tc>
          <w:tcPr>
            <w:tcW w:w="864"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1212.5</w:t>
            </w:r>
          </w:p>
        </w:tc>
        <w:tc>
          <w:tcPr>
            <w:tcW w:w="1066"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875</w:t>
            </w:r>
          </w:p>
        </w:tc>
        <w:tc>
          <w:tcPr>
            <w:tcW w:w="994" w:type="dxa"/>
            <w:tcBorders>
              <w:top w:val="single" w:color="auto" w:sz="4" w:space="0"/>
              <w:left w:val="nil"/>
              <w:bottom w:val="single" w:color="auto" w:sz="4" w:space="0"/>
              <w:right w:val="single" w:color="000000" w:sz="8" w:space="0"/>
            </w:tcBorders>
            <w:noWrap/>
            <w:vAlign w:val="center"/>
          </w:tcPr>
          <w:p>
            <w:pPr>
              <w:jc w:val="center"/>
              <w:rPr>
                <w:rFonts w:ascii="仿宋_GB2312" w:eastAsia="仿宋_GB2312" w:cs="仿宋_GB2312"/>
              </w:rPr>
            </w:pPr>
            <w:r>
              <w:rPr>
                <w:rFonts w:ascii="仿宋_GB2312" w:eastAsia="仿宋_GB2312" w:cs="仿宋_GB2312"/>
              </w:rPr>
              <w:t>172.5</w:t>
            </w:r>
          </w:p>
        </w:tc>
      </w:tr>
    </w:tbl>
    <w:p>
      <w:pPr>
        <w:rPr>
          <w:rFonts w:cs="Times New Roman"/>
        </w:rPr>
      </w:pPr>
    </w:p>
    <w:p>
      <w:pPr>
        <w:pStyle w:val="4"/>
        <w:spacing w:line="400" w:lineRule="exact"/>
        <w:rPr>
          <w:rFonts w:cs="Times New Roman"/>
          <w:kern w:val="0"/>
          <w:highlight w:val="yellow"/>
        </w:rPr>
      </w:pPr>
      <w:bookmarkStart w:id="11" w:name="_Toc28853"/>
      <w:r>
        <w:rPr>
          <w:kern w:val="0"/>
        </w:rPr>
        <w:t>3</w:t>
      </w:r>
      <w:r>
        <w:rPr>
          <w:rFonts w:hint="eastAsia" w:cs="宋体"/>
          <w:kern w:val="0"/>
        </w:rPr>
        <w:t>、</w:t>
      </w:r>
      <w:r>
        <w:rPr>
          <w:rFonts w:hint="eastAsia" w:cs="宋体"/>
          <w:kern w:val="0"/>
          <w:highlight w:val="none"/>
        </w:rPr>
        <w:t>国内一周小金属价格汇总</w:t>
      </w:r>
      <w:bookmarkEnd w:id="11"/>
    </w:p>
    <w:tbl>
      <w:tblPr>
        <w:tblStyle w:val="21"/>
        <w:tblW w:w="8720" w:type="dxa"/>
        <w:tblInd w:w="-106" w:type="dxa"/>
        <w:tblLayout w:type="fixed"/>
        <w:tblCellMar>
          <w:top w:w="0" w:type="dxa"/>
          <w:left w:w="108" w:type="dxa"/>
          <w:bottom w:w="0" w:type="dxa"/>
          <w:right w:w="108" w:type="dxa"/>
        </w:tblCellMar>
      </w:tblPr>
      <w:tblGrid>
        <w:gridCol w:w="1225"/>
        <w:gridCol w:w="702"/>
        <w:gridCol w:w="703"/>
        <w:gridCol w:w="703"/>
        <w:gridCol w:w="703"/>
        <w:gridCol w:w="703"/>
        <w:gridCol w:w="705"/>
        <w:gridCol w:w="820"/>
        <w:gridCol w:w="820"/>
        <w:gridCol w:w="820"/>
        <w:gridCol w:w="816"/>
      </w:tblGrid>
      <w:tr>
        <w:tblPrEx>
          <w:tblLayout w:type="fixed"/>
          <w:tblCellMar>
            <w:top w:w="0" w:type="dxa"/>
            <w:left w:w="108" w:type="dxa"/>
            <w:bottom w:w="0" w:type="dxa"/>
            <w:right w:w="108" w:type="dxa"/>
          </w:tblCellMar>
        </w:tblPrEx>
        <w:trPr>
          <w:trHeight w:val="300" w:hRule="atLeast"/>
        </w:trPr>
        <w:tc>
          <w:tcPr>
            <w:tcW w:w="8720" w:type="dxa"/>
            <w:gridSpan w:val="11"/>
            <w:tcBorders>
              <w:top w:val="single" w:color="auto" w:sz="4" w:space="0"/>
              <w:left w:val="single" w:color="auto" w:sz="4" w:space="0"/>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b/>
                <w:bCs/>
                <w:kern w:val="0"/>
              </w:rPr>
            </w:pPr>
            <w:r>
              <w:rPr>
                <w:rFonts w:hint="eastAsia" w:ascii="仿宋_GB2312" w:hAnsi="宋体" w:eastAsia="仿宋_GB2312" w:cs="仿宋_GB2312"/>
                <w:b/>
                <w:bCs/>
                <w:kern w:val="0"/>
              </w:rPr>
              <w:t>国内小金属价格一周汇总</w:t>
            </w:r>
          </w:p>
        </w:tc>
      </w:tr>
      <w:tr>
        <w:tblPrEx>
          <w:tblLayout w:type="fixed"/>
          <w:tblCellMar>
            <w:top w:w="0" w:type="dxa"/>
            <w:left w:w="108" w:type="dxa"/>
            <w:bottom w:w="0" w:type="dxa"/>
            <w:right w:w="108" w:type="dxa"/>
          </w:tblCellMar>
        </w:tblPrEx>
        <w:trPr>
          <w:trHeight w:val="225" w:hRule="atLeast"/>
        </w:trPr>
        <w:tc>
          <w:tcPr>
            <w:tcW w:w="1225" w:type="dxa"/>
            <w:tcBorders>
              <w:top w:val="nil"/>
              <w:left w:val="single" w:color="auto" w:sz="4" w:space="0"/>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日期</w:t>
            </w:r>
          </w:p>
        </w:tc>
        <w:tc>
          <w:tcPr>
            <w:tcW w:w="1405"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仿宋_GB2312"/>
                <w:kern w:val="0"/>
              </w:rPr>
            </w:pPr>
            <w:r>
              <w:rPr>
                <w:rFonts w:hint="eastAsia" w:ascii="仿宋_GB2312" w:hAnsi="宋体" w:eastAsia="仿宋_GB2312" w:cs="仿宋_GB2312"/>
                <w:kern w:val="0"/>
              </w:rPr>
              <w:t>硒粉</w:t>
            </w:r>
            <w:r>
              <w:rPr>
                <w:rFonts w:ascii="仿宋_GB2312" w:hAnsi="宋体" w:eastAsia="仿宋_GB2312" w:cs="仿宋_GB2312"/>
                <w:kern w:val="0"/>
              </w:rPr>
              <w:t>99.9%</w:t>
            </w:r>
          </w:p>
        </w:tc>
        <w:tc>
          <w:tcPr>
            <w:tcW w:w="1406"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二氧化硒</w:t>
            </w:r>
          </w:p>
        </w:tc>
        <w:tc>
          <w:tcPr>
            <w:tcW w:w="1408"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精铟</w:t>
            </w:r>
          </w:p>
        </w:tc>
        <w:tc>
          <w:tcPr>
            <w:tcW w:w="1640"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粗铟</w:t>
            </w:r>
          </w:p>
        </w:tc>
        <w:tc>
          <w:tcPr>
            <w:tcW w:w="1636"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锗锭</w:t>
            </w:r>
          </w:p>
        </w:tc>
      </w:tr>
      <w:tr>
        <w:tblPrEx>
          <w:tblLayout w:type="fixed"/>
          <w:tblCellMar>
            <w:top w:w="0" w:type="dxa"/>
            <w:left w:w="108" w:type="dxa"/>
            <w:bottom w:w="0" w:type="dxa"/>
            <w:right w:w="108" w:type="dxa"/>
          </w:tblCellMar>
        </w:tblPrEx>
        <w:trPr>
          <w:trHeight w:val="241" w:hRule="atLeast"/>
        </w:trPr>
        <w:tc>
          <w:tcPr>
            <w:tcW w:w="1225" w:type="dxa"/>
            <w:tcBorders>
              <w:top w:val="nil"/>
              <w:left w:val="single" w:color="auto" w:sz="4" w:space="0"/>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lang w:val="en-US" w:eastAsia="zh-CN"/>
              </w:rPr>
              <w:t>4</w:t>
            </w:r>
            <w:r>
              <w:rPr>
                <w:rFonts w:hint="eastAsia" w:ascii="仿宋_GB2312" w:eastAsia="仿宋_GB2312" w:cs="仿宋_GB2312"/>
              </w:rPr>
              <w:t>月</w:t>
            </w:r>
            <w:r>
              <w:rPr>
                <w:rFonts w:hint="eastAsia" w:ascii="仿宋_GB2312" w:eastAsia="仿宋_GB2312" w:cs="仿宋_GB2312"/>
                <w:lang w:val="en-US" w:eastAsia="zh-CN"/>
              </w:rPr>
              <w:t>17</w:t>
            </w:r>
            <w:r>
              <w:rPr>
                <w:rFonts w:hint="eastAsia" w:ascii="仿宋_GB2312" w:eastAsia="仿宋_GB2312" w:cs="仿宋_GB2312"/>
              </w:rPr>
              <w:t>日</w:t>
            </w:r>
          </w:p>
        </w:tc>
        <w:tc>
          <w:tcPr>
            <w:tcW w:w="702"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ascii="仿宋_GB2312" w:eastAsia="仿宋_GB2312" w:cs="仿宋_GB2312"/>
              </w:rPr>
              <w:t>1</w:t>
            </w:r>
            <w:r>
              <w:rPr>
                <w:rFonts w:hint="eastAsia" w:ascii="仿宋_GB2312" w:eastAsia="仿宋_GB2312" w:cs="仿宋_GB2312"/>
                <w:lang w:val="en-US" w:eastAsia="zh-CN"/>
              </w:rPr>
              <w:t>60</w:t>
            </w:r>
          </w:p>
        </w:tc>
        <w:tc>
          <w:tcPr>
            <w:tcW w:w="703" w:type="dxa"/>
            <w:tcBorders>
              <w:top w:val="nil"/>
              <w:left w:val="nil"/>
              <w:bottom w:val="single" w:color="auto" w:sz="4" w:space="0"/>
              <w:right w:val="single" w:color="auto" w:sz="4" w:space="0"/>
            </w:tcBorders>
            <w:noWrap/>
            <w:vAlign w:val="center"/>
          </w:tcPr>
          <w:p>
            <w:pPr>
              <w:jc w:val="center"/>
              <w:rPr>
                <w:rFonts w:ascii="仿宋_GB2312" w:eastAsia="仿宋_GB2312" w:cs="仿宋_GB2312"/>
              </w:rPr>
            </w:pPr>
            <w:r>
              <w:rPr>
                <w:rFonts w:ascii="仿宋_GB2312" w:eastAsia="仿宋_GB2312" w:cs="仿宋_GB2312"/>
              </w:rPr>
              <w:t>1</w:t>
            </w:r>
            <w:r>
              <w:rPr>
                <w:rFonts w:hint="eastAsia" w:ascii="仿宋_GB2312" w:eastAsia="仿宋_GB2312" w:cs="仿宋_GB2312"/>
                <w:lang w:val="en-US" w:eastAsia="zh-CN"/>
              </w:rPr>
              <w:t>8</w:t>
            </w:r>
            <w:r>
              <w:rPr>
                <w:rFonts w:ascii="仿宋_GB2312" w:eastAsia="仿宋_GB2312" w:cs="仿宋_GB2312"/>
              </w:rPr>
              <w:t>0</w:t>
            </w:r>
          </w:p>
        </w:tc>
        <w:tc>
          <w:tcPr>
            <w:tcW w:w="703"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ascii="仿宋_GB2312" w:eastAsia="仿宋_GB2312" w:cs="仿宋_GB2312"/>
              </w:rPr>
              <w:t>1</w:t>
            </w:r>
            <w:r>
              <w:rPr>
                <w:rFonts w:hint="eastAsia" w:ascii="仿宋_GB2312" w:eastAsia="仿宋_GB2312" w:cs="仿宋_GB2312"/>
                <w:lang w:val="en-US" w:eastAsia="zh-CN"/>
              </w:rPr>
              <w:t>00</w:t>
            </w:r>
          </w:p>
        </w:tc>
        <w:tc>
          <w:tcPr>
            <w:tcW w:w="703"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ascii="仿宋_GB2312" w:eastAsia="仿宋_GB2312" w:cs="仿宋_GB2312"/>
              </w:rPr>
              <w:t>1</w:t>
            </w:r>
            <w:r>
              <w:rPr>
                <w:rFonts w:hint="eastAsia" w:ascii="仿宋_GB2312" w:eastAsia="仿宋_GB2312" w:cs="仿宋_GB2312"/>
                <w:lang w:val="en-US" w:eastAsia="zh-CN"/>
              </w:rPr>
              <w:t>05</w:t>
            </w:r>
          </w:p>
        </w:tc>
        <w:tc>
          <w:tcPr>
            <w:tcW w:w="703"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12</w:t>
            </w:r>
            <w:r>
              <w:rPr>
                <w:rFonts w:hint="eastAsia" w:ascii="仿宋_GB2312" w:eastAsia="仿宋_GB2312" w:cs="仿宋_GB2312"/>
                <w:lang w:val="en-US" w:eastAsia="zh-CN"/>
              </w:rPr>
              <w:t>0</w:t>
            </w:r>
            <w:r>
              <w:rPr>
                <w:rFonts w:ascii="仿宋_GB2312" w:eastAsia="仿宋_GB2312" w:cs="仿宋_GB2312"/>
              </w:rPr>
              <w:t>0</w:t>
            </w:r>
          </w:p>
        </w:tc>
        <w:tc>
          <w:tcPr>
            <w:tcW w:w="705"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1</w:t>
            </w:r>
            <w:r>
              <w:rPr>
                <w:rFonts w:hint="eastAsia" w:ascii="仿宋_GB2312" w:eastAsia="仿宋_GB2312" w:cs="仿宋_GB2312"/>
                <w:lang w:val="en-US" w:eastAsia="zh-CN"/>
              </w:rPr>
              <w:t>25</w:t>
            </w:r>
            <w:r>
              <w:rPr>
                <w:rFonts w:ascii="仿宋_GB2312" w:eastAsia="仿宋_GB2312" w:cs="仿宋_GB2312"/>
              </w:rPr>
              <w:t>0</w:t>
            </w:r>
          </w:p>
        </w:tc>
        <w:tc>
          <w:tcPr>
            <w:tcW w:w="820"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11</w:t>
            </w:r>
            <w:r>
              <w:rPr>
                <w:rFonts w:hint="eastAsia" w:ascii="仿宋_GB2312" w:eastAsia="仿宋_GB2312" w:cs="仿宋_GB2312"/>
                <w:lang w:val="en-US" w:eastAsia="zh-CN"/>
              </w:rPr>
              <w:t>0</w:t>
            </w:r>
            <w:r>
              <w:rPr>
                <w:rFonts w:ascii="仿宋_GB2312" w:eastAsia="仿宋_GB2312" w:cs="仿宋_GB2312"/>
              </w:rPr>
              <w:t>0</w:t>
            </w:r>
          </w:p>
        </w:tc>
        <w:tc>
          <w:tcPr>
            <w:tcW w:w="820"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1</w:t>
            </w:r>
            <w:r>
              <w:rPr>
                <w:rFonts w:hint="eastAsia" w:ascii="仿宋_GB2312" w:eastAsia="仿宋_GB2312" w:cs="仿宋_GB2312"/>
                <w:lang w:val="en-US" w:eastAsia="zh-CN"/>
              </w:rPr>
              <w:t>15</w:t>
            </w:r>
            <w:r>
              <w:rPr>
                <w:rFonts w:ascii="仿宋_GB2312" w:eastAsia="仿宋_GB2312" w:cs="仿宋_GB2312"/>
              </w:rPr>
              <w:t>0</w:t>
            </w:r>
          </w:p>
        </w:tc>
        <w:tc>
          <w:tcPr>
            <w:tcW w:w="820"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7600</w:t>
            </w:r>
          </w:p>
        </w:tc>
        <w:tc>
          <w:tcPr>
            <w:tcW w:w="816"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8000</w:t>
            </w:r>
          </w:p>
        </w:tc>
      </w:tr>
      <w:tr>
        <w:tblPrEx>
          <w:tblLayout w:type="fixed"/>
          <w:tblCellMar>
            <w:top w:w="0" w:type="dxa"/>
            <w:left w:w="108" w:type="dxa"/>
            <w:bottom w:w="0" w:type="dxa"/>
            <w:right w:w="108" w:type="dxa"/>
          </w:tblCellMar>
        </w:tblPrEx>
        <w:trPr>
          <w:trHeight w:val="245" w:hRule="atLeast"/>
        </w:trPr>
        <w:tc>
          <w:tcPr>
            <w:tcW w:w="1225" w:type="dxa"/>
            <w:tcBorders>
              <w:top w:val="nil"/>
              <w:left w:val="single" w:color="auto" w:sz="4" w:space="0"/>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lang w:val="en-US" w:eastAsia="zh-CN"/>
              </w:rPr>
              <w:t>4</w:t>
            </w:r>
            <w:r>
              <w:rPr>
                <w:rFonts w:hint="eastAsia" w:ascii="仿宋_GB2312" w:eastAsia="仿宋_GB2312" w:cs="仿宋_GB2312"/>
              </w:rPr>
              <w:t>月</w:t>
            </w:r>
            <w:r>
              <w:rPr>
                <w:rFonts w:hint="eastAsia" w:ascii="仿宋_GB2312" w:eastAsia="仿宋_GB2312" w:cs="仿宋_GB2312"/>
                <w:lang w:val="en-US" w:eastAsia="zh-CN"/>
              </w:rPr>
              <w:t>18</w:t>
            </w:r>
            <w:r>
              <w:rPr>
                <w:rFonts w:hint="eastAsia" w:ascii="仿宋_GB2312" w:eastAsia="仿宋_GB2312" w:cs="仿宋_GB2312"/>
              </w:rPr>
              <w:t>日</w:t>
            </w:r>
          </w:p>
        </w:tc>
        <w:tc>
          <w:tcPr>
            <w:tcW w:w="702"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ascii="仿宋_GB2312" w:eastAsia="仿宋_GB2312" w:cs="仿宋_GB2312"/>
              </w:rPr>
              <w:t>1</w:t>
            </w:r>
            <w:r>
              <w:rPr>
                <w:rFonts w:hint="eastAsia" w:ascii="仿宋_GB2312" w:eastAsia="仿宋_GB2312" w:cs="仿宋_GB2312"/>
                <w:lang w:val="en-US" w:eastAsia="zh-CN"/>
              </w:rPr>
              <w:t>60</w:t>
            </w:r>
          </w:p>
        </w:tc>
        <w:tc>
          <w:tcPr>
            <w:tcW w:w="703" w:type="dxa"/>
            <w:tcBorders>
              <w:top w:val="nil"/>
              <w:left w:val="nil"/>
              <w:bottom w:val="single" w:color="auto" w:sz="4" w:space="0"/>
              <w:right w:val="single" w:color="auto" w:sz="4" w:space="0"/>
            </w:tcBorders>
            <w:noWrap/>
            <w:vAlign w:val="center"/>
          </w:tcPr>
          <w:p>
            <w:pPr>
              <w:jc w:val="center"/>
              <w:rPr>
                <w:rFonts w:ascii="仿宋_GB2312" w:eastAsia="仿宋_GB2312" w:cs="仿宋_GB2312"/>
              </w:rPr>
            </w:pPr>
            <w:r>
              <w:rPr>
                <w:rFonts w:ascii="仿宋_GB2312" w:eastAsia="仿宋_GB2312" w:cs="仿宋_GB2312"/>
              </w:rPr>
              <w:t>1</w:t>
            </w:r>
            <w:r>
              <w:rPr>
                <w:rFonts w:hint="eastAsia" w:ascii="仿宋_GB2312" w:eastAsia="仿宋_GB2312" w:cs="仿宋_GB2312"/>
                <w:lang w:val="en-US" w:eastAsia="zh-CN"/>
              </w:rPr>
              <w:t>8</w:t>
            </w:r>
            <w:r>
              <w:rPr>
                <w:rFonts w:ascii="仿宋_GB2312" w:eastAsia="仿宋_GB2312" w:cs="仿宋_GB2312"/>
              </w:rPr>
              <w:t>0</w:t>
            </w:r>
          </w:p>
        </w:tc>
        <w:tc>
          <w:tcPr>
            <w:tcW w:w="703"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rPr>
            </w:pPr>
            <w:r>
              <w:rPr>
                <w:rFonts w:ascii="仿宋_GB2312" w:eastAsia="仿宋_GB2312" w:cs="仿宋_GB2312"/>
              </w:rPr>
              <w:t>1</w:t>
            </w:r>
            <w:r>
              <w:rPr>
                <w:rFonts w:hint="eastAsia" w:ascii="仿宋_GB2312" w:eastAsia="仿宋_GB2312" w:cs="仿宋_GB2312"/>
                <w:lang w:val="en-US" w:eastAsia="zh-CN"/>
              </w:rPr>
              <w:t>00</w:t>
            </w:r>
          </w:p>
        </w:tc>
        <w:tc>
          <w:tcPr>
            <w:tcW w:w="703"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ascii="仿宋_GB2312" w:eastAsia="仿宋_GB2312" w:cs="仿宋_GB2312"/>
              </w:rPr>
              <w:t>1</w:t>
            </w:r>
            <w:r>
              <w:rPr>
                <w:rFonts w:hint="eastAsia" w:ascii="仿宋_GB2312" w:eastAsia="仿宋_GB2312" w:cs="仿宋_GB2312"/>
                <w:lang w:val="en-US" w:eastAsia="zh-CN"/>
              </w:rPr>
              <w:t>05</w:t>
            </w:r>
          </w:p>
        </w:tc>
        <w:tc>
          <w:tcPr>
            <w:tcW w:w="703"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1180</w:t>
            </w:r>
          </w:p>
        </w:tc>
        <w:tc>
          <w:tcPr>
            <w:tcW w:w="705"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1230</w:t>
            </w:r>
          </w:p>
        </w:tc>
        <w:tc>
          <w:tcPr>
            <w:tcW w:w="820"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11</w:t>
            </w:r>
            <w:r>
              <w:rPr>
                <w:rFonts w:hint="eastAsia" w:ascii="仿宋_GB2312" w:eastAsia="仿宋_GB2312" w:cs="仿宋_GB2312"/>
                <w:lang w:val="en-US" w:eastAsia="zh-CN"/>
              </w:rPr>
              <w:t>0</w:t>
            </w:r>
            <w:r>
              <w:rPr>
                <w:rFonts w:ascii="仿宋_GB2312" w:eastAsia="仿宋_GB2312" w:cs="仿宋_GB2312"/>
              </w:rPr>
              <w:t>0</w:t>
            </w:r>
          </w:p>
        </w:tc>
        <w:tc>
          <w:tcPr>
            <w:tcW w:w="820"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1</w:t>
            </w:r>
            <w:r>
              <w:rPr>
                <w:rFonts w:hint="eastAsia" w:ascii="仿宋_GB2312" w:eastAsia="仿宋_GB2312" w:cs="仿宋_GB2312"/>
                <w:lang w:val="en-US" w:eastAsia="zh-CN"/>
              </w:rPr>
              <w:t>15</w:t>
            </w:r>
            <w:r>
              <w:rPr>
                <w:rFonts w:ascii="仿宋_GB2312" w:eastAsia="仿宋_GB2312" w:cs="仿宋_GB2312"/>
              </w:rPr>
              <w:t>0</w:t>
            </w:r>
          </w:p>
        </w:tc>
        <w:tc>
          <w:tcPr>
            <w:tcW w:w="820"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7600</w:t>
            </w:r>
          </w:p>
        </w:tc>
        <w:tc>
          <w:tcPr>
            <w:tcW w:w="816"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8000</w:t>
            </w:r>
          </w:p>
        </w:tc>
      </w:tr>
      <w:tr>
        <w:tblPrEx>
          <w:tblLayout w:type="fixed"/>
          <w:tblCellMar>
            <w:top w:w="0" w:type="dxa"/>
            <w:left w:w="108" w:type="dxa"/>
            <w:bottom w:w="0" w:type="dxa"/>
            <w:right w:w="108" w:type="dxa"/>
          </w:tblCellMar>
        </w:tblPrEx>
        <w:trPr>
          <w:trHeight w:val="245" w:hRule="atLeast"/>
        </w:trPr>
        <w:tc>
          <w:tcPr>
            <w:tcW w:w="1225" w:type="dxa"/>
            <w:tcBorders>
              <w:top w:val="nil"/>
              <w:left w:val="single" w:color="auto" w:sz="4" w:space="0"/>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lang w:val="en-US" w:eastAsia="zh-CN"/>
              </w:rPr>
              <w:t>4</w:t>
            </w:r>
            <w:r>
              <w:rPr>
                <w:rFonts w:hint="eastAsia" w:ascii="仿宋_GB2312" w:eastAsia="仿宋_GB2312" w:cs="仿宋_GB2312"/>
              </w:rPr>
              <w:t>月</w:t>
            </w:r>
            <w:r>
              <w:rPr>
                <w:rFonts w:hint="eastAsia" w:ascii="仿宋_GB2312" w:eastAsia="仿宋_GB2312" w:cs="仿宋_GB2312"/>
                <w:lang w:val="en-US" w:eastAsia="zh-CN"/>
              </w:rPr>
              <w:t>19</w:t>
            </w:r>
            <w:r>
              <w:rPr>
                <w:rFonts w:hint="eastAsia" w:ascii="仿宋_GB2312" w:eastAsia="仿宋_GB2312" w:cs="仿宋_GB2312"/>
              </w:rPr>
              <w:t>日</w:t>
            </w:r>
          </w:p>
        </w:tc>
        <w:tc>
          <w:tcPr>
            <w:tcW w:w="702" w:type="dxa"/>
            <w:tcBorders>
              <w:top w:val="nil"/>
              <w:left w:val="nil"/>
              <w:bottom w:val="single" w:color="auto" w:sz="4" w:space="0"/>
              <w:right w:val="single" w:color="auto" w:sz="4" w:space="0"/>
            </w:tcBorders>
            <w:noWrap/>
            <w:vAlign w:val="center"/>
          </w:tcPr>
          <w:p>
            <w:pPr>
              <w:jc w:val="center"/>
              <w:rPr>
                <w:rFonts w:ascii="仿宋_GB2312" w:eastAsia="仿宋_GB2312" w:cs="仿宋_GB2312"/>
              </w:rPr>
            </w:pPr>
            <w:r>
              <w:rPr>
                <w:rFonts w:ascii="仿宋_GB2312" w:eastAsia="仿宋_GB2312" w:cs="仿宋_GB2312"/>
              </w:rPr>
              <w:t>1</w:t>
            </w:r>
            <w:r>
              <w:rPr>
                <w:rFonts w:hint="eastAsia" w:ascii="仿宋_GB2312" w:eastAsia="仿宋_GB2312" w:cs="仿宋_GB2312"/>
                <w:lang w:val="en-US" w:eastAsia="zh-CN"/>
              </w:rPr>
              <w:t>60</w:t>
            </w:r>
          </w:p>
        </w:tc>
        <w:tc>
          <w:tcPr>
            <w:tcW w:w="703" w:type="dxa"/>
            <w:tcBorders>
              <w:top w:val="nil"/>
              <w:left w:val="nil"/>
              <w:bottom w:val="single" w:color="auto" w:sz="4" w:space="0"/>
              <w:right w:val="single" w:color="auto" w:sz="4" w:space="0"/>
            </w:tcBorders>
            <w:noWrap/>
            <w:vAlign w:val="center"/>
          </w:tcPr>
          <w:p>
            <w:pPr>
              <w:jc w:val="center"/>
              <w:rPr>
                <w:rFonts w:ascii="仿宋_GB2312" w:eastAsia="仿宋_GB2312" w:cs="仿宋_GB2312"/>
              </w:rPr>
            </w:pPr>
            <w:r>
              <w:rPr>
                <w:rFonts w:ascii="仿宋_GB2312" w:eastAsia="仿宋_GB2312" w:cs="仿宋_GB2312"/>
              </w:rPr>
              <w:t>1</w:t>
            </w:r>
            <w:r>
              <w:rPr>
                <w:rFonts w:hint="eastAsia" w:ascii="仿宋_GB2312" w:eastAsia="仿宋_GB2312" w:cs="仿宋_GB2312"/>
                <w:lang w:val="en-US" w:eastAsia="zh-CN"/>
              </w:rPr>
              <w:t>8</w:t>
            </w:r>
            <w:r>
              <w:rPr>
                <w:rFonts w:ascii="仿宋_GB2312" w:eastAsia="仿宋_GB2312" w:cs="仿宋_GB2312"/>
              </w:rPr>
              <w:t>0</w:t>
            </w:r>
          </w:p>
        </w:tc>
        <w:tc>
          <w:tcPr>
            <w:tcW w:w="703"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ascii="仿宋_GB2312" w:eastAsia="仿宋_GB2312" w:cs="仿宋_GB2312"/>
              </w:rPr>
              <w:t>1</w:t>
            </w:r>
            <w:r>
              <w:rPr>
                <w:rFonts w:hint="eastAsia" w:ascii="仿宋_GB2312" w:eastAsia="仿宋_GB2312" w:cs="仿宋_GB2312"/>
                <w:lang w:val="en-US" w:eastAsia="zh-CN"/>
              </w:rPr>
              <w:t>00</w:t>
            </w:r>
          </w:p>
        </w:tc>
        <w:tc>
          <w:tcPr>
            <w:tcW w:w="703"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rPr>
            </w:pPr>
            <w:r>
              <w:rPr>
                <w:rFonts w:ascii="仿宋_GB2312" w:eastAsia="仿宋_GB2312" w:cs="仿宋_GB2312"/>
              </w:rPr>
              <w:t>1</w:t>
            </w:r>
            <w:r>
              <w:rPr>
                <w:rFonts w:hint="eastAsia" w:ascii="仿宋_GB2312" w:eastAsia="仿宋_GB2312" w:cs="仿宋_GB2312"/>
                <w:lang w:val="en-US" w:eastAsia="zh-CN"/>
              </w:rPr>
              <w:t>05</w:t>
            </w:r>
          </w:p>
        </w:tc>
        <w:tc>
          <w:tcPr>
            <w:tcW w:w="703"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1180</w:t>
            </w:r>
          </w:p>
        </w:tc>
        <w:tc>
          <w:tcPr>
            <w:tcW w:w="705"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1230</w:t>
            </w:r>
          </w:p>
        </w:tc>
        <w:tc>
          <w:tcPr>
            <w:tcW w:w="820"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11</w:t>
            </w:r>
            <w:r>
              <w:rPr>
                <w:rFonts w:hint="eastAsia" w:ascii="仿宋_GB2312" w:eastAsia="仿宋_GB2312" w:cs="仿宋_GB2312"/>
                <w:lang w:val="en-US" w:eastAsia="zh-CN"/>
              </w:rPr>
              <w:t>0</w:t>
            </w:r>
            <w:r>
              <w:rPr>
                <w:rFonts w:ascii="仿宋_GB2312" w:eastAsia="仿宋_GB2312" w:cs="仿宋_GB2312"/>
              </w:rPr>
              <w:t>0</w:t>
            </w:r>
          </w:p>
        </w:tc>
        <w:tc>
          <w:tcPr>
            <w:tcW w:w="820"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1</w:t>
            </w:r>
            <w:r>
              <w:rPr>
                <w:rFonts w:hint="eastAsia" w:ascii="仿宋_GB2312" w:eastAsia="仿宋_GB2312" w:cs="仿宋_GB2312"/>
                <w:lang w:val="en-US" w:eastAsia="zh-CN"/>
              </w:rPr>
              <w:t>15</w:t>
            </w:r>
            <w:r>
              <w:rPr>
                <w:rFonts w:ascii="仿宋_GB2312" w:eastAsia="仿宋_GB2312" w:cs="仿宋_GB2312"/>
              </w:rPr>
              <w:t>0</w:t>
            </w:r>
          </w:p>
        </w:tc>
        <w:tc>
          <w:tcPr>
            <w:tcW w:w="820"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7600</w:t>
            </w:r>
          </w:p>
        </w:tc>
        <w:tc>
          <w:tcPr>
            <w:tcW w:w="816"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8000</w:t>
            </w:r>
          </w:p>
        </w:tc>
      </w:tr>
      <w:tr>
        <w:tblPrEx>
          <w:tblLayout w:type="fixed"/>
        </w:tblPrEx>
        <w:trPr>
          <w:trHeight w:val="225" w:hRule="atLeast"/>
        </w:trPr>
        <w:tc>
          <w:tcPr>
            <w:tcW w:w="1225" w:type="dxa"/>
            <w:tcBorders>
              <w:top w:val="nil"/>
              <w:left w:val="single" w:color="auto" w:sz="4" w:space="0"/>
              <w:bottom w:val="single" w:color="auto" w:sz="4" w:space="0"/>
              <w:right w:val="single" w:color="auto" w:sz="4" w:space="0"/>
            </w:tcBorders>
            <w:noWrap/>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单位</w:t>
            </w:r>
          </w:p>
        </w:tc>
        <w:tc>
          <w:tcPr>
            <w:tcW w:w="7495" w:type="dxa"/>
            <w:gridSpan w:val="10"/>
            <w:tcBorders>
              <w:top w:val="single" w:color="auto" w:sz="4" w:space="0"/>
              <w:left w:val="nil"/>
              <w:bottom w:val="single" w:color="auto" w:sz="4" w:space="0"/>
              <w:right w:val="single" w:color="auto" w:sz="4" w:space="0"/>
            </w:tcBorders>
            <w:noWrap/>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元</w:t>
            </w:r>
            <w:r>
              <w:rPr>
                <w:rFonts w:ascii="仿宋_GB2312" w:hAnsi="宋体" w:eastAsia="仿宋_GB2312" w:cs="仿宋_GB2312"/>
                <w:kern w:val="0"/>
              </w:rPr>
              <w:t>/</w:t>
            </w:r>
            <w:r>
              <w:rPr>
                <w:rFonts w:hint="eastAsia" w:ascii="仿宋_GB2312" w:hAnsi="宋体" w:eastAsia="仿宋_GB2312" w:cs="仿宋_GB2312"/>
                <w:kern w:val="0"/>
              </w:rPr>
              <w:t>公斤</w:t>
            </w:r>
          </w:p>
        </w:tc>
      </w:tr>
      <w:tr>
        <w:tblPrEx>
          <w:tblLayout w:type="fixed"/>
          <w:tblCellMar>
            <w:top w:w="0" w:type="dxa"/>
            <w:left w:w="108" w:type="dxa"/>
            <w:bottom w:w="0" w:type="dxa"/>
            <w:right w:w="108" w:type="dxa"/>
          </w:tblCellMar>
        </w:tblPrEx>
        <w:trPr>
          <w:trHeight w:val="225" w:hRule="atLeast"/>
        </w:trPr>
        <w:tc>
          <w:tcPr>
            <w:tcW w:w="1225" w:type="dxa"/>
            <w:tcBorders>
              <w:top w:val="nil"/>
              <w:left w:val="single" w:color="auto" w:sz="4" w:space="0"/>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日期</w:t>
            </w:r>
          </w:p>
        </w:tc>
        <w:tc>
          <w:tcPr>
            <w:tcW w:w="1405"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二氧化锗</w:t>
            </w:r>
          </w:p>
        </w:tc>
        <w:tc>
          <w:tcPr>
            <w:tcW w:w="1406"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镓锭</w:t>
            </w:r>
          </w:p>
        </w:tc>
        <w:tc>
          <w:tcPr>
            <w:tcW w:w="1408"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碲锭</w:t>
            </w:r>
          </w:p>
        </w:tc>
        <w:tc>
          <w:tcPr>
            <w:tcW w:w="1640"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铋锭</w:t>
            </w:r>
          </w:p>
        </w:tc>
        <w:tc>
          <w:tcPr>
            <w:tcW w:w="1636"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镉锭</w:t>
            </w:r>
          </w:p>
        </w:tc>
      </w:tr>
      <w:tr>
        <w:tblPrEx>
          <w:tblLayout w:type="fixed"/>
          <w:tblCellMar>
            <w:top w:w="0" w:type="dxa"/>
            <w:left w:w="108" w:type="dxa"/>
            <w:bottom w:w="0" w:type="dxa"/>
            <w:right w:w="108" w:type="dxa"/>
          </w:tblCellMar>
        </w:tblPrEx>
        <w:trPr>
          <w:trHeight w:val="225" w:hRule="atLeast"/>
        </w:trPr>
        <w:tc>
          <w:tcPr>
            <w:tcW w:w="1225" w:type="dxa"/>
            <w:tcBorders>
              <w:top w:val="nil"/>
              <w:left w:val="single" w:color="auto" w:sz="4" w:space="0"/>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lang w:val="en-US" w:eastAsia="zh-CN"/>
              </w:rPr>
              <w:t>4</w:t>
            </w:r>
            <w:r>
              <w:rPr>
                <w:rFonts w:hint="eastAsia" w:ascii="仿宋_GB2312" w:eastAsia="仿宋_GB2312" w:cs="仿宋_GB2312"/>
              </w:rPr>
              <w:t>月</w:t>
            </w:r>
            <w:r>
              <w:rPr>
                <w:rFonts w:hint="eastAsia" w:ascii="仿宋_GB2312" w:eastAsia="仿宋_GB2312" w:cs="仿宋_GB2312"/>
                <w:lang w:val="en-US" w:eastAsia="zh-CN"/>
              </w:rPr>
              <w:t>17</w:t>
            </w:r>
            <w:r>
              <w:rPr>
                <w:rFonts w:hint="eastAsia" w:ascii="仿宋_GB2312" w:eastAsia="仿宋_GB2312" w:cs="仿宋_GB2312"/>
              </w:rPr>
              <w:t>日</w:t>
            </w:r>
          </w:p>
        </w:tc>
        <w:tc>
          <w:tcPr>
            <w:tcW w:w="702"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4800</w:t>
            </w:r>
          </w:p>
        </w:tc>
        <w:tc>
          <w:tcPr>
            <w:tcW w:w="703"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5200</w:t>
            </w:r>
          </w:p>
        </w:tc>
        <w:tc>
          <w:tcPr>
            <w:tcW w:w="703"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1000</w:t>
            </w:r>
          </w:p>
        </w:tc>
        <w:tc>
          <w:tcPr>
            <w:tcW w:w="703"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1030</w:t>
            </w:r>
          </w:p>
        </w:tc>
        <w:tc>
          <w:tcPr>
            <w:tcW w:w="703"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rPr>
            </w:pPr>
            <w:r>
              <w:rPr>
                <w:rFonts w:ascii="仿宋_GB2312" w:eastAsia="仿宋_GB2312" w:cs="仿宋_GB2312"/>
              </w:rPr>
              <w:t>4</w:t>
            </w:r>
            <w:r>
              <w:rPr>
                <w:rFonts w:hint="eastAsia" w:ascii="仿宋_GB2312" w:eastAsia="仿宋_GB2312" w:cs="仿宋_GB2312"/>
                <w:lang w:val="en-US" w:eastAsia="zh-CN"/>
              </w:rPr>
              <w:t>00</w:t>
            </w:r>
          </w:p>
        </w:tc>
        <w:tc>
          <w:tcPr>
            <w:tcW w:w="705" w:type="dxa"/>
            <w:tcBorders>
              <w:top w:val="nil"/>
              <w:left w:val="nil"/>
              <w:bottom w:val="single" w:color="auto" w:sz="4" w:space="0"/>
              <w:right w:val="single" w:color="auto" w:sz="4" w:space="0"/>
            </w:tcBorders>
            <w:noWrap/>
            <w:vAlign w:val="center"/>
          </w:tcPr>
          <w:p>
            <w:pPr>
              <w:jc w:val="center"/>
              <w:rPr>
                <w:rFonts w:ascii="仿宋_GB2312" w:eastAsia="仿宋_GB2312" w:cs="仿宋_GB2312"/>
              </w:rPr>
            </w:pPr>
            <w:r>
              <w:rPr>
                <w:rFonts w:ascii="仿宋_GB2312" w:eastAsia="仿宋_GB2312" w:cs="仿宋_GB2312"/>
              </w:rPr>
              <w:t>4</w:t>
            </w:r>
            <w:r>
              <w:rPr>
                <w:rFonts w:hint="eastAsia" w:ascii="仿宋_GB2312" w:eastAsia="仿宋_GB2312" w:cs="仿宋_GB2312"/>
                <w:lang w:val="en-US" w:eastAsia="zh-CN"/>
              </w:rPr>
              <w:t>2</w:t>
            </w:r>
            <w:r>
              <w:rPr>
                <w:rFonts w:ascii="仿宋_GB2312" w:eastAsia="仿宋_GB2312" w:cs="仿宋_GB2312"/>
              </w:rPr>
              <w:t>0</w:t>
            </w:r>
          </w:p>
        </w:tc>
        <w:tc>
          <w:tcPr>
            <w:tcW w:w="820"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default" w:ascii="仿宋_GB2312" w:eastAsia="仿宋_GB2312" w:cs="仿宋_GB2312"/>
                <w:lang w:val="en-US" w:eastAsia="zh-CN"/>
              </w:rPr>
              <w:t>4</w:t>
            </w:r>
            <w:r>
              <w:rPr>
                <w:rFonts w:hint="eastAsia" w:ascii="仿宋_GB2312" w:eastAsia="仿宋_GB2312" w:cs="仿宋_GB2312"/>
                <w:lang w:val="en-US" w:eastAsia="zh-CN"/>
              </w:rPr>
              <w:t>80</w:t>
            </w:r>
            <w:r>
              <w:rPr>
                <w:rFonts w:hint="default" w:ascii="仿宋_GB2312" w:eastAsia="仿宋_GB2312" w:cs="仿宋_GB2312"/>
                <w:lang w:val="en-US" w:eastAsia="zh-CN"/>
              </w:rPr>
              <w:t>00</w:t>
            </w:r>
          </w:p>
        </w:tc>
        <w:tc>
          <w:tcPr>
            <w:tcW w:w="820"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default" w:ascii="仿宋_GB2312" w:eastAsia="仿宋_GB2312" w:cs="仿宋_GB2312"/>
                <w:lang w:val="en-US" w:eastAsia="zh-CN"/>
              </w:rPr>
              <w:t>4</w:t>
            </w:r>
            <w:r>
              <w:rPr>
                <w:rFonts w:hint="eastAsia" w:ascii="仿宋_GB2312" w:eastAsia="仿宋_GB2312" w:cs="仿宋_GB2312"/>
                <w:lang w:val="en-US" w:eastAsia="zh-CN"/>
              </w:rPr>
              <w:t>90</w:t>
            </w:r>
            <w:r>
              <w:rPr>
                <w:rFonts w:hint="default" w:ascii="仿宋_GB2312" w:eastAsia="仿宋_GB2312" w:cs="仿宋_GB2312"/>
                <w:lang w:val="en-US" w:eastAsia="zh-CN"/>
              </w:rPr>
              <w:t>00</w:t>
            </w:r>
          </w:p>
        </w:tc>
        <w:tc>
          <w:tcPr>
            <w:tcW w:w="820"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20000</w:t>
            </w:r>
          </w:p>
        </w:tc>
        <w:tc>
          <w:tcPr>
            <w:tcW w:w="816"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205</w:t>
            </w:r>
            <w:r>
              <w:rPr>
                <w:rFonts w:ascii="仿宋_GB2312" w:eastAsia="仿宋_GB2312" w:cs="仿宋_GB2312"/>
              </w:rPr>
              <w:t>00</w:t>
            </w:r>
          </w:p>
        </w:tc>
      </w:tr>
      <w:tr>
        <w:tblPrEx>
          <w:tblLayout w:type="fixed"/>
          <w:tblCellMar>
            <w:top w:w="0" w:type="dxa"/>
            <w:left w:w="108" w:type="dxa"/>
            <w:bottom w:w="0" w:type="dxa"/>
            <w:right w:w="108" w:type="dxa"/>
          </w:tblCellMar>
        </w:tblPrEx>
        <w:trPr>
          <w:trHeight w:val="225" w:hRule="atLeast"/>
        </w:trPr>
        <w:tc>
          <w:tcPr>
            <w:tcW w:w="1225" w:type="dxa"/>
            <w:tcBorders>
              <w:top w:val="nil"/>
              <w:left w:val="single" w:color="auto" w:sz="4" w:space="0"/>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lang w:val="en-US" w:eastAsia="zh-CN"/>
              </w:rPr>
              <w:t>4</w:t>
            </w:r>
            <w:r>
              <w:rPr>
                <w:rFonts w:hint="eastAsia" w:ascii="仿宋_GB2312" w:eastAsia="仿宋_GB2312" w:cs="仿宋_GB2312"/>
              </w:rPr>
              <w:t>月</w:t>
            </w:r>
            <w:r>
              <w:rPr>
                <w:rFonts w:hint="eastAsia" w:ascii="仿宋_GB2312" w:eastAsia="仿宋_GB2312" w:cs="仿宋_GB2312"/>
                <w:lang w:val="en-US" w:eastAsia="zh-CN"/>
              </w:rPr>
              <w:t>18</w:t>
            </w:r>
            <w:r>
              <w:rPr>
                <w:rFonts w:hint="eastAsia" w:ascii="仿宋_GB2312" w:eastAsia="仿宋_GB2312" w:cs="仿宋_GB2312"/>
              </w:rPr>
              <w:t>日</w:t>
            </w:r>
          </w:p>
        </w:tc>
        <w:tc>
          <w:tcPr>
            <w:tcW w:w="702"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4800</w:t>
            </w:r>
          </w:p>
        </w:tc>
        <w:tc>
          <w:tcPr>
            <w:tcW w:w="703"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5200</w:t>
            </w:r>
          </w:p>
        </w:tc>
        <w:tc>
          <w:tcPr>
            <w:tcW w:w="703"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990</w:t>
            </w:r>
          </w:p>
        </w:tc>
        <w:tc>
          <w:tcPr>
            <w:tcW w:w="703"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10</w:t>
            </w:r>
            <w:r>
              <w:rPr>
                <w:rFonts w:hint="eastAsia" w:ascii="仿宋_GB2312" w:eastAsia="仿宋_GB2312" w:cs="仿宋_GB2312"/>
                <w:lang w:val="en-US" w:eastAsia="zh-CN"/>
              </w:rPr>
              <w:t>2</w:t>
            </w:r>
            <w:r>
              <w:rPr>
                <w:rFonts w:ascii="仿宋_GB2312" w:eastAsia="仿宋_GB2312" w:cs="仿宋_GB2312"/>
              </w:rPr>
              <w:t>0</w:t>
            </w:r>
          </w:p>
        </w:tc>
        <w:tc>
          <w:tcPr>
            <w:tcW w:w="703" w:type="dxa"/>
            <w:tcBorders>
              <w:top w:val="nil"/>
              <w:left w:val="nil"/>
              <w:bottom w:val="single" w:color="auto" w:sz="4" w:space="0"/>
              <w:right w:val="single" w:color="auto" w:sz="4" w:space="0"/>
            </w:tcBorders>
            <w:noWrap/>
            <w:vAlign w:val="center"/>
          </w:tcPr>
          <w:p>
            <w:pPr>
              <w:jc w:val="center"/>
              <w:rPr>
                <w:rFonts w:ascii="仿宋_GB2312" w:eastAsia="仿宋_GB2312" w:cs="仿宋_GB2312"/>
              </w:rPr>
            </w:pPr>
            <w:r>
              <w:rPr>
                <w:rFonts w:ascii="仿宋_GB2312" w:eastAsia="仿宋_GB2312" w:cs="仿宋_GB2312"/>
              </w:rPr>
              <w:t>4</w:t>
            </w:r>
            <w:r>
              <w:rPr>
                <w:rFonts w:hint="eastAsia" w:ascii="仿宋_GB2312" w:eastAsia="仿宋_GB2312" w:cs="仿宋_GB2312"/>
                <w:lang w:val="en-US" w:eastAsia="zh-CN"/>
              </w:rPr>
              <w:t>00</w:t>
            </w:r>
          </w:p>
        </w:tc>
        <w:tc>
          <w:tcPr>
            <w:tcW w:w="705" w:type="dxa"/>
            <w:tcBorders>
              <w:top w:val="nil"/>
              <w:left w:val="nil"/>
              <w:bottom w:val="single" w:color="auto" w:sz="4" w:space="0"/>
              <w:right w:val="single" w:color="auto" w:sz="4" w:space="0"/>
            </w:tcBorders>
            <w:noWrap/>
            <w:vAlign w:val="center"/>
          </w:tcPr>
          <w:p>
            <w:pPr>
              <w:jc w:val="center"/>
              <w:rPr>
                <w:rFonts w:ascii="仿宋_GB2312" w:eastAsia="仿宋_GB2312" w:cs="仿宋_GB2312"/>
              </w:rPr>
            </w:pPr>
            <w:r>
              <w:rPr>
                <w:rFonts w:ascii="仿宋_GB2312" w:eastAsia="仿宋_GB2312" w:cs="仿宋_GB2312"/>
              </w:rPr>
              <w:t>4</w:t>
            </w:r>
            <w:r>
              <w:rPr>
                <w:rFonts w:hint="eastAsia" w:ascii="仿宋_GB2312" w:eastAsia="仿宋_GB2312" w:cs="仿宋_GB2312"/>
                <w:lang w:val="en-US" w:eastAsia="zh-CN"/>
              </w:rPr>
              <w:t>2</w:t>
            </w:r>
            <w:r>
              <w:rPr>
                <w:rFonts w:ascii="仿宋_GB2312" w:eastAsia="仿宋_GB2312" w:cs="仿宋_GB2312"/>
              </w:rPr>
              <w:t>0</w:t>
            </w:r>
          </w:p>
        </w:tc>
        <w:tc>
          <w:tcPr>
            <w:tcW w:w="820"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default" w:ascii="仿宋_GB2312" w:eastAsia="仿宋_GB2312" w:cs="仿宋_GB2312"/>
                <w:lang w:val="en-US" w:eastAsia="zh-CN"/>
              </w:rPr>
              <w:t>4</w:t>
            </w:r>
            <w:r>
              <w:rPr>
                <w:rFonts w:hint="eastAsia" w:ascii="仿宋_GB2312" w:eastAsia="仿宋_GB2312" w:cs="仿宋_GB2312"/>
                <w:lang w:val="en-US" w:eastAsia="zh-CN"/>
              </w:rPr>
              <w:t>75</w:t>
            </w:r>
            <w:r>
              <w:rPr>
                <w:rFonts w:hint="default" w:ascii="仿宋_GB2312" w:eastAsia="仿宋_GB2312" w:cs="仿宋_GB2312"/>
                <w:lang w:val="en-US" w:eastAsia="zh-CN"/>
              </w:rPr>
              <w:t>00</w:t>
            </w:r>
          </w:p>
        </w:tc>
        <w:tc>
          <w:tcPr>
            <w:tcW w:w="820"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default" w:ascii="仿宋_GB2312" w:eastAsia="仿宋_GB2312" w:cs="仿宋_GB2312"/>
                <w:lang w:val="en-US" w:eastAsia="zh-CN"/>
              </w:rPr>
              <w:t>4</w:t>
            </w:r>
            <w:r>
              <w:rPr>
                <w:rFonts w:hint="eastAsia" w:ascii="仿宋_GB2312" w:eastAsia="仿宋_GB2312" w:cs="仿宋_GB2312"/>
                <w:lang w:val="en-US" w:eastAsia="zh-CN"/>
              </w:rPr>
              <w:t>850</w:t>
            </w:r>
            <w:r>
              <w:rPr>
                <w:rFonts w:hint="default" w:ascii="仿宋_GB2312" w:eastAsia="仿宋_GB2312" w:cs="仿宋_GB2312"/>
                <w:lang w:val="en-US" w:eastAsia="zh-CN"/>
              </w:rPr>
              <w:t>0</w:t>
            </w:r>
          </w:p>
        </w:tc>
        <w:tc>
          <w:tcPr>
            <w:tcW w:w="820" w:type="dxa"/>
            <w:tcBorders>
              <w:top w:val="nil"/>
              <w:left w:val="nil"/>
              <w:bottom w:val="single" w:color="auto" w:sz="4" w:space="0"/>
              <w:right w:val="single" w:color="auto" w:sz="4" w:space="0"/>
            </w:tcBorders>
            <w:noWrap/>
            <w:vAlign w:val="center"/>
          </w:tcPr>
          <w:p>
            <w:pPr>
              <w:jc w:val="center"/>
              <w:rPr>
                <w:rFonts w:ascii="仿宋_GB2312" w:eastAsia="仿宋_GB2312" w:cs="仿宋_GB2312"/>
              </w:rPr>
            </w:pPr>
            <w:r>
              <w:rPr>
                <w:rFonts w:hint="eastAsia" w:ascii="仿宋_GB2312" w:eastAsia="仿宋_GB2312" w:cs="仿宋_GB2312"/>
                <w:lang w:val="en-US" w:eastAsia="zh-CN"/>
              </w:rPr>
              <w:t>20000</w:t>
            </w:r>
          </w:p>
        </w:tc>
        <w:tc>
          <w:tcPr>
            <w:tcW w:w="816"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205</w:t>
            </w:r>
            <w:r>
              <w:rPr>
                <w:rFonts w:ascii="仿宋_GB2312" w:eastAsia="仿宋_GB2312" w:cs="仿宋_GB2312"/>
              </w:rPr>
              <w:t>00</w:t>
            </w:r>
          </w:p>
        </w:tc>
      </w:tr>
      <w:tr>
        <w:tblPrEx>
          <w:tblLayout w:type="fixed"/>
          <w:tblCellMar>
            <w:top w:w="0" w:type="dxa"/>
            <w:left w:w="108" w:type="dxa"/>
            <w:bottom w:w="0" w:type="dxa"/>
            <w:right w:w="108" w:type="dxa"/>
          </w:tblCellMar>
        </w:tblPrEx>
        <w:trPr>
          <w:trHeight w:val="225" w:hRule="atLeast"/>
        </w:trPr>
        <w:tc>
          <w:tcPr>
            <w:tcW w:w="1225" w:type="dxa"/>
            <w:tcBorders>
              <w:top w:val="nil"/>
              <w:left w:val="single" w:color="auto" w:sz="4" w:space="0"/>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lang w:val="en-US" w:eastAsia="zh-CN"/>
              </w:rPr>
              <w:t>4</w:t>
            </w:r>
            <w:r>
              <w:rPr>
                <w:rFonts w:hint="eastAsia" w:ascii="仿宋_GB2312" w:eastAsia="仿宋_GB2312" w:cs="仿宋_GB2312"/>
              </w:rPr>
              <w:t>月</w:t>
            </w:r>
            <w:r>
              <w:rPr>
                <w:rFonts w:hint="eastAsia" w:ascii="仿宋_GB2312" w:eastAsia="仿宋_GB2312" w:cs="仿宋_GB2312"/>
                <w:lang w:val="en-US" w:eastAsia="zh-CN"/>
              </w:rPr>
              <w:t>19</w:t>
            </w:r>
            <w:r>
              <w:rPr>
                <w:rFonts w:hint="eastAsia" w:ascii="仿宋_GB2312" w:eastAsia="仿宋_GB2312" w:cs="仿宋_GB2312"/>
              </w:rPr>
              <w:t>日</w:t>
            </w:r>
          </w:p>
        </w:tc>
        <w:tc>
          <w:tcPr>
            <w:tcW w:w="702"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4800</w:t>
            </w:r>
          </w:p>
        </w:tc>
        <w:tc>
          <w:tcPr>
            <w:tcW w:w="703"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5200</w:t>
            </w:r>
          </w:p>
        </w:tc>
        <w:tc>
          <w:tcPr>
            <w:tcW w:w="703"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990</w:t>
            </w:r>
          </w:p>
        </w:tc>
        <w:tc>
          <w:tcPr>
            <w:tcW w:w="703"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10</w:t>
            </w:r>
            <w:r>
              <w:rPr>
                <w:rFonts w:hint="eastAsia" w:ascii="仿宋_GB2312" w:eastAsia="仿宋_GB2312" w:cs="仿宋_GB2312"/>
                <w:lang w:val="en-US" w:eastAsia="zh-CN"/>
              </w:rPr>
              <w:t>2</w:t>
            </w:r>
            <w:r>
              <w:rPr>
                <w:rFonts w:ascii="仿宋_GB2312" w:eastAsia="仿宋_GB2312" w:cs="仿宋_GB2312"/>
              </w:rPr>
              <w:t>0</w:t>
            </w:r>
          </w:p>
        </w:tc>
        <w:tc>
          <w:tcPr>
            <w:tcW w:w="703" w:type="dxa"/>
            <w:tcBorders>
              <w:top w:val="nil"/>
              <w:left w:val="nil"/>
              <w:bottom w:val="single" w:color="auto" w:sz="4" w:space="0"/>
              <w:right w:val="single" w:color="auto" w:sz="4" w:space="0"/>
            </w:tcBorders>
            <w:noWrap/>
            <w:vAlign w:val="center"/>
          </w:tcPr>
          <w:p>
            <w:pPr>
              <w:jc w:val="center"/>
              <w:rPr>
                <w:rFonts w:ascii="仿宋_GB2312" w:eastAsia="仿宋_GB2312" w:cs="仿宋_GB2312"/>
              </w:rPr>
            </w:pPr>
            <w:r>
              <w:rPr>
                <w:rFonts w:ascii="仿宋_GB2312" w:eastAsia="仿宋_GB2312" w:cs="仿宋_GB2312"/>
              </w:rPr>
              <w:t>4</w:t>
            </w:r>
            <w:r>
              <w:rPr>
                <w:rFonts w:hint="eastAsia" w:ascii="仿宋_GB2312" w:eastAsia="仿宋_GB2312" w:cs="仿宋_GB2312"/>
                <w:lang w:val="en-US" w:eastAsia="zh-CN"/>
              </w:rPr>
              <w:t>00</w:t>
            </w:r>
          </w:p>
        </w:tc>
        <w:tc>
          <w:tcPr>
            <w:tcW w:w="705" w:type="dxa"/>
            <w:tcBorders>
              <w:top w:val="nil"/>
              <w:left w:val="nil"/>
              <w:bottom w:val="single" w:color="auto" w:sz="4" w:space="0"/>
              <w:right w:val="single" w:color="auto" w:sz="4" w:space="0"/>
            </w:tcBorders>
            <w:noWrap/>
            <w:vAlign w:val="center"/>
          </w:tcPr>
          <w:p>
            <w:pPr>
              <w:jc w:val="center"/>
              <w:rPr>
                <w:rFonts w:ascii="仿宋_GB2312" w:eastAsia="仿宋_GB2312" w:cs="仿宋_GB2312"/>
              </w:rPr>
            </w:pPr>
            <w:r>
              <w:rPr>
                <w:rFonts w:ascii="仿宋_GB2312" w:eastAsia="仿宋_GB2312" w:cs="仿宋_GB2312"/>
              </w:rPr>
              <w:t>4</w:t>
            </w:r>
            <w:r>
              <w:rPr>
                <w:rFonts w:hint="eastAsia" w:ascii="仿宋_GB2312" w:eastAsia="仿宋_GB2312" w:cs="仿宋_GB2312"/>
                <w:lang w:val="en-US" w:eastAsia="zh-CN"/>
              </w:rPr>
              <w:t>2</w:t>
            </w:r>
            <w:r>
              <w:rPr>
                <w:rFonts w:ascii="仿宋_GB2312" w:eastAsia="仿宋_GB2312" w:cs="仿宋_GB2312"/>
              </w:rPr>
              <w:t>0</w:t>
            </w:r>
          </w:p>
        </w:tc>
        <w:tc>
          <w:tcPr>
            <w:tcW w:w="820"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default" w:ascii="仿宋_GB2312" w:eastAsia="仿宋_GB2312" w:cs="仿宋_GB2312"/>
                <w:lang w:val="en-US" w:eastAsia="zh-CN"/>
              </w:rPr>
              <w:t>4</w:t>
            </w:r>
            <w:r>
              <w:rPr>
                <w:rFonts w:hint="eastAsia" w:ascii="仿宋_GB2312" w:eastAsia="仿宋_GB2312" w:cs="仿宋_GB2312"/>
                <w:lang w:val="en-US" w:eastAsia="zh-CN"/>
              </w:rPr>
              <w:t>75</w:t>
            </w:r>
            <w:r>
              <w:rPr>
                <w:rFonts w:hint="default" w:ascii="仿宋_GB2312" w:eastAsia="仿宋_GB2312" w:cs="仿宋_GB2312"/>
                <w:lang w:val="en-US" w:eastAsia="zh-CN"/>
              </w:rPr>
              <w:t>00</w:t>
            </w:r>
          </w:p>
        </w:tc>
        <w:tc>
          <w:tcPr>
            <w:tcW w:w="820"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default" w:ascii="仿宋_GB2312" w:eastAsia="仿宋_GB2312" w:cs="仿宋_GB2312"/>
                <w:lang w:val="en-US" w:eastAsia="zh-CN"/>
              </w:rPr>
              <w:t>4</w:t>
            </w:r>
            <w:r>
              <w:rPr>
                <w:rFonts w:hint="eastAsia" w:ascii="仿宋_GB2312" w:eastAsia="仿宋_GB2312" w:cs="仿宋_GB2312"/>
                <w:lang w:val="en-US" w:eastAsia="zh-CN"/>
              </w:rPr>
              <w:t>850</w:t>
            </w:r>
            <w:r>
              <w:rPr>
                <w:rFonts w:hint="default" w:ascii="仿宋_GB2312" w:eastAsia="仿宋_GB2312" w:cs="仿宋_GB2312"/>
                <w:lang w:val="en-US" w:eastAsia="zh-CN"/>
              </w:rPr>
              <w:t>0</w:t>
            </w:r>
          </w:p>
        </w:tc>
        <w:tc>
          <w:tcPr>
            <w:tcW w:w="820" w:type="dxa"/>
            <w:tcBorders>
              <w:top w:val="nil"/>
              <w:left w:val="nil"/>
              <w:bottom w:val="single" w:color="auto" w:sz="4" w:space="0"/>
              <w:right w:val="single" w:color="auto" w:sz="4" w:space="0"/>
            </w:tcBorders>
            <w:noWrap/>
            <w:vAlign w:val="center"/>
          </w:tcPr>
          <w:p>
            <w:pPr>
              <w:jc w:val="center"/>
              <w:rPr>
                <w:rFonts w:ascii="仿宋_GB2312" w:eastAsia="仿宋_GB2312" w:cs="仿宋_GB2312"/>
              </w:rPr>
            </w:pPr>
            <w:r>
              <w:rPr>
                <w:rFonts w:hint="eastAsia" w:ascii="仿宋_GB2312" w:eastAsia="仿宋_GB2312" w:cs="仿宋_GB2312"/>
                <w:lang w:val="en-US" w:eastAsia="zh-CN"/>
              </w:rPr>
              <w:t>20000</w:t>
            </w:r>
          </w:p>
        </w:tc>
        <w:tc>
          <w:tcPr>
            <w:tcW w:w="816"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205</w:t>
            </w:r>
            <w:r>
              <w:rPr>
                <w:rFonts w:ascii="仿宋_GB2312" w:eastAsia="仿宋_GB2312" w:cs="仿宋_GB2312"/>
              </w:rPr>
              <w:t>00</w:t>
            </w:r>
          </w:p>
        </w:tc>
      </w:tr>
      <w:tr>
        <w:tblPrEx>
          <w:tblLayout w:type="fixed"/>
          <w:tblCellMar>
            <w:top w:w="0" w:type="dxa"/>
            <w:left w:w="108" w:type="dxa"/>
            <w:bottom w:w="0" w:type="dxa"/>
            <w:right w:w="108" w:type="dxa"/>
          </w:tblCellMar>
        </w:tblPrEx>
        <w:trPr>
          <w:trHeight w:val="225" w:hRule="atLeast"/>
        </w:trPr>
        <w:tc>
          <w:tcPr>
            <w:tcW w:w="1225" w:type="dxa"/>
            <w:tcBorders>
              <w:top w:val="nil"/>
              <w:left w:val="single" w:color="auto" w:sz="4" w:space="0"/>
              <w:bottom w:val="single" w:color="auto" w:sz="4" w:space="0"/>
              <w:right w:val="single" w:color="auto" w:sz="4" w:space="0"/>
            </w:tcBorders>
            <w:noWrap/>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单位</w:t>
            </w:r>
          </w:p>
        </w:tc>
        <w:tc>
          <w:tcPr>
            <w:tcW w:w="4219" w:type="dxa"/>
            <w:gridSpan w:val="6"/>
            <w:tcBorders>
              <w:top w:val="single" w:color="auto" w:sz="4" w:space="0"/>
              <w:left w:val="nil"/>
              <w:bottom w:val="single" w:color="auto" w:sz="4" w:space="0"/>
              <w:right w:val="single" w:color="auto" w:sz="4" w:space="0"/>
            </w:tcBorders>
            <w:noWrap/>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元</w:t>
            </w:r>
            <w:r>
              <w:rPr>
                <w:rFonts w:ascii="仿宋_GB2312" w:hAnsi="宋体" w:eastAsia="仿宋_GB2312" w:cs="仿宋_GB2312"/>
                <w:kern w:val="0"/>
              </w:rPr>
              <w:t>/</w:t>
            </w:r>
            <w:r>
              <w:rPr>
                <w:rFonts w:hint="eastAsia" w:ascii="仿宋_GB2312" w:hAnsi="宋体" w:eastAsia="仿宋_GB2312" w:cs="仿宋_GB2312"/>
                <w:kern w:val="0"/>
              </w:rPr>
              <w:t>公斤</w:t>
            </w:r>
          </w:p>
        </w:tc>
        <w:tc>
          <w:tcPr>
            <w:tcW w:w="3276" w:type="dxa"/>
            <w:gridSpan w:val="4"/>
            <w:tcBorders>
              <w:top w:val="single" w:color="auto" w:sz="4" w:space="0"/>
              <w:left w:val="nil"/>
              <w:bottom w:val="single" w:color="auto" w:sz="4" w:space="0"/>
              <w:right w:val="single" w:color="auto" w:sz="4" w:space="0"/>
            </w:tcBorders>
            <w:noWrap/>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元</w:t>
            </w:r>
            <w:r>
              <w:rPr>
                <w:rFonts w:ascii="仿宋_GB2312" w:hAnsi="宋体" w:eastAsia="仿宋_GB2312" w:cs="仿宋_GB2312"/>
                <w:kern w:val="0"/>
              </w:rPr>
              <w:t>/</w:t>
            </w:r>
            <w:r>
              <w:rPr>
                <w:rFonts w:hint="eastAsia" w:ascii="仿宋_GB2312" w:hAnsi="宋体" w:eastAsia="仿宋_GB2312" w:cs="仿宋_GB2312"/>
                <w:kern w:val="0"/>
              </w:rPr>
              <w:t>吨</w:t>
            </w:r>
          </w:p>
        </w:tc>
      </w:tr>
    </w:tbl>
    <w:p>
      <w:pPr>
        <w:pStyle w:val="2"/>
        <w:numPr>
          <w:ilvl w:val="0"/>
          <w:numId w:val="1"/>
        </w:numPr>
        <w:spacing w:line="400" w:lineRule="exact"/>
      </w:pPr>
      <w:bookmarkStart w:id="12" w:name="_Toc17430"/>
      <w:r>
        <w:rPr>
          <w:rFonts w:hint="eastAsia" w:cs="黑体"/>
          <w:kern w:val="0"/>
        </w:rPr>
        <w:t>一周市场动态回</w:t>
      </w:r>
      <w:r>
        <w:rPr>
          <w:rFonts w:hint="eastAsia" w:cs="黑体"/>
          <w:kern w:val="0"/>
          <w:lang w:eastAsia="zh-CN"/>
        </w:rPr>
        <w:t>顾</w:t>
      </w:r>
      <w:bookmarkEnd w:id="12"/>
    </w:p>
    <w:p>
      <w:pPr>
        <w:widowControl/>
        <w:jc w:val="left"/>
        <w:outlineLvl w:val="1"/>
        <w:rPr>
          <w:rFonts w:hint="eastAsia" w:ascii="宋体" w:hAnsi="宋体" w:cs="宋体"/>
          <w:b/>
          <w:bCs/>
          <w:kern w:val="0"/>
          <w:sz w:val="30"/>
          <w:szCs w:val="30"/>
          <w:lang w:eastAsia="zh-CN"/>
        </w:rPr>
      </w:pPr>
      <w:bookmarkStart w:id="13" w:name="_Toc7159"/>
      <w:r>
        <w:rPr>
          <w:rFonts w:hint="eastAsia" w:ascii="宋体" w:hAnsi="宋体" w:cs="宋体"/>
          <w:b/>
          <w:bCs/>
          <w:kern w:val="0"/>
          <w:sz w:val="30"/>
          <w:szCs w:val="30"/>
          <w:lang w:eastAsia="zh-CN"/>
        </w:rPr>
        <w:t>振兴铜矿可能不足以让智利保持领先地位</w:t>
      </w:r>
      <w:bookmarkEnd w:id="13"/>
    </w:p>
    <w:p>
      <w:pPr>
        <w:widowControl/>
        <w:wordWrap w:val="0"/>
        <w:spacing w:after="90" w:line="288" w:lineRule="auto"/>
        <w:ind w:firstLine="480"/>
        <w:jc w:val="left"/>
        <w:rPr>
          <w:rFonts w:hint="default" w:ascii="仿宋_GB2312" w:eastAsia="仿宋_GB2312" w:cs="仿宋_GB2312"/>
          <w:sz w:val="28"/>
          <w:szCs w:val="28"/>
          <w:lang w:val="en-US" w:eastAsia="zh-CN"/>
        </w:rPr>
      </w:pPr>
      <w:r>
        <w:rPr>
          <w:rFonts w:hint="default" w:ascii="仿宋_GB2312" w:eastAsia="仿宋_GB2312" w:cs="仿宋_GB2312"/>
          <w:sz w:val="28"/>
          <w:szCs w:val="28"/>
          <w:lang w:val="en-US" w:eastAsia="zh-CN"/>
        </w:rPr>
        <w:t>Codelco和其他铜矿巨头准备投入数十亿美元来振兴智利的铜矿，但这可能不足以阻止智利输给世界其他地方的竞争对手。</w:t>
      </w:r>
    </w:p>
    <w:p>
      <w:pPr>
        <w:widowControl/>
        <w:wordWrap w:val="0"/>
        <w:spacing w:after="90" w:line="288" w:lineRule="auto"/>
        <w:ind w:firstLine="480"/>
        <w:jc w:val="left"/>
        <w:rPr>
          <w:rFonts w:hint="default" w:ascii="仿宋_GB2312" w:eastAsia="仿宋_GB2312" w:cs="仿宋_GB2312"/>
          <w:sz w:val="28"/>
          <w:szCs w:val="28"/>
          <w:lang w:val="en-US" w:eastAsia="zh-CN"/>
        </w:rPr>
      </w:pPr>
      <w:r>
        <w:rPr>
          <w:rFonts w:hint="default" w:ascii="仿宋_GB2312" w:eastAsia="仿宋_GB2312" w:cs="仿宋_GB2312"/>
          <w:sz w:val="28"/>
          <w:szCs w:val="28"/>
          <w:lang w:val="en-US" w:eastAsia="zh-CN"/>
        </w:rPr>
        <w:t>随着电动汽车生产的蓬勃发展，外界普遍预计智利对铜的需求将在本世纪20年代中期开始上升，但该国的铜矿正面临矿石品位严重下降的局面，而且该国的大部分勘探特许权都处于闲置状态。</w:t>
      </w:r>
    </w:p>
    <w:p>
      <w:pPr>
        <w:widowControl/>
        <w:wordWrap w:val="0"/>
        <w:spacing w:after="90" w:line="288" w:lineRule="auto"/>
        <w:ind w:firstLine="480"/>
        <w:jc w:val="left"/>
        <w:rPr>
          <w:rFonts w:hint="default" w:ascii="仿宋_GB2312" w:eastAsia="仿宋_GB2312" w:cs="仿宋_GB2312"/>
          <w:sz w:val="28"/>
          <w:szCs w:val="28"/>
          <w:lang w:val="en-US" w:eastAsia="zh-CN"/>
        </w:rPr>
      </w:pPr>
      <w:r>
        <w:rPr>
          <w:rFonts w:hint="default" w:ascii="仿宋_GB2312" w:eastAsia="仿宋_GB2312" w:cs="仿宋_GB2312"/>
          <w:sz w:val="28"/>
          <w:szCs w:val="28"/>
          <w:lang w:val="en-US" w:eastAsia="zh-CN"/>
        </w:rPr>
        <w:t>“智利是一个非常适合工作的国家。接下来的问题是，如果它拥有所有这些潜力，为什么我们看不到勘探领域的增长?”</w:t>
      </w:r>
    </w:p>
    <w:p>
      <w:pPr>
        <w:widowControl/>
        <w:wordWrap w:val="0"/>
        <w:spacing w:after="90" w:line="288" w:lineRule="auto"/>
        <w:ind w:firstLine="480"/>
        <w:jc w:val="left"/>
        <w:rPr>
          <w:rFonts w:hint="default" w:ascii="仿宋_GB2312" w:eastAsia="仿宋_GB2312" w:cs="仿宋_GB2312"/>
          <w:sz w:val="28"/>
          <w:szCs w:val="28"/>
          <w:lang w:val="en-US" w:eastAsia="zh-CN"/>
        </w:rPr>
      </w:pPr>
      <w:r>
        <w:rPr>
          <w:rFonts w:hint="default" w:ascii="仿宋_GB2312" w:eastAsia="仿宋_GB2312" w:cs="仿宋_GB2312"/>
          <w:sz w:val="28"/>
          <w:szCs w:val="28"/>
          <w:lang w:val="en-US" w:eastAsia="zh-CN"/>
        </w:rPr>
        <w:t>这个问题的答案可能至关重要，因为智利的项目越来越多地与刚果(金)、蒙古甚至邻国秘鲁争夺资金，这些国家的绿地前景看好。</w:t>
      </w:r>
    </w:p>
    <w:p>
      <w:pPr>
        <w:widowControl/>
        <w:wordWrap w:val="0"/>
        <w:spacing w:after="90" w:line="288" w:lineRule="auto"/>
        <w:ind w:firstLine="480"/>
        <w:jc w:val="left"/>
        <w:rPr>
          <w:rFonts w:hint="default" w:ascii="仿宋_GB2312" w:eastAsia="仿宋_GB2312" w:cs="仿宋_GB2312"/>
          <w:sz w:val="28"/>
          <w:szCs w:val="28"/>
          <w:lang w:val="en-US" w:eastAsia="zh-CN"/>
        </w:rPr>
      </w:pPr>
      <w:r>
        <w:rPr>
          <w:rFonts w:hint="default" w:ascii="仿宋_GB2312" w:eastAsia="仿宋_GB2312" w:cs="仿宋_GB2312"/>
          <w:sz w:val="28"/>
          <w:szCs w:val="28"/>
          <w:lang w:val="en-US" w:eastAsia="zh-CN"/>
        </w:rPr>
        <w:t>智利批准并正在进行的许多项目，包括世界最大铜生产商Codelco为期10年、耗资400亿美元的大修计划，重点是重振规模庞大、但有时长达数十年甚至百年的铜矿。</w:t>
      </w:r>
    </w:p>
    <w:p>
      <w:pPr>
        <w:widowControl/>
        <w:wordWrap w:val="0"/>
        <w:spacing w:after="90" w:line="288" w:lineRule="auto"/>
        <w:ind w:firstLine="480"/>
        <w:jc w:val="left"/>
        <w:rPr>
          <w:rFonts w:hint="default" w:ascii="仿宋_GB2312" w:eastAsia="仿宋_GB2312" w:cs="仿宋_GB2312"/>
          <w:sz w:val="28"/>
          <w:szCs w:val="28"/>
          <w:lang w:val="en-US" w:eastAsia="zh-CN"/>
        </w:rPr>
      </w:pPr>
      <w:r>
        <w:rPr>
          <w:rFonts w:hint="default" w:ascii="仿宋_GB2312" w:eastAsia="仿宋_GB2312" w:cs="仿宋_GB2312"/>
          <w:sz w:val="28"/>
          <w:szCs w:val="28"/>
          <w:lang w:val="en-US" w:eastAsia="zh-CN"/>
        </w:rPr>
        <w:t>这个问题已变得如此严重，以至于智利央行上周将矿石品位下降问题列为该地区经济增速低于预期的一个关键原因。智利通常是该地区最健康的经济体之一。</w:t>
      </w:r>
    </w:p>
    <w:p>
      <w:pPr>
        <w:widowControl/>
        <w:wordWrap w:val="0"/>
        <w:spacing w:after="90" w:line="288" w:lineRule="auto"/>
        <w:ind w:firstLine="480"/>
        <w:jc w:val="left"/>
        <w:rPr>
          <w:rFonts w:hint="default" w:ascii="仿宋_GB2312" w:eastAsia="仿宋_GB2312" w:cs="仿宋_GB2312"/>
          <w:sz w:val="28"/>
          <w:szCs w:val="28"/>
          <w:lang w:val="en-US" w:eastAsia="zh-CN"/>
        </w:rPr>
      </w:pPr>
      <w:r>
        <w:rPr>
          <w:rFonts w:hint="default" w:ascii="仿宋_GB2312" w:eastAsia="仿宋_GB2312" w:cs="仿宋_GB2312"/>
          <w:sz w:val="28"/>
          <w:szCs w:val="28"/>
          <w:lang w:val="en-US" w:eastAsia="zh-CN"/>
        </w:rPr>
        <w:t>智利矿业部副部长Pablo Terrazas称，"智利大型企业正在进行的新结构性项目主要是为了维持产量，而不是增加产量。"“由于即将出现供应短缺，我们需要新的项目、新的矿藏和新的发现。”</w:t>
      </w:r>
    </w:p>
    <w:p>
      <w:pPr>
        <w:widowControl/>
        <w:wordWrap w:val="0"/>
        <w:spacing w:after="90" w:line="288" w:lineRule="auto"/>
        <w:ind w:firstLine="480"/>
        <w:jc w:val="left"/>
        <w:rPr>
          <w:rFonts w:hint="default" w:ascii="仿宋_GB2312" w:eastAsia="仿宋_GB2312" w:cs="仿宋_GB2312"/>
          <w:sz w:val="28"/>
          <w:szCs w:val="28"/>
          <w:lang w:val="en-US" w:eastAsia="zh-CN"/>
        </w:rPr>
      </w:pPr>
      <w:r>
        <w:rPr>
          <w:rFonts w:hint="default" w:ascii="仿宋_GB2312" w:eastAsia="仿宋_GB2312" w:cs="仿宋_GB2312"/>
          <w:sz w:val="28"/>
          <w:szCs w:val="28"/>
          <w:lang w:val="en-US" w:eastAsia="zh-CN"/>
        </w:rPr>
        <w:t>在本周圣地亚哥举行的世界铜大会上，特拉萨斯表示，2018年勘探投资增长了19%。</w:t>
      </w:r>
    </w:p>
    <w:p>
      <w:pPr>
        <w:widowControl/>
        <w:wordWrap w:val="0"/>
        <w:spacing w:after="90" w:line="288" w:lineRule="auto"/>
        <w:ind w:firstLine="480"/>
        <w:jc w:val="left"/>
        <w:rPr>
          <w:rFonts w:hint="default" w:ascii="仿宋_GB2312" w:eastAsia="仿宋_GB2312" w:cs="仿宋_GB2312"/>
          <w:sz w:val="28"/>
          <w:szCs w:val="28"/>
          <w:lang w:val="en-US" w:eastAsia="zh-CN"/>
        </w:rPr>
      </w:pPr>
      <w:r>
        <w:rPr>
          <w:rFonts w:hint="default" w:ascii="仿宋_GB2312" w:eastAsia="仿宋_GB2312" w:cs="仿宋_GB2312"/>
          <w:sz w:val="28"/>
          <w:szCs w:val="28"/>
          <w:lang w:val="en-US" w:eastAsia="zh-CN"/>
        </w:rPr>
        <w:t>但这些数字具有欺骗性:在300个勘探特许权中，只有22个是活跃的。其中，全球大型矿商占89%，而初级矿商仅占4.5%，仅占全球平均水平的八分之一。</w:t>
      </w:r>
    </w:p>
    <w:p>
      <w:pPr>
        <w:widowControl/>
        <w:wordWrap w:val="0"/>
        <w:spacing w:after="90" w:line="288" w:lineRule="auto"/>
        <w:ind w:firstLine="480"/>
        <w:jc w:val="left"/>
        <w:rPr>
          <w:rFonts w:hint="default" w:ascii="仿宋_GB2312" w:eastAsia="仿宋_GB2312" w:cs="仿宋_GB2312"/>
          <w:sz w:val="28"/>
          <w:szCs w:val="28"/>
          <w:lang w:val="en-US" w:eastAsia="zh-CN"/>
        </w:rPr>
      </w:pPr>
      <w:r>
        <w:rPr>
          <w:rFonts w:hint="default" w:ascii="仿宋_GB2312" w:eastAsia="仿宋_GB2312" w:cs="仿宋_GB2312"/>
          <w:sz w:val="28"/>
          <w:szCs w:val="28"/>
          <w:lang w:val="en-US" w:eastAsia="zh-CN"/>
        </w:rPr>
        <w:t>这意味着许多让步已经搁置了几十年甚至更长时间。</w:t>
      </w:r>
    </w:p>
    <w:p>
      <w:pPr>
        <w:widowControl/>
        <w:wordWrap w:val="0"/>
        <w:spacing w:after="90" w:line="288" w:lineRule="auto"/>
        <w:ind w:firstLine="480"/>
        <w:jc w:val="left"/>
        <w:rPr>
          <w:rFonts w:hint="default" w:ascii="仿宋_GB2312" w:eastAsia="仿宋_GB2312" w:cs="仿宋_GB2312"/>
          <w:sz w:val="28"/>
          <w:szCs w:val="28"/>
          <w:lang w:val="en-US" w:eastAsia="zh-CN"/>
        </w:rPr>
      </w:pPr>
      <w:r>
        <w:rPr>
          <w:rFonts w:hint="default" w:ascii="仿宋_GB2312" w:eastAsia="仿宋_GB2312" w:cs="仿宋_GB2312"/>
          <w:sz w:val="28"/>
          <w:szCs w:val="28"/>
          <w:lang w:val="en-US" w:eastAsia="zh-CN"/>
        </w:rPr>
        <w:t>智利矿产部本周提出了几项解决方案，从为智利境内的勘探提供更好的融资选择，到与主要矿商和初级矿商举行圆桌会议式的对话，以提高勘探特许权的周转率。</w:t>
      </w:r>
    </w:p>
    <w:p>
      <w:pPr>
        <w:widowControl/>
        <w:wordWrap w:val="0"/>
        <w:spacing w:after="90" w:line="288" w:lineRule="auto"/>
        <w:ind w:firstLine="480"/>
        <w:jc w:val="left"/>
        <w:rPr>
          <w:rFonts w:hint="default" w:ascii="仿宋_GB2312" w:eastAsia="仿宋_GB2312" w:cs="仿宋_GB2312"/>
          <w:sz w:val="28"/>
          <w:szCs w:val="28"/>
          <w:lang w:val="en-US" w:eastAsia="zh-CN"/>
        </w:rPr>
      </w:pPr>
      <w:r>
        <w:rPr>
          <w:rFonts w:hint="default" w:ascii="仿宋_GB2312" w:eastAsia="仿宋_GB2312" w:cs="仿宋_GB2312"/>
          <w:sz w:val="28"/>
          <w:szCs w:val="28"/>
          <w:lang w:val="en-US" w:eastAsia="zh-CN"/>
        </w:rPr>
        <w:t>然而，批评人士表示，这些改革可能还不够，他们呼吁进行法律改革，迫使那些声称拥有不活跃勘探权的公司要么使用这些资源，要么失去这些资源。</w:t>
      </w:r>
    </w:p>
    <w:p>
      <w:pPr>
        <w:widowControl/>
        <w:wordWrap w:val="0"/>
        <w:spacing w:after="90" w:line="288" w:lineRule="auto"/>
        <w:ind w:firstLine="480"/>
        <w:jc w:val="left"/>
        <w:rPr>
          <w:rFonts w:hint="default" w:ascii="仿宋_GB2312" w:eastAsia="仿宋_GB2312" w:cs="仿宋_GB2312"/>
          <w:sz w:val="28"/>
          <w:szCs w:val="28"/>
          <w:lang w:val="en-US" w:eastAsia="zh-CN"/>
        </w:rPr>
      </w:pPr>
      <w:r>
        <w:rPr>
          <w:rFonts w:hint="default" w:ascii="仿宋_GB2312" w:eastAsia="仿宋_GB2312" w:cs="仿宋_GB2312"/>
          <w:sz w:val="28"/>
          <w:szCs w:val="28"/>
          <w:lang w:val="en-US" w:eastAsia="zh-CN"/>
        </w:rPr>
        <w:t>安柏格表示，Terraza的计划并不代表着与现状的根本改变。</w:t>
      </w:r>
    </w:p>
    <w:p>
      <w:pPr>
        <w:widowControl/>
        <w:wordWrap w:val="0"/>
        <w:spacing w:after="90" w:line="288" w:lineRule="auto"/>
        <w:ind w:firstLine="480"/>
        <w:jc w:val="left"/>
        <w:rPr>
          <w:rFonts w:hint="default" w:ascii="仿宋_GB2312" w:eastAsia="仿宋_GB2312" w:cs="仿宋_GB2312"/>
          <w:sz w:val="28"/>
          <w:szCs w:val="28"/>
          <w:lang w:val="en-US" w:eastAsia="zh-CN"/>
        </w:rPr>
      </w:pPr>
      <w:r>
        <w:rPr>
          <w:rFonts w:hint="default" w:ascii="仿宋_GB2312" w:eastAsia="仿宋_GB2312" w:cs="仿宋_GB2312"/>
          <w:sz w:val="28"/>
          <w:szCs w:val="28"/>
          <w:lang w:val="en-US" w:eastAsia="zh-CN"/>
        </w:rPr>
        <w:t>“这将是一件非常困难的事情，政治上非常困难，而且要想实施任何改革，都必须经过多个政府的努力。”他说:“这将是一件非常困难的事情，政治上非常困难，而且必须经过多个国家的政府才能实施任何改革。”</w:t>
      </w:r>
    </w:p>
    <w:p>
      <w:pPr>
        <w:widowControl/>
        <w:wordWrap w:val="0"/>
        <w:spacing w:after="90" w:line="288" w:lineRule="auto"/>
        <w:ind w:firstLine="480"/>
        <w:jc w:val="left"/>
        <w:rPr>
          <w:rFonts w:hint="default" w:ascii="仿宋_GB2312" w:eastAsia="仿宋_GB2312" w:cs="仿宋_GB2312"/>
          <w:sz w:val="28"/>
          <w:szCs w:val="28"/>
          <w:lang w:val="en-US" w:eastAsia="zh-CN"/>
        </w:rPr>
      </w:pPr>
      <w:r>
        <w:rPr>
          <w:rFonts w:hint="default" w:ascii="仿宋_GB2312" w:eastAsia="仿宋_GB2312" w:cs="仿宋_GB2312"/>
          <w:sz w:val="28"/>
          <w:szCs w:val="28"/>
          <w:lang w:val="en-US" w:eastAsia="zh-CN"/>
        </w:rPr>
        <w:t>智利矿业行业资深人士、矿业贸易机构Sonami负责人迭戈·埃尔南德斯(Diego Hernandez)也认为，不太可能对法律进行任何修改。但他表示，现有和计划中的项目，包括Codelco的大修和Teck Resources Ltd .的Quebrada Blanca 2扩建项目，可能会将智利的产量提高至多四分之一。</w:t>
      </w:r>
    </w:p>
    <w:p>
      <w:pPr>
        <w:widowControl/>
        <w:wordWrap w:val="0"/>
        <w:spacing w:after="90" w:line="288" w:lineRule="auto"/>
        <w:ind w:firstLine="480"/>
        <w:jc w:val="left"/>
        <w:rPr>
          <w:rFonts w:hint="default" w:ascii="仿宋_GB2312" w:eastAsia="仿宋_GB2312" w:cs="仿宋_GB2312"/>
          <w:sz w:val="28"/>
          <w:szCs w:val="28"/>
          <w:lang w:val="en-US" w:eastAsia="zh-CN"/>
        </w:rPr>
      </w:pPr>
      <w:r>
        <w:rPr>
          <w:rFonts w:hint="default" w:ascii="仿宋_GB2312" w:eastAsia="仿宋_GB2312" w:cs="仿宋_GB2312"/>
          <w:sz w:val="28"/>
          <w:szCs w:val="28"/>
          <w:lang w:val="en-US" w:eastAsia="zh-CN"/>
        </w:rPr>
        <w:t>不过，CRU铜分析师Jaime Sepulveda说，如果智利较小的勘探前景继续受挫，电动汽车推动的需求激增最终将需要来自新项目的供应，无论是来自智利还是其他地方。</w:t>
      </w:r>
    </w:p>
    <w:p>
      <w:pPr>
        <w:widowControl/>
        <w:wordWrap w:val="0"/>
        <w:spacing w:after="90" w:line="288" w:lineRule="auto"/>
        <w:ind w:firstLine="480"/>
        <w:jc w:val="left"/>
        <w:rPr>
          <w:rFonts w:hint="default" w:ascii="仿宋_GB2312" w:eastAsia="仿宋_GB2312" w:cs="仿宋_GB2312"/>
          <w:sz w:val="28"/>
          <w:szCs w:val="28"/>
          <w:lang w:val="en-US" w:eastAsia="zh-CN"/>
        </w:rPr>
      </w:pPr>
      <w:r>
        <w:rPr>
          <w:rFonts w:hint="default" w:ascii="仿宋_GB2312" w:eastAsia="仿宋_GB2312" w:cs="仿宋_GB2312"/>
          <w:sz w:val="28"/>
          <w:szCs w:val="28"/>
          <w:lang w:val="en-US" w:eastAsia="zh-CN"/>
        </w:rPr>
        <w:t>他表示:“无论如何，我们预计的需求与智利现有项目能够提供的需求之间，将存在差距。”</w:t>
      </w:r>
    </w:p>
    <w:p>
      <w:pPr>
        <w:widowControl/>
        <w:jc w:val="left"/>
        <w:outlineLvl w:val="1"/>
        <w:rPr>
          <w:rFonts w:hint="eastAsia" w:ascii="宋体" w:hAnsi="宋体" w:cs="宋体"/>
          <w:b/>
          <w:bCs/>
          <w:kern w:val="0"/>
          <w:sz w:val="30"/>
          <w:szCs w:val="30"/>
          <w:lang w:eastAsia="zh-CN"/>
        </w:rPr>
      </w:pPr>
      <w:bookmarkStart w:id="14" w:name="_Toc6461"/>
      <w:r>
        <w:rPr>
          <w:rFonts w:hint="eastAsia" w:ascii="宋体" w:hAnsi="宋体" w:cs="宋体"/>
          <w:b/>
          <w:bCs/>
          <w:kern w:val="0"/>
          <w:sz w:val="30"/>
          <w:szCs w:val="30"/>
          <w:lang w:eastAsia="zh-CN"/>
        </w:rPr>
        <w:t>一流江铜的底层代码</w:t>
      </w:r>
      <w:bookmarkEnd w:id="14"/>
    </w:p>
    <w:p>
      <w:pPr>
        <w:pStyle w:val="18"/>
        <w:spacing w:before="0" w:beforeAutospacing="0" w:after="0" w:afterAutospacing="0" w:line="360" w:lineRule="atLeast"/>
        <w:ind w:firstLine="480"/>
        <w:rPr>
          <w:rFonts w:hint="default" w:ascii="仿宋_GB2312" w:hAnsi="Calibri" w:eastAsia="仿宋_GB2312" w:cs="仿宋_GB2312"/>
          <w:kern w:val="2"/>
          <w:sz w:val="28"/>
          <w:szCs w:val="28"/>
        </w:rPr>
      </w:pPr>
      <w:r>
        <w:rPr>
          <w:rFonts w:hint="default" w:ascii="仿宋_GB2312" w:hAnsi="Calibri" w:eastAsia="仿宋_GB2312" w:cs="仿宋_GB2312"/>
          <w:kern w:val="2"/>
          <w:sz w:val="28"/>
          <w:szCs w:val="28"/>
        </w:rPr>
        <w:t>一流的矿业公司，需要一流的资源储备、一流的产品影响力、一流的创新能力、一流的核心指标，当然也离不开一流的体制机制。创建一流机制，是江铜实现“五个一流”的题中之义，也是“三年创新倍增”的目标之一。</w:t>
      </w:r>
    </w:p>
    <w:p>
      <w:pPr>
        <w:pStyle w:val="18"/>
        <w:spacing w:before="0" w:beforeAutospacing="0" w:after="0" w:afterAutospacing="0" w:line="360" w:lineRule="atLeast"/>
        <w:ind w:firstLine="480"/>
        <w:rPr>
          <w:rFonts w:hint="default" w:ascii="仿宋_GB2312" w:hAnsi="Calibri" w:eastAsia="仿宋_GB2312" w:cs="仿宋_GB2312"/>
          <w:kern w:val="2"/>
          <w:sz w:val="28"/>
          <w:szCs w:val="28"/>
        </w:rPr>
      </w:pPr>
      <w:r>
        <w:rPr>
          <w:rFonts w:hint="default" w:ascii="仿宋_GB2312" w:hAnsi="Calibri" w:eastAsia="仿宋_GB2312" w:cs="仿宋_GB2312"/>
          <w:kern w:val="2"/>
          <w:sz w:val="28"/>
          <w:szCs w:val="28"/>
        </w:rPr>
        <w:t>机制，原指机器构造和运行原理。引申到企业，指的是生产经营的决策准则，以及人、财、物的相关制度和习惯行为，如经营机制、激励机制、分配机制、决策机制等等。</w:t>
      </w:r>
    </w:p>
    <w:p>
      <w:pPr>
        <w:pStyle w:val="18"/>
        <w:spacing w:before="0" w:beforeAutospacing="0" w:after="0" w:afterAutospacing="0" w:line="360" w:lineRule="atLeast"/>
        <w:ind w:firstLine="480"/>
        <w:rPr>
          <w:rFonts w:hint="default" w:ascii="仿宋_GB2312" w:hAnsi="Calibri" w:eastAsia="仿宋_GB2312" w:cs="仿宋_GB2312"/>
          <w:kern w:val="2"/>
          <w:sz w:val="28"/>
          <w:szCs w:val="28"/>
        </w:rPr>
      </w:pPr>
      <w:r>
        <w:rPr>
          <w:rFonts w:hint="default" w:ascii="仿宋_GB2312" w:hAnsi="Calibri" w:eastAsia="仿宋_GB2312" w:cs="仿宋_GB2312"/>
          <w:kern w:val="2"/>
          <w:sz w:val="28"/>
          <w:szCs w:val="28"/>
        </w:rPr>
        <w:t>一流机制，造就一流企业;一流企业，需要一流机制。改革开放40年来，转“机”建“制”，转换机制，始终是我国国有企业改革的基本方向。江铜要在全球矿业的赛道上弯道超车，跻身世界矿业前五强，成为一流企业，必须要建立一流机制的底层代码，必须一以贯之地坚持党的领导，一以贯之地建立现代企业制度,这是国有企业体制机制改革的主要方向和基本遵循。</w:t>
      </w:r>
    </w:p>
    <w:p>
      <w:pPr>
        <w:pStyle w:val="18"/>
        <w:spacing w:before="0" w:beforeAutospacing="0" w:after="0" w:afterAutospacing="0" w:line="360" w:lineRule="atLeast"/>
        <w:ind w:firstLine="480"/>
        <w:rPr>
          <w:rFonts w:hint="default" w:ascii="仿宋_GB2312" w:hAnsi="Calibri" w:eastAsia="仿宋_GB2312" w:cs="仿宋_GB2312"/>
          <w:kern w:val="2"/>
          <w:sz w:val="28"/>
          <w:szCs w:val="28"/>
        </w:rPr>
      </w:pPr>
      <w:r>
        <w:rPr>
          <w:rFonts w:hint="default" w:ascii="仿宋_GB2312" w:hAnsi="Calibri" w:eastAsia="仿宋_GB2312" w:cs="仿宋_GB2312"/>
          <w:kern w:val="2"/>
          <w:sz w:val="28"/>
          <w:szCs w:val="28"/>
        </w:rPr>
        <w:t>那么，江铜要创建的一流机制，应当是一种什么样的机制?</w:t>
      </w:r>
    </w:p>
    <w:p>
      <w:pPr>
        <w:pStyle w:val="18"/>
        <w:spacing w:before="0" w:beforeAutospacing="0" w:after="0" w:afterAutospacing="0" w:line="360" w:lineRule="atLeast"/>
        <w:ind w:firstLine="480"/>
        <w:rPr>
          <w:rFonts w:hint="default" w:ascii="仿宋_GB2312" w:hAnsi="Calibri" w:eastAsia="仿宋_GB2312" w:cs="仿宋_GB2312"/>
          <w:kern w:val="2"/>
          <w:sz w:val="28"/>
          <w:szCs w:val="28"/>
        </w:rPr>
      </w:pPr>
      <w:r>
        <w:rPr>
          <w:rFonts w:hint="default" w:ascii="仿宋_GB2312" w:hAnsi="Calibri" w:eastAsia="仿宋_GB2312" w:cs="仿宋_GB2312"/>
          <w:kern w:val="2"/>
          <w:sz w:val="28"/>
          <w:szCs w:val="28"/>
        </w:rPr>
        <w:t>多年来，江铜把党的领导融入到公司治理的各个环节，把企业党组织内嵌到公司治理结构之中，始终做到党的建设与企业改革同步谋划，党的组织与企业架构同步设置，党的工作与企业管理同步推行。现在，江铜凡涉及生产经营重大决策、重要人事任免、重大项目安排和大额资金运作等方面的重大事项，都由党委会前置研究讨论后决策。党建，一直是江铜的品牌。尤其是江铜创新性的党建质量一体化管理体系，建立了基层党政目标同向、工作同力的良好机制。</w:t>
      </w:r>
    </w:p>
    <w:p>
      <w:pPr>
        <w:pStyle w:val="18"/>
        <w:spacing w:before="0" w:beforeAutospacing="0" w:after="0" w:afterAutospacing="0" w:line="360" w:lineRule="atLeast"/>
        <w:ind w:firstLine="480"/>
        <w:rPr>
          <w:rFonts w:hint="default" w:ascii="仿宋_GB2312" w:hAnsi="Calibri" w:eastAsia="仿宋_GB2312" w:cs="仿宋_GB2312"/>
          <w:kern w:val="2"/>
          <w:sz w:val="28"/>
          <w:szCs w:val="28"/>
        </w:rPr>
      </w:pPr>
      <w:r>
        <w:rPr>
          <w:rFonts w:hint="default" w:ascii="仿宋_GB2312" w:hAnsi="Calibri" w:eastAsia="仿宋_GB2312" w:cs="仿宋_GB2312"/>
          <w:kern w:val="2"/>
          <w:sz w:val="28"/>
          <w:szCs w:val="28"/>
        </w:rPr>
        <w:t>此外，JT185一期工程的完成，奠定了江铜跨地区跨产业全息全域全效管理的基础;江铜由全民所有制企业改制为公司制企业，为股权改革和三项制度改革创造了条件;江铜承担的“三供一业”社区管理职能、以及办医办教等社会职能，即将全面完成社会化移交，减轻了企业负担;江铜集团管控模式和总部职能的优化和完善，使得江铜的管控边界更清晰、管理效率更高效。</w:t>
      </w:r>
    </w:p>
    <w:p>
      <w:pPr>
        <w:pStyle w:val="18"/>
        <w:spacing w:before="0" w:beforeAutospacing="0" w:after="0" w:afterAutospacing="0" w:line="360" w:lineRule="atLeast"/>
        <w:ind w:firstLine="480"/>
        <w:rPr>
          <w:rFonts w:hint="default" w:ascii="仿宋_GB2312" w:hAnsi="Calibri" w:eastAsia="仿宋_GB2312" w:cs="仿宋_GB2312"/>
          <w:kern w:val="2"/>
          <w:sz w:val="28"/>
          <w:szCs w:val="28"/>
        </w:rPr>
      </w:pPr>
      <w:r>
        <w:rPr>
          <w:rFonts w:hint="default" w:ascii="仿宋_GB2312" w:hAnsi="Calibri" w:eastAsia="仿宋_GB2312" w:cs="仿宋_GB2312"/>
          <w:kern w:val="2"/>
          <w:sz w:val="28"/>
          <w:szCs w:val="28"/>
        </w:rPr>
        <w:t>然而，由于江铜以往没有真正构建起矩阵式、扁平化、项目化、市场化的管理结构，使得财务、法务、客户、资金、市场、风险管理等方面缺乏协同，各自为战，内耗较多，风险加剧。因此，公司转“机”建“制”，推进现代企业制度的关键，首先是继续完善公司法人治理结构，其次是继续深化三项制度改革。</w:t>
      </w:r>
    </w:p>
    <w:p>
      <w:pPr>
        <w:pStyle w:val="18"/>
        <w:spacing w:before="0" w:beforeAutospacing="0" w:after="0" w:afterAutospacing="0" w:line="360" w:lineRule="atLeast"/>
        <w:ind w:firstLine="480"/>
        <w:rPr>
          <w:rFonts w:hint="default" w:ascii="仿宋_GB2312" w:hAnsi="Calibri" w:eastAsia="仿宋_GB2312" w:cs="仿宋_GB2312"/>
          <w:kern w:val="2"/>
          <w:sz w:val="28"/>
          <w:szCs w:val="28"/>
        </w:rPr>
      </w:pPr>
      <w:r>
        <w:rPr>
          <w:rFonts w:hint="default" w:ascii="仿宋_GB2312" w:hAnsi="Calibri" w:eastAsia="仿宋_GB2312" w:cs="仿宋_GB2312"/>
          <w:kern w:val="2"/>
          <w:sz w:val="28"/>
          <w:szCs w:val="28"/>
        </w:rPr>
        <w:t>完善的法人治理结构是一流机制的定盘星。在江铜，有一个推卸责任的百搭式借口：我们是国企!其实，随着国资监管方式的改革，国有体制不再是机制落后的借口，中国五矿、紫金矿业、洛阳钼业等等众多国有控股矿业公司，早已建立了高度市场化的管理机制。随着江西省国资监管从管资产向管资本的转变，江铜也已经有了足够大的自主权，来构建更为先进、适宜、有效的，以战略为导向，以市场为指针的现代企业管理机制。</w:t>
      </w:r>
    </w:p>
    <w:p>
      <w:pPr>
        <w:pStyle w:val="18"/>
        <w:spacing w:before="0" w:beforeAutospacing="0" w:after="0" w:afterAutospacing="0" w:line="360" w:lineRule="atLeast"/>
        <w:ind w:firstLine="480"/>
        <w:rPr>
          <w:rFonts w:hint="default" w:ascii="仿宋_GB2312" w:hAnsi="Calibri" w:eastAsia="仿宋_GB2312" w:cs="仿宋_GB2312"/>
          <w:kern w:val="2"/>
          <w:sz w:val="28"/>
          <w:szCs w:val="28"/>
        </w:rPr>
      </w:pPr>
      <w:r>
        <w:rPr>
          <w:rFonts w:hint="default" w:ascii="仿宋_GB2312" w:hAnsi="Calibri" w:eastAsia="仿宋_GB2312" w:cs="仿宋_GB2312"/>
          <w:kern w:val="2"/>
          <w:sz w:val="28"/>
          <w:szCs w:val="28"/>
        </w:rPr>
        <w:t>三项制度改革是一流机制的牵引器。干部人事制度改革、劳动用工制度改革、收入分配制度改革的核心，就是建立干部能上能下、员工能进能出、收入能增能减的“三能”机制。近年来，紫金矿业、洛阳钼业能够异军突起，是战略上的成功，也是三项制度改革的成功。洛阳钼业精简总部机关，一次性削减员工三分之一，伴随而来的是效率的显著提升和机制的灵活转变。三项制度改革确有纲举目张的强大牵引力。将三项制度改革与干部管理相结合，大力治理“怕慢假庸散”作风，大胆启用年轻干部，加大问责力度，一定能够大幅提升江铜的战略执行力;将三项制度改革与人才强企工程相结合，通过打造高素质专业化的一流人才队伍，不断优化组织绩效和员工绩效管理，充分发挥绩效考核的指挥棒作用，一定能够有效提升江铜的创造力和竞争力。</w:t>
      </w:r>
    </w:p>
    <w:p>
      <w:pPr>
        <w:pStyle w:val="18"/>
        <w:spacing w:before="0" w:beforeAutospacing="0" w:after="0" w:afterAutospacing="0" w:line="360" w:lineRule="atLeast"/>
        <w:ind w:firstLine="480"/>
        <w:rPr>
          <w:rFonts w:hint="default" w:ascii="仿宋_GB2312" w:hAnsi="Calibri" w:eastAsia="仿宋_GB2312" w:cs="仿宋_GB2312"/>
          <w:kern w:val="2"/>
          <w:sz w:val="28"/>
          <w:szCs w:val="28"/>
        </w:rPr>
      </w:pPr>
      <w:r>
        <w:rPr>
          <w:rFonts w:hint="default" w:ascii="仿宋_GB2312" w:hAnsi="Calibri" w:eastAsia="仿宋_GB2312" w:cs="仿宋_GB2312"/>
          <w:kern w:val="2"/>
          <w:sz w:val="28"/>
          <w:szCs w:val="28"/>
        </w:rPr>
        <w:t>静水深流，花开无声。一流机制攻坚的前哨战悄然打响，也正在改变江铜。</w:t>
      </w:r>
    </w:p>
    <w:p>
      <w:pPr>
        <w:widowControl/>
        <w:jc w:val="left"/>
        <w:outlineLvl w:val="1"/>
        <w:rPr>
          <w:rFonts w:hint="eastAsia" w:ascii="宋体" w:hAnsi="宋体" w:cs="宋体"/>
          <w:b/>
          <w:bCs/>
          <w:kern w:val="0"/>
          <w:sz w:val="30"/>
          <w:szCs w:val="30"/>
        </w:rPr>
      </w:pPr>
      <w:bookmarkStart w:id="15" w:name="_Toc25052"/>
      <w:r>
        <w:rPr>
          <w:rFonts w:hint="eastAsia" w:ascii="宋体" w:hAnsi="宋体" w:cs="宋体"/>
          <w:b/>
          <w:bCs/>
          <w:kern w:val="0"/>
          <w:sz w:val="30"/>
          <w:szCs w:val="30"/>
        </w:rPr>
        <w:t>NASA开发新的航天级3D打印铜合金粉末</w:t>
      </w:r>
      <w:bookmarkEnd w:id="15"/>
    </w:p>
    <w:p>
      <w:pPr>
        <w:widowControl/>
        <w:wordWrap w:val="0"/>
        <w:spacing w:after="90" w:line="288" w:lineRule="auto"/>
        <w:ind w:firstLine="480"/>
        <w:jc w:val="left"/>
        <w:rPr>
          <w:rFonts w:hint="eastAsia" w:ascii="仿宋_GB2312" w:eastAsia="仿宋_GB2312" w:cs="仿宋_GB2312"/>
          <w:sz w:val="28"/>
          <w:szCs w:val="28"/>
        </w:rPr>
      </w:pPr>
      <w:r>
        <w:rPr>
          <w:rFonts w:hint="eastAsia" w:ascii="仿宋_GB2312" w:eastAsia="仿宋_GB2312" w:cs="仿宋_GB2312"/>
          <w:sz w:val="28"/>
          <w:szCs w:val="28"/>
        </w:rPr>
        <w:t>NASA(美国国家航空航天局)的研究人员开发了一种新的3D打印铜合金材料，并通过该材料和选区激光熔化3D打印设备制造了一种火箭推进部件。</w:t>
      </w:r>
    </w:p>
    <w:p>
      <w:pPr>
        <w:widowControl/>
        <w:wordWrap w:val="0"/>
        <w:spacing w:after="90" w:line="288" w:lineRule="auto"/>
        <w:ind w:firstLine="480"/>
        <w:jc w:val="left"/>
        <w:rPr>
          <w:rFonts w:hint="eastAsia" w:ascii="仿宋_GB2312" w:eastAsia="仿宋_GB2312" w:cs="仿宋_GB2312"/>
          <w:sz w:val="28"/>
          <w:szCs w:val="28"/>
        </w:rPr>
      </w:pPr>
      <w:r>
        <w:rPr>
          <w:rFonts w:hint="default" w:ascii="仿宋_GB2312" w:eastAsia="仿宋_GB2312" w:cs="仿宋_GB2312"/>
          <w:sz w:val="28"/>
          <w:szCs w:val="28"/>
        </w:rPr>
        <w:t>这一新材料是GRCop-42，它是一种高强度，高导电率的铜基合金，由NASA 马歇尔太空飞行中心(MSFC)和俄亥俄州的美国宇航局格伦研究中心(GRC)的团队创建。</w:t>
      </w:r>
    </w:p>
    <w:p>
      <w:pPr>
        <w:widowControl/>
        <w:wordWrap w:val="0"/>
        <w:spacing w:after="90" w:line="288" w:lineRule="auto"/>
        <w:ind w:firstLine="480"/>
        <w:jc w:val="left"/>
        <w:rPr>
          <w:rFonts w:hint="eastAsia" w:ascii="仿宋_GB2312" w:eastAsia="仿宋_GB2312" w:cs="仿宋_GB2312"/>
          <w:sz w:val="28"/>
          <w:szCs w:val="28"/>
        </w:rPr>
      </w:pPr>
      <w:r>
        <w:rPr>
          <w:rFonts w:hint="default" w:ascii="仿宋_GB2312" w:eastAsia="仿宋_GB2312" w:cs="仿宋_GB2312"/>
          <w:sz w:val="28"/>
          <w:szCs w:val="28"/>
        </w:rPr>
        <w:t>高导热性-蠕变性和高温强度</w:t>
      </w:r>
    </w:p>
    <w:p>
      <w:pPr>
        <w:widowControl/>
        <w:wordWrap w:val="0"/>
        <w:spacing w:after="90" w:line="288" w:lineRule="auto"/>
        <w:ind w:firstLine="480"/>
        <w:jc w:val="left"/>
        <w:rPr>
          <w:rFonts w:hint="eastAsia" w:ascii="仿宋_GB2312" w:eastAsia="仿宋_GB2312" w:cs="仿宋_GB2312"/>
          <w:sz w:val="28"/>
          <w:szCs w:val="28"/>
        </w:rPr>
      </w:pPr>
      <w:r>
        <w:rPr>
          <w:rFonts w:hint="default" w:ascii="仿宋_GB2312" w:eastAsia="仿宋_GB2312" w:cs="仿宋_GB2312"/>
          <w:sz w:val="28"/>
          <w:szCs w:val="28"/>
        </w:rPr>
        <w:t>GRCop-42 铜合金粉末可用于生产近乎完全密集的3D打印部件，如火箭燃烧室内衬和燃料喷射器面板。</w:t>
      </w:r>
    </w:p>
    <w:p>
      <w:pPr>
        <w:widowControl/>
        <w:wordWrap w:val="0"/>
        <w:spacing w:after="90" w:line="288" w:lineRule="auto"/>
        <w:ind w:firstLine="480"/>
        <w:jc w:val="left"/>
        <w:rPr>
          <w:rFonts w:hint="eastAsia" w:ascii="仿宋_GB2312" w:eastAsia="仿宋_GB2312" w:cs="仿宋_GB2312"/>
          <w:sz w:val="28"/>
          <w:szCs w:val="28"/>
        </w:rPr>
      </w:pPr>
      <w:r>
        <w:rPr>
          <w:rFonts w:hint="default" w:ascii="仿宋_GB2312" w:eastAsia="仿宋_GB2312" w:cs="仿宋_GB2312"/>
          <w:sz w:val="28"/>
          <w:szCs w:val="28"/>
        </w:rPr>
        <w:t>GRCop-42 3D打印铜合金粉末还有一个“前身“-GRCop-84。根据3D科学谷的市场观察，NASA 从2014年开始开发这种用于制造火箭燃烧室的GRCop-84 3D打印铜合金粉末。</w:t>
      </w:r>
    </w:p>
    <w:p>
      <w:pPr>
        <w:widowControl/>
        <w:wordWrap w:val="0"/>
        <w:spacing w:after="90" w:line="288" w:lineRule="auto"/>
        <w:ind w:firstLine="480"/>
        <w:jc w:val="left"/>
        <w:rPr>
          <w:rFonts w:hint="eastAsia" w:ascii="仿宋_GB2312" w:eastAsia="仿宋_GB2312" w:cs="仿宋_GB2312"/>
          <w:sz w:val="28"/>
          <w:szCs w:val="28"/>
        </w:rPr>
      </w:pPr>
      <w:r>
        <w:rPr>
          <w:rFonts w:hint="default" w:ascii="仿宋_GB2312" w:eastAsia="仿宋_GB2312" w:cs="仿宋_GB2312"/>
          <w:sz w:val="28"/>
          <w:szCs w:val="28"/>
        </w:rPr>
        <w:t>继2016年和2017年，NASA 在马歇尔太空飞行中心对3D打印的GRCop-84组件进行热火试验后，该团队开始开发GRCop-42。NASA 希望通过该材料具有与GRCop-84相似强度，但具有更高导热率。NASA 研究人员表示，通过该材料制造的增材制造发动机燃烧室组件将“超过传统方式制造的上一代产品”。</w:t>
      </w:r>
    </w:p>
    <w:p>
      <w:pPr>
        <w:widowControl/>
        <w:wordWrap w:val="0"/>
        <w:spacing w:after="90" w:line="288" w:lineRule="auto"/>
        <w:ind w:firstLine="480"/>
        <w:jc w:val="left"/>
        <w:rPr>
          <w:rFonts w:hint="eastAsia" w:ascii="仿宋_GB2312" w:eastAsia="仿宋_GB2312" w:cs="仿宋_GB2312"/>
          <w:sz w:val="28"/>
          <w:szCs w:val="28"/>
        </w:rPr>
      </w:pPr>
      <w:r>
        <w:rPr>
          <w:rFonts w:hint="default" w:ascii="仿宋_GB2312" w:eastAsia="仿宋_GB2312" w:cs="仿宋_GB2312"/>
          <w:sz w:val="28"/>
          <w:szCs w:val="28"/>
        </w:rPr>
        <w:t>整个2018年，NASA团队对GRCop-42 金属粉末进行了测试，通过选区激光熔化3D打印技术证明了其可加工性。这类增材制造设备此前被用于制造GRCop-84 铜合金粉末材料。</w:t>
      </w:r>
    </w:p>
    <w:p>
      <w:pPr>
        <w:widowControl/>
        <w:wordWrap w:val="0"/>
        <w:spacing w:after="90" w:line="288" w:lineRule="auto"/>
        <w:ind w:firstLine="480"/>
        <w:jc w:val="left"/>
        <w:rPr>
          <w:rFonts w:hint="eastAsia" w:ascii="仿宋_GB2312" w:eastAsia="仿宋_GB2312" w:cs="仿宋_GB2312"/>
          <w:sz w:val="28"/>
          <w:szCs w:val="28"/>
        </w:rPr>
      </w:pPr>
      <w:r>
        <w:rPr>
          <w:rFonts w:hint="default" w:ascii="仿宋_GB2312" w:eastAsia="仿宋_GB2312" w:cs="仿宋_GB2312"/>
          <w:sz w:val="28"/>
          <w:szCs w:val="28"/>
        </w:rPr>
        <w:t>NASA研究团队在测试过程中使用Concept Laser M2 金属增材制造系统制造了25个小组件，打印层厚为之前制造GRCop-84材料时的50%(0.045mm)。</w:t>
      </w:r>
    </w:p>
    <w:p>
      <w:pPr>
        <w:widowControl/>
        <w:wordWrap w:val="0"/>
        <w:spacing w:after="90" w:line="288" w:lineRule="auto"/>
        <w:ind w:firstLine="480"/>
        <w:jc w:val="left"/>
        <w:rPr>
          <w:rFonts w:hint="eastAsia" w:ascii="仿宋_GB2312" w:eastAsia="仿宋_GB2312" w:cs="仿宋_GB2312"/>
          <w:sz w:val="28"/>
          <w:szCs w:val="28"/>
        </w:rPr>
      </w:pPr>
      <w:r>
        <w:rPr>
          <w:rFonts w:hint="default" w:ascii="仿宋_GB2312" w:eastAsia="仿宋_GB2312" w:cs="仿宋_GB2312"/>
          <w:sz w:val="28"/>
          <w:szCs w:val="28"/>
        </w:rPr>
        <w:t>研究人员观察到，用GRCop-42 材料3D打印的组件冷却得更快。NASA研究人员通过热等静压机(HIP)进行后处理，从而降低金属孔隙率，然后将组件送至格伦研究中心进行其他后处理和室温拉伸测试。</w:t>
      </w:r>
    </w:p>
    <w:p>
      <w:pPr>
        <w:widowControl/>
        <w:wordWrap w:val="0"/>
        <w:spacing w:after="90" w:line="288" w:lineRule="auto"/>
        <w:ind w:firstLine="480"/>
        <w:jc w:val="left"/>
        <w:rPr>
          <w:rFonts w:hint="eastAsia" w:ascii="仿宋_GB2312" w:eastAsia="仿宋_GB2312" w:cs="仿宋_GB2312"/>
          <w:sz w:val="28"/>
          <w:szCs w:val="28"/>
        </w:rPr>
      </w:pPr>
      <w:r>
        <w:rPr>
          <w:rFonts w:hint="default" w:ascii="仿宋_GB2312" w:eastAsia="仿宋_GB2312" w:cs="仿宋_GB2312"/>
          <w:sz w:val="28"/>
          <w:szCs w:val="28"/>
        </w:rPr>
        <w:t>NASA 测试结果发现，由GRCop-42制成的3D打印金属部件表现出高导热性，优异的蠕变(变形)性和高温强度。</w:t>
      </w:r>
    </w:p>
    <w:p>
      <w:pPr>
        <w:widowControl/>
        <w:wordWrap w:val="0"/>
        <w:spacing w:after="90" w:line="288" w:lineRule="auto"/>
        <w:ind w:firstLine="480"/>
        <w:jc w:val="left"/>
        <w:rPr>
          <w:rFonts w:hint="eastAsia" w:ascii="仿宋_GB2312" w:eastAsia="仿宋_GB2312" w:cs="仿宋_GB2312"/>
          <w:sz w:val="28"/>
          <w:szCs w:val="28"/>
        </w:rPr>
      </w:pPr>
      <w:r>
        <w:rPr>
          <w:rFonts w:hint="default" w:ascii="仿宋_GB2312" w:eastAsia="仿宋_GB2312" w:cs="仿宋_GB2312"/>
          <w:sz w:val="28"/>
          <w:szCs w:val="28"/>
        </w:rPr>
        <w:t>NASA团队预计将通过构建更大的3D打印组件，来测试GRCop-42 铜合金粉末的参数集。</w:t>
      </w:r>
    </w:p>
    <w:p>
      <w:pPr>
        <w:widowControl/>
        <w:wordWrap w:val="0"/>
        <w:spacing w:after="90" w:line="288" w:lineRule="auto"/>
        <w:ind w:firstLine="480"/>
        <w:jc w:val="left"/>
        <w:rPr>
          <w:rFonts w:hint="eastAsia" w:ascii="仿宋_GB2312" w:eastAsia="仿宋_GB2312" w:cs="仿宋_GB2312"/>
          <w:sz w:val="28"/>
          <w:szCs w:val="28"/>
        </w:rPr>
      </w:pPr>
      <w:r>
        <w:rPr>
          <w:rFonts w:hint="default" w:ascii="仿宋_GB2312" w:eastAsia="仿宋_GB2312" w:cs="仿宋_GB2312"/>
          <w:sz w:val="28"/>
          <w:szCs w:val="28"/>
        </w:rPr>
        <w:t>3D科学谷-Review</w:t>
      </w:r>
    </w:p>
    <w:p>
      <w:pPr>
        <w:widowControl/>
        <w:wordWrap w:val="0"/>
        <w:spacing w:after="90" w:line="288" w:lineRule="auto"/>
        <w:ind w:firstLine="480"/>
        <w:jc w:val="left"/>
        <w:rPr>
          <w:rFonts w:hint="eastAsia" w:ascii="仿宋_GB2312" w:eastAsia="仿宋_GB2312" w:cs="仿宋_GB2312"/>
          <w:sz w:val="28"/>
          <w:szCs w:val="28"/>
        </w:rPr>
      </w:pPr>
      <w:r>
        <w:rPr>
          <w:rFonts w:hint="default" w:ascii="仿宋_GB2312" w:eastAsia="仿宋_GB2312" w:cs="仿宋_GB2312"/>
          <w:sz w:val="28"/>
          <w:szCs w:val="28"/>
        </w:rPr>
        <w:t>铜是一种导热性和反射性极佳的材料，这一属性也使选区激光熔化技术在进行铜合金零件增材制造时充满挑战。铜金属在激光熔化的过程吸收率低，激光难以持续熔化铜金属粉末，从而导致成形效率低，冶金质量难以控制。</w:t>
      </w:r>
    </w:p>
    <w:p>
      <w:pPr>
        <w:widowControl/>
        <w:wordWrap w:val="0"/>
        <w:spacing w:after="90" w:line="288" w:lineRule="auto"/>
        <w:ind w:firstLine="480"/>
        <w:jc w:val="left"/>
        <w:rPr>
          <w:rFonts w:hint="eastAsia" w:ascii="仿宋_GB2312" w:eastAsia="仿宋_GB2312" w:cs="仿宋_GB2312"/>
          <w:sz w:val="28"/>
          <w:szCs w:val="28"/>
        </w:rPr>
      </w:pPr>
      <w:r>
        <w:rPr>
          <w:rFonts w:hint="default" w:ascii="仿宋_GB2312" w:eastAsia="仿宋_GB2312" w:cs="仿宋_GB2312"/>
          <w:sz w:val="28"/>
          <w:szCs w:val="28"/>
        </w:rPr>
        <w:t>根据3D科学谷的市场观察，多家火箭制造企业在开发铜合金3D打印工艺，并通过这一技术制造功能集成的火箭发动机部件。</w:t>
      </w:r>
    </w:p>
    <w:p>
      <w:pPr>
        <w:widowControl/>
        <w:wordWrap w:val="0"/>
        <w:spacing w:after="90" w:line="288" w:lineRule="auto"/>
        <w:ind w:firstLine="480"/>
        <w:jc w:val="left"/>
        <w:rPr>
          <w:rFonts w:hint="eastAsia" w:ascii="仿宋_GB2312" w:eastAsia="仿宋_GB2312" w:cs="仿宋_GB2312"/>
          <w:sz w:val="28"/>
          <w:szCs w:val="28"/>
        </w:rPr>
      </w:pPr>
      <w:r>
        <w:rPr>
          <w:rFonts w:hint="default" w:ascii="仿宋_GB2312" w:eastAsia="仿宋_GB2312" w:cs="仿宋_GB2312"/>
          <w:sz w:val="28"/>
          <w:szCs w:val="28"/>
        </w:rPr>
        <w:t>Aerojet Rocketdyne在火箭铜合金推力室3D打印领域取得的突破，为制造新一代RL10发动机带来了可能性。3D打印铜合金推力室部件将替代以前的RL10C-1推力室部件。被替代的推力室部件是由传统工艺制造的，由多个不锈钢零件焊接而成，而3D打印的铜合金推力室部件则由两个铜合金零件构成。</w:t>
      </w:r>
    </w:p>
    <w:p>
      <w:pPr>
        <w:widowControl/>
        <w:wordWrap w:val="0"/>
        <w:spacing w:after="90" w:line="288" w:lineRule="auto"/>
        <w:ind w:firstLine="480"/>
        <w:jc w:val="left"/>
        <w:rPr>
          <w:rFonts w:hint="eastAsia" w:ascii="仿宋_GB2312" w:eastAsia="仿宋_GB2312" w:cs="仿宋_GB2312"/>
          <w:sz w:val="28"/>
          <w:szCs w:val="28"/>
        </w:rPr>
      </w:pPr>
      <w:r>
        <w:rPr>
          <w:rFonts w:hint="default" w:ascii="仿宋_GB2312" w:eastAsia="仿宋_GB2312" w:cs="仿宋_GB2312"/>
          <w:sz w:val="28"/>
          <w:szCs w:val="28"/>
        </w:rPr>
        <w:t>相比传统的制造工艺，选区激光熔化3D打印技术为推力室的设计带来了更高的自由度，使设计师可以尝试具有更高热传导能力的先进结构。而增强的热传导能力使得火箭发动机的设计更加紧凑和轻量化，这正是火箭发射技术所需要的。</w:t>
      </w:r>
    </w:p>
    <w:p>
      <w:pPr>
        <w:widowControl/>
        <w:wordWrap w:val="0"/>
        <w:spacing w:after="90" w:line="288" w:lineRule="auto"/>
        <w:ind w:firstLine="480"/>
        <w:jc w:val="left"/>
        <w:rPr>
          <w:rFonts w:hint="eastAsia" w:ascii="仿宋_GB2312" w:eastAsia="仿宋_GB2312" w:cs="仿宋_GB2312"/>
          <w:sz w:val="28"/>
          <w:szCs w:val="28"/>
        </w:rPr>
      </w:pPr>
      <w:r>
        <w:rPr>
          <w:rFonts w:hint="default" w:ascii="仿宋_GB2312" w:eastAsia="仿宋_GB2312" w:cs="仿宋_GB2312"/>
          <w:sz w:val="28"/>
          <w:szCs w:val="28"/>
        </w:rPr>
        <w:t>从事小型火箭制造与发射的航天初创企业Launcher 也测试了铜合金火箭发动机部件。Launcher去年以来一直致力于开发概念验证发动机E-1 ，这是一种3D打印铜合金(Cucrzr)发动机部件，集成了复杂冷却通道，这一设计将使发动机冷却效率得到提升。</w:t>
      </w:r>
    </w:p>
    <w:p>
      <w:pPr>
        <w:widowControl/>
        <w:wordWrap w:val="0"/>
        <w:spacing w:after="90" w:line="288" w:lineRule="auto"/>
        <w:ind w:firstLine="480"/>
        <w:jc w:val="left"/>
        <w:rPr>
          <w:rFonts w:hint="eastAsia" w:ascii="仿宋_GB2312" w:eastAsia="仿宋_GB2312" w:cs="仿宋_GB2312"/>
          <w:sz w:val="28"/>
          <w:szCs w:val="28"/>
        </w:rPr>
      </w:pPr>
      <w:r>
        <w:rPr>
          <w:rFonts w:hint="default" w:ascii="仿宋_GB2312" w:eastAsia="仿宋_GB2312" w:cs="仿宋_GB2312"/>
          <w:sz w:val="28"/>
          <w:szCs w:val="28"/>
        </w:rPr>
        <w:t>NASA在2015年取得了铜合金部件3D打印方面获得进展，制造技术也是选区激光熔化3D打印，打印材料为GRCo-84铜合金。NASA用这项技术制造的3D打印零件为火箭燃烧室衬里，该部件总共被分为8,255层，进行逐层打印，打印时间为10天零18个小时。</w:t>
      </w:r>
    </w:p>
    <w:p>
      <w:pPr>
        <w:widowControl/>
        <w:wordWrap w:val="0"/>
        <w:spacing w:after="90" w:line="288" w:lineRule="auto"/>
        <w:ind w:firstLine="480"/>
        <w:jc w:val="left"/>
        <w:rPr>
          <w:rFonts w:hint="eastAsia" w:ascii="仿宋_GB2312" w:eastAsia="仿宋_GB2312" w:cs="仿宋_GB2312"/>
          <w:sz w:val="28"/>
          <w:szCs w:val="28"/>
        </w:rPr>
      </w:pPr>
      <w:r>
        <w:rPr>
          <w:rFonts w:hint="default" w:ascii="仿宋_GB2312" w:eastAsia="仿宋_GB2312" w:cs="仿宋_GB2312"/>
          <w:sz w:val="28"/>
          <w:szCs w:val="28"/>
        </w:rPr>
        <w:t>这个铜合金燃烧室零部件内外壁之间具有200多个复杂的通道，制造这些微小的、具有复杂几何形状的内部通道，即使对增材制造技术来说也是一大挑战。部件打印完成后，NASA的研究人员使用电子束自由制造设备为其涂覆一层含镍的超合金。NASA的最终目标是要是要使火箭发动机零部件的制造速度大幅提升，同时至少降低50%的制造成本。</w:t>
      </w:r>
    </w:p>
    <w:p>
      <w:pPr>
        <w:widowControl/>
        <w:wordWrap w:val="0"/>
        <w:spacing w:after="90" w:line="288" w:lineRule="auto"/>
        <w:ind w:firstLine="480"/>
        <w:jc w:val="left"/>
        <w:rPr>
          <w:rFonts w:hint="eastAsia" w:ascii="仿宋_GB2312" w:eastAsia="仿宋_GB2312" w:cs="仿宋_GB2312"/>
          <w:sz w:val="28"/>
          <w:szCs w:val="28"/>
        </w:rPr>
      </w:pPr>
      <w:r>
        <w:rPr>
          <w:rFonts w:hint="default" w:ascii="仿宋_GB2312" w:eastAsia="仿宋_GB2312" w:cs="仿宋_GB2312"/>
          <w:sz w:val="28"/>
          <w:szCs w:val="28"/>
        </w:rPr>
        <w:t>根据3D科学谷的市场研究，国内金属3D打印企业铂力特已在铜金属激光成形领域取得了进展，研制出针对难熔金属和高导热、高反射金属的3D打印工艺，实现了复杂流道的铜材料制造工艺，成功制备出3D打印铜合金尾喷管。</w:t>
      </w:r>
    </w:p>
    <w:p>
      <w:pPr>
        <w:widowControl/>
        <w:jc w:val="left"/>
        <w:outlineLvl w:val="1"/>
        <w:rPr>
          <w:rFonts w:hint="eastAsia" w:ascii="宋体" w:hAnsi="宋体" w:cs="宋体"/>
          <w:b/>
          <w:bCs/>
          <w:kern w:val="0"/>
          <w:sz w:val="30"/>
          <w:szCs w:val="30"/>
          <w:lang w:eastAsia="zh-CN"/>
        </w:rPr>
      </w:pPr>
      <w:bookmarkStart w:id="16" w:name="_Toc6426"/>
      <w:r>
        <w:rPr>
          <w:rFonts w:hint="eastAsia" w:ascii="宋体" w:hAnsi="宋体" w:cs="宋体"/>
          <w:b/>
          <w:bCs/>
          <w:kern w:val="0"/>
          <w:sz w:val="30"/>
          <w:szCs w:val="30"/>
          <w:lang w:eastAsia="zh-CN"/>
        </w:rPr>
        <w:t>云南铜业：轻装上阵，扬帆起航</w:t>
      </w:r>
      <w:bookmarkEnd w:id="16"/>
    </w:p>
    <w:p>
      <w:pPr>
        <w:widowControl/>
        <w:wordWrap w:val="0"/>
        <w:spacing w:after="90" w:line="288" w:lineRule="auto"/>
        <w:ind w:firstLine="480"/>
        <w:jc w:val="left"/>
        <w:rPr>
          <w:rFonts w:hint="default" w:ascii="仿宋_GB2312" w:eastAsia="仿宋_GB2312" w:cs="仿宋_GB2312"/>
          <w:sz w:val="28"/>
          <w:szCs w:val="28"/>
          <w:lang w:val="en-US" w:eastAsia="zh-CN"/>
        </w:rPr>
      </w:pPr>
      <w:r>
        <w:rPr>
          <w:rFonts w:hint="default" w:ascii="仿宋_GB2312" w:eastAsia="仿宋_GB2312" w:cs="仿宋_GB2312"/>
          <w:sz w:val="28"/>
          <w:szCs w:val="28"/>
          <w:lang w:val="en-US" w:eastAsia="zh-CN"/>
        </w:rPr>
        <w:t>2018年公司归母净利润同比下滑-46%，2019Q1归母净利润同比预增50.43%～76.43%。公司4月3日发布年报，2018年营收约474.30亿元，同比-16.80%，归母净利润1.25亿元，同比-46.04%，其中电解铜、贵金属、硫酸收入占比分别为69.76%、11.55%和1.59%。4月12日发布2019Q1业绩预告，预计实现归母净利润1.62亿元-1.90亿元，同比上升50.43%～76.43%。</w:t>
      </w:r>
    </w:p>
    <w:p>
      <w:pPr>
        <w:widowControl/>
        <w:wordWrap w:val="0"/>
        <w:spacing w:after="90" w:line="288" w:lineRule="auto"/>
        <w:ind w:firstLine="480"/>
        <w:jc w:val="left"/>
        <w:rPr>
          <w:rFonts w:hint="default" w:ascii="仿宋_GB2312" w:eastAsia="仿宋_GB2312" w:cs="仿宋_GB2312"/>
          <w:sz w:val="28"/>
          <w:szCs w:val="28"/>
          <w:lang w:val="en-US" w:eastAsia="zh-CN"/>
        </w:rPr>
      </w:pPr>
      <w:r>
        <w:rPr>
          <w:rFonts w:hint="default" w:ascii="仿宋_GB2312" w:eastAsia="仿宋_GB2312" w:cs="仿宋_GB2312"/>
          <w:sz w:val="28"/>
          <w:szCs w:val="28"/>
          <w:lang w:val="en-US" w:eastAsia="zh-CN"/>
        </w:rPr>
        <w:t>2018年公司电解铜及硫酸量价齐升，实现毛利36.20亿元，同比增长63.1%。一是受益于东南冶炼厂投产，公司铜、硫酸产量显著增长。2018年公司电解铜产量68.02万吨，同比+8.65%，硫酸产量216.13万吨，同比+11.98%。副产品方面，黄金产量7.8吨，同比-22.22%，白银产量497.05吨，同比+10.24%。二是铜、硫酸价格涨价。2018年铜、硫酸、黄金、白银均价分别为50618元/吨、375元/吨、271元/克和3616元/千克，同比+2.85%、+43.33%、-1.65%和-7.79%。基于此，2018年公司实现毛利36.20亿元，同比+63.1%;其中电解铜、贵金属、硫酸毛利占比分别为51.45%、20.52%和 11.77%，其他主营业务毛利占比16.81%。</w:t>
      </w:r>
    </w:p>
    <w:p>
      <w:pPr>
        <w:widowControl/>
        <w:wordWrap w:val="0"/>
        <w:spacing w:after="90" w:line="288" w:lineRule="auto"/>
        <w:ind w:firstLine="480"/>
        <w:jc w:val="left"/>
        <w:rPr>
          <w:rFonts w:hint="default" w:ascii="仿宋_GB2312" w:eastAsia="仿宋_GB2312" w:cs="仿宋_GB2312"/>
          <w:sz w:val="28"/>
          <w:szCs w:val="28"/>
          <w:lang w:val="en-US" w:eastAsia="zh-CN"/>
        </w:rPr>
      </w:pPr>
      <w:r>
        <w:rPr>
          <w:rFonts w:hint="default" w:ascii="仿宋_GB2312" w:eastAsia="仿宋_GB2312" w:cs="仿宋_GB2312"/>
          <w:sz w:val="28"/>
          <w:szCs w:val="28"/>
          <w:lang w:val="en-US" w:eastAsia="zh-CN"/>
        </w:rPr>
        <w:t>2018年计提减值和税费上升对业绩形成拖累。一是大幅计提资产减值损失。2018年公司计提资产减值损失5.38亿，同比+102.21%。主要是本期子公司云南楚雄矿冶有限公司的分公司云南楚雄矿冶有限公司牟定郝家河铜矿暂时停产，计提了资产减值准备。二是税费上升。2018年公司税金及附加为2.99亿元，同比+37.62%，主要是子公司资源税增加;2018年管理费用9.44亿元，同比+49.67%，主要是本期子公司赤峰云铜因搬迁技改而停产，职工薪酬及停工损失增加。2018年财务费用8.84亿元，同比+61.74%，主要是本期融资规模较增加，利息支出和汇兑损失增加。三是投资收益转负。2018年投资损失-0.15亿元，同比-107.28%。其中，对联营企业和合营企业的投资收益为-0.40亿元，同比-252.47%。主要是上期公司子公司云南景谷矿冶有限公司和永仁团山铜矿不纳入合并范围转回已确认的超额亏损，以及本期联营企业盈利较上期减少。四是营业外支出增加。2018年营业外支出0.61亿元，同比+137.62%，主要是本期子公司承担“三供一业”分离移交的改造费用。</w:t>
      </w:r>
    </w:p>
    <w:p>
      <w:pPr>
        <w:widowControl/>
        <w:wordWrap w:val="0"/>
        <w:spacing w:after="90" w:line="288" w:lineRule="auto"/>
        <w:ind w:firstLine="480"/>
        <w:jc w:val="left"/>
        <w:rPr>
          <w:rFonts w:hint="default" w:ascii="仿宋_GB2312" w:eastAsia="仿宋_GB2312" w:cs="仿宋_GB2312"/>
          <w:sz w:val="28"/>
          <w:szCs w:val="28"/>
          <w:lang w:val="en-US" w:eastAsia="zh-CN"/>
        </w:rPr>
      </w:pPr>
      <w:r>
        <w:rPr>
          <w:rFonts w:hint="default" w:ascii="仿宋_GB2312" w:eastAsia="仿宋_GB2312" w:cs="仿宋_GB2312"/>
          <w:sz w:val="28"/>
          <w:szCs w:val="28"/>
          <w:lang w:val="en-US" w:eastAsia="zh-CN"/>
        </w:rPr>
        <w:t>2019Q1归母净利润1.62亿元～1.90亿元，同比大涨50.43%～76.43%。一是并表迪庆有色50.01%股权提升铜精矿产销量。考虑到2018Q1铜均价52,417元/吨，2019Q1铜均价仅有48,720元/吨，同比下跌7%，公司Q1业绩提升主要与2018年底开始并表迪庆有色50.01%有关。迪庆有色旗下的普朗铜矿正逐步达产，达产后铜精矿年产量在6万吨左右，增加公司权益铜精矿产量3万吨左右，业绩弹性增强。二是2018年底对内部管理作了大幅优化，计提资产减值5.38亿，前期经营包袱显著消化。</w:t>
      </w:r>
    </w:p>
    <w:p>
      <w:pPr>
        <w:widowControl/>
        <w:wordWrap w:val="0"/>
        <w:spacing w:after="90" w:line="288" w:lineRule="auto"/>
        <w:ind w:firstLine="480"/>
        <w:jc w:val="left"/>
        <w:rPr>
          <w:rFonts w:hint="default" w:ascii="仿宋_GB2312" w:eastAsia="仿宋_GB2312" w:cs="仿宋_GB2312"/>
          <w:sz w:val="28"/>
          <w:szCs w:val="28"/>
          <w:lang w:val="en-US" w:eastAsia="zh-CN"/>
        </w:rPr>
      </w:pPr>
      <w:r>
        <w:rPr>
          <w:rFonts w:hint="default" w:ascii="仿宋_GB2312" w:eastAsia="仿宋_GB2312" w:cs="仿宋_GB2312"/>
          <w:sz w:val="28"/>
          <w:szCs w:val="28"/>
          <w:lang w:val="en-US" w:eastAsia="zh-CN"/>
        </w:rPr>
        <w:t>展望2019～2020年，公司矿产铜、冶炼铜产量有望大幅提升，财务费用有望下降。2019年1月30日公司完成定增，募集资金净额21.19亿元，主要用于收购迪庆有色50.01%股权、建设东南铜业冶炼厂和补流。随着募投项目逐步实施，公司业绩弹性有望显著增强。一是矿产铜权益产量有望增长60%以上。公司现有自产铜精矿约5-6万吨，考虑到收购迪庆有色50.01%股权并表普朗铜矿，公司铜精矿产量将翻倍至11-12万吨，权益产量增长60%以上。二是公司冶炼产能有望翻倍。公司现有冶炼产能65万吨，随着扩建东南铜业40万吨冶炼厂，以及赤峰冶炼厂搬迁技改扩建至40万吨产能投产，公司冶炼产能将翻倍至130万吨，增长100%。三是随着定增资金到位，公司财务费用有望降低。2018年公司长期借款为89.34亿元，同比+115.39%，应付票据及应付账款为51.72亿，同比+49.08%，主要系子公司中铝东南铜业和赤峰云铜因项目建设增加项目贷款以及本期调整融资结构，增加了长期借款;以及本期票据结算量增加，应付工程、设备款及未结算原料采购款增加，随着定增资金逐步投入使用，有助于公司优化公司资本结构，降低财务费用。</w:t>
      </w:r>
    </w:p>
    <w:p>
      <w:pPr>
        <w:widowControl/>
        <w:wordWrap w:val="0"/>
        <w:spacing w:after="90" w:line="288" w:lineRule="auto"/>
        <w:ind w:firstLine="480"/>
        <w:jc w:val="left"/>
        <w:rPr>
          <w:rFonts w:hint="default" w:ascii="仿宋_GB2312" w:eastAsia="仿宋_GB2312" w:cs="仿宋_GB2312"/>
          <w:sz w:val="28"/>
          <w:szCs w:val="28"/>
          <w:lang w:val="en-US" w:eastAsia="zh-CN"/>
        </w:rPr>
      </w:pPr>
      <w:r>
        <w:rPr>
          <w:rFonts w:hint="default" w:ascii="仿宋_GB2312" w:eastAsia="仿宋_GB2312" w:cs="仿宋_GB2312"/>
          <w:sz w:val="28"/>
          <w:szCs w:val="28"/>
          <w:lang w:val="en-US" w:eastAsia="zh-CN"/>
        </w:rPr>
        <w:t>上市公司及集团资源储量丰富，实际控制人中国铝业公司实力雄厚，公司资源潜力大。一是上市公司铜资源保有量518.98万吨，矿权储备充足，增储空间较大。据公司公告，2018年公司收购迪庆有色新增资源储量316.90万吨，并开展18个矿山深边部勘查项目新增资源储量铜金属量8.6万吨以上。截至2018年末，公司保有333以上铜资源量518.98万吨。</w:t>
      </w:r>
    </w:p>
    <w:p>
      <w:pPr>
        <w:widowControl/>
        <w:wordWrap w:val="0"/>
        <w:spacing w:after="90" w:line="288" w:lineRule="auto"/>
        <w:ind w:firstLine="480"/>
        <w:jc w:val="left"/>
        <w:rPr>
          <w:rFonts w:hint="default" w:ascii="仿宋_GB2312" w:eastAsia="仿宋_GB2312" w:cs="仿宋_GB2312"/>
          <w:sz w:val="28"/>
          <w:szCs w:val="28"/>
          <w:lang w:val="en-US" w:eastAsia="zh-CN"/>
        </w:rPr>
      </w:pPr>
      <w:r>
        <w:rPr>
          <w:rFonts w:hint="default" w:ascii="仿宋_GB2312" w:eastAsia="仿宋_GB2312" w:cs="仿宋_GB2312"/>
          <w:sz w:val="28"/>
          <w:szCs w:val="28"/>
          <w:lang w:val="en-US" w:eastAsia="zh-CN"/>
        </w:rPr>
        <w:t>二是直接控股股东云铜集团资源注入潜力较大。一是截至2017年末，集团在云南、四川、青海、西藏等地区拥有21 座在产矿山及2 座在建矿山，保有资源储量(金属量)为铜877 万吨，其中上市公司资源储量约518万吨，上市公司体外有360万吨资源量。二是云铜集团旗下凉山矿业择机注入的概率较大。据公司公告，2016年10月，云铜集团承诺在普朗铜矿注入完成之日一年内，启动将所持有的凉山矿业股权注入云南铜业的工作。凉山矿业年产铜金属量2.5万吨，同时配有10万吨产能的冶炼厂，主要生产阳极板，盈利能力稳定。</w:t>
      </w:r>
    </w:p>
    <w:p>
      <w:pPr>
        <w:widowControl/>
        <w:wordWrap w:val="0"/>
        <w:spacing w:after="90" w:line="288" w:lineRule="auto"/>
        <w:ind w:firstLine="480"/>
        <w:jc w:val="left"/>
        <w:rPr>
          <w:rFonts w:hint="default" w:ascii="仿宋_GB2312" w:eastAsia="仿宋_GB2312" w:cs="仿宋_GB2312"/>
          <w:sz w:val="28"/>
          <w:szCs w:val="28"/>
          <w:lang w:val="en-US" w:eastAsia="zh-CN"/>
        </w:rPr>
      </w:pPr>
      <w:r>
        <w:rPr>
          <w:rFonts w:hint="default" w:ascii="仿宋_GB2312" w:eastAsia="仿宋_GB2312" w:cs="仿宋_GB2312"/>
          <w:sz w:val="28"/>
          <w:szCs w:val="28"/>
          <w:lang w:val="en-US" w:eastAsia="zh-CN"/>
        </w:rPr>
        <w:t>投资建议：给予“买入-A”评级，6个月目标价14.55元。考虑到未来三年全球铜矿供应增速整体处于低位，且2019年铜矿供应尤其偏紧，铜加工费明显下行;再加上全球央行货币宽松渐成趋势，需求侧稳增长政策逐步发力，铜价下行风险降低，上行概率系统性增强。公司随着并表普朗铜矿以及东南冶炼厂逐渐达产，铜精矿、冶炼铜产量有望大幅增长，业绩弹性随之增强;再加上直接控股股东层面资源注入潜力较大，有望享有一定的估值溢价。我们按照2019-2021铜价5.0万元、5.3万元、5.5万元的假设进行测算，预计公司EPS分别为0.36元、0.42元和0.48元，给予6个月目标价14.55元，相当于2019年40x动态市盈率。</w:t>
      </w:r>
    </w:p>
    <w:p>
      <w:pPr>
        <w:widowControl/>
        <w:wordWrap w:val="0"/>
        <w:spacing w:after="90" w:line="288" w:lineRule="auto"/>
        <w:ind w:firstLine="480"/>
        <w:jc w:val="left"/>
        <w:rPr>
          <w:rFonts w:hint="default" w:ascii="仿宋_GB2312" w:eastAsia="仿宋_GB2312" w:cs="仿宋_GB2312"/>
          <w:sz w:val="28"/>
          <w:szCs w:val="28"/>
          <w:lang w:val="en-US" w:eastAsia="zh-CN"/>
        </w:rPr>
      </w:pPr>
      <w:r>
        <w:rPr>
          <w:rFonts w:hint="default" w:ascii="仿宋_GB2312" w:eastAsia="仿宋_GB2312" w:cs="仿宋_GB2312"/>
          <w:sz w:val="28"/>
          <w:szCs w:val="28"/>
          <w:lang w:val="en-US" w:eastAsia="zh-CN"/>
        </w:rPr>
        <w:t>风险提示：1)全球经济增速低于预期; 2)全球铜矿产量超预期，铜供给扰动率低于预期;3)公司产品产量不及预期，矿山后续注入不及预期。</w:t>
      </w:r>
    </w:p>
    <w:p>
      <w:pPr>
        <w:widowControl/>
        <w:jc w:val="left"/>
        <w:outlineLvl w:val="1"/>
        <w:rPr>
          <w:rFonts w:hint="eastAsia" w:ascii="宋体" w:hAnsi="宋体" w:cs="宋体"/>
          <w:b/>
          <w:bCs/>
          <w:kern w:val="0"/>
          <w:sz w:val="30"/>
          <w:szCs w:val="30"/>
          <w:lang w:eastAsia="zh-CN"/>
        </w:rPr>
      </w:pPr>
      <w:bookmarkStart w:id="17" w:name="_Toc2241"/>
      <w:r>
        <w:rPr>
          <w:rFonts w:hint="eastAsia" w:ascii="宋体" w:hAnsi="宋体" w:cs="宋体"/>
          <w:b/>
          <w:bCs/>
          <w:kern w:val="0"/>
          <w:sz w:val="30"/>
          <w:szCs w:val="30"/>
          <w:lang w:eastAsia="zh-CN"/>
        </w:rPr>
        <w:t>陕西有色集团被评为“宝鸡市驻村帮扶工作先进集体”</w:t>
      </w:r>
      <w:bookmarkEnd w:id="17"/>
    </w:p>
    <w:p>
      <w:pPr>
        <w:widowControl/>
        <w:wordWrap w:val="0"/>
        <w:spacing w:after="90" w:line="288" w:lineRule="auto"/>
        <w:ind w:firstLine="480"/>
        <w:jc w:val="left"/>
        <w:rPr>
          <w:rFonts w:hint="default" w:ascii="仿宋_GB2312" w:eastAsia="仿宋_GB2312" w:cs="仿宋_GB2312"/>
          <w:sz w:val="28"/>
          <w:szCs w:val="28"/>
          <w:lang w:val="en-US" w:eastAsia="zh-CN"/>
        </w:rPr>
      </w:pPr>
      <w:r>
        <w:rPr>
          <w:rFonts w:hint="default" w:ascii="仿宋_GB2312" w:eastAsia="仿宋_GB2312" w:cs="仿宋_GB2312"/>
          <w:sz w:val="28"/>
          <w:szCs w:val="28"/>
          <w:lang w:val="en-US" w:eastAsia="zh-CN"/>
        </w:rPr>
        <w:t>近日，宝鸡市脱贫攻坚领导小组扶贫考核工作组对参与该市社会扶贫的2300多个单位进行了考核评定，在4月3日召开的全市社会扶贫工作会议上，表彰了100个社会扶贫先进集体和47名社会扶贫先进个人。陕西有色集团被评为“宝鸡市驻村帮扶工作先进集体”。</w:t>
      </w:r>
    </w:p>
    <w:p>
      <w:pPr>
        <w:widowControl/>
        <w:wordWrap w:val="0"/>
        <w:spacing w:after="90" w:line="288" w:lineRule="auto"/>
        <w:ind w:firstLine="480"/>
        <w:jc w:val="left"/>
        <w:rPr>
          <w:rFonts w:hint="default" w:ascii="仿宋_GB2312" w:eastAsia="仿宋_GB2312" w:cs="仿宋_GB2312"/>
          <w:sz w:val="28"/>
          <w:szCs w:val="28"/>
          <w:lang w:val="en-US" w:eastAsia="zh-CN"/>
        </w:rPr>
      </w:pPr>
      <w:r>
        <w:rPr>
          <w:rFonts w:hint="default" w:ascii="仿宋_GB2312" w:eastAsia="仿宋_GB2312" w:cs="仿宋_GB2312"/>
          <w:sz w:val="28"/>
          <w:szCs w:val="28"/>
          <w:lang w:val="en-US" w:eastAsia="zh-CN"/>
        </w:rPr>
        <w:t>2018年，陕西有色集团围绕年度目标任务，在千阳县投资产业扶贫项目2个，投放资金1.1亿元，带动贫困户3500户。</w:t>
      </w:r>
    </w:p>
    <w:p>
      <w:pPr>
        <w:widowControl/>
        <w:wordWrap w:val="0"/>
        <w:spacing w:after="90" w:line="288" w:lineRule="auto"/>
        <w:ind w:firstLine="480"/>
        <w:jc w:val="left"/>
        <w:rPr>
          <w:rFonts w:hint="default" w:ascii="仿宋_GB2312" w:eastAsia="仿宋_GB2312" w:cs="仿宋_GB2312"/>
          <w:sz w:val="28"/>
          <w:szCs w:val="28"/>
          <w:lang w:val="en-US" w:eastAsia="zh-CN"/>
        </w:rPr>
      </w:pPr>
      <w:r>
        <w:rPr>
          <w:rFonts w:hint="default" w:ascii="仿宋_GB2312" w:eastAsia="仿宋_GB2312" w:cs="仿宋_GB2312"/>
          <w:sz w:val="28"/>
          <w:szCs w:val="28"/>
          <w:lang w:val="en-US" w:eastAsia="zh-CN"/>
        </w:rPr>
        <w:t>同时，集团带领8家省级“两联一包”成员单位，在千阳县“两联一包”工作中投入资金275.67万元，帮扶8个自然村583户贫困户1353人脱贫。帮扶项目涵盖了产业扶贫、教育扶贫、医疗扶贫、就业扶贫、扶志扶智、基础设施、社会捐赠等方面。其中，宝钛集团党员干部捐赠130万元为近6000名贫困群众购买了三年大病补充商业保险，仅2018年度就有307人受助，获得保险赔付49万元。</w:t>
      </w:r>
    </w:p>
    <w:p>
      <w:pPr>
        <w:widowControl/>
        <w:jc w:val="left"/>
        <w:outlineLvl w:val="1"/>
        <w:rPr>
          <w:rFonts w:hint="eastAsia" w:ascii="宋体" w:hAnsi="宋体" w:cs="宋体"/>
          <w:b/>
          <w:bCs/>
          <w:kern w:val="0"/>
          <w:sz w:val="30"/>
          <w:szCs w:val="30"/>
          <w:lang w:val="en-US" w:eastAsia="zh-CN"/>
        </w:rPr>
      </w:pPr>
      <w:bookmarkStart w:id="18" w:name="_Toc24474"/>
      <w:r>
        <w:rPr>
          <w:rFonts w:hint="eastAsia" w:ascii="宋体" w:hAnsi="宋体" w:cs="宋体"/>
          <w:b/>
          <w:bCs/>
          <w:kern w:val="0"/>
          <w:sz w:val="30"/>
          <w:szCs w:val="30"/>
          <w:lang w:val="en-US" w:eastAsia="zh-CN"/>
        </w:rPr>
        <w:t>国务院国资委副主任翁杰明到中国有色集团调研</w:t>
      </w:r>
      <w:bookmarkEnd w:id="18"/>
    </w:p>
    <w:p>
      <w:pPr>
        <w:widowControl/>
        <w:wordWrap w:val="0"/>
        <w:spacing w:after="90" w:line="288" w:lineRule="auto"/>
        <w:ind w:firstLine="480"/>
        <w:jc w:val="left"/>
        <w:rPr>
          <w:rFonts w:hint="default" w:ascii="仿宋_GB2312" w:eastAsia="仿宋_GB2312" w:cs="仿宋_GB2312"/>
          <w:sz w:val="28"/>
          <w:szCs w:val="28"/>
          <w:lang w:val="en-US" w:eastAsia="zh-CN"/>
        </w:rPr>
      </w:pPr>
      <w:r>
        <w:rPr>
          <w:rFonts w:hint="default" w:ascii="仿宋_GB2312" w:eastAsia="仿宋_GB2312" w:cs="仿宋_GB2312"/>
          <w:sz w:val="28"/>
          <w:szCs w:val="28"/>
          <w:lang w:val="en-US" w:eastAsia="zh-CN"/>
        </w:rPr>
        <w:t>4月11日，国务院国有企业改革领导小组办公室副主任、国务院国资委副主任翁杰明一行到中国有色集团调研。</w:t>
      </w:r>
    </w:p>
    <w:p>
      <w:pPr>
        <w:widowControl/>
        <w:wordWrap w:val="0"/>
        <w:spacing w:after="90" w:line="288" w:lineRule="auto"/>
        <w:ind w:firstLine="480"/>
        <w:jc w:val="left"/>
        <w:rPr>
          <w:rFonts w:hint="default" w:ascii="仿宋_GB2312" w:eastAsia="仿宋_GB2312" w:cs="仿宋_GB2312"/>
          <w:sz w:val="28"/>
          <w:szCs w:val="28"/>
          <w:lang w:val="en-US" w:eastAsia="zh-CN"/>
        </w:rPr>
      </w:pPr>
      <w:r>
        <w:rPr>
          <w:rFonts w:hint="default" w:ascii="仿宋_GB2312" w:eastAsia="仿宋_GB2312" w:cs="仿宋_GB2312"/>
          <w:sz w:val="28"/>
          <w:szCs w:val="28"/>
          <w:lang w:val="en-US" w:eastAsia="zh-CN"/>
        </w:rPr>
        <w:t>调研中，翁杰明副主任一行首先参观了中国有色集团展厅。在随后召开的座谈会上，翁杰明副主任指出，中国有色集团新一届领导班子把握好了继承和发展的关系，根据党和国家要求及行业发展趋势、自身发展态势，进一步明确了企业的发展方向、经营原则和奋斗目标，推动一系列务实举措落实落地，发展思路清晰，产业布局科学优化，深化改革等各项工作有力度、见成效，国际化优势明显，党的领导和党的建设持续加强，干部职工状态良好、人心凝聚，高质量发展的态势比较明显，成绩来之不易。</w:t>
      </w:r>
    </w:p>
    <w:p>
      <w:pPr>
        <w:widowControl/>
        <w:wordWrap w:val="0"/>
        <w:spacing w:after="90" w:line="288" w:lineRule="auto"/>
        <w:ind w:firstLine="480"/>
        <w:jc w:val="left"/>
        <w:rPr>
          <w:rFonts w:hint="default" w:ascii="仿宋_GB2312" w:eastAsia="仿宋_GB2312" w:cs="仿宋_GB2312"/>
          <w:sz w:val="28"/>
          <w:szCs w:val="28"/>
          <w:lang w:val="en-US" w:eastAsia="zh-CN"/>
        </w:rPr>
      </w:pPr>
      <w:r>
        <w:rPr>
          <w:rFonts w:hint="default" w:ascii="仿宋_GB2312" w:eastAsia="仿宋_GB2312" w:cs="仿宋_GB2312"/>
          <w:sz w:val="28"/>
          <w:szCs w:val="28"/>
          <w:lang w:val="en-US" w:eastAsia="zh-CN"/>
        </w:rPr>
        <w:t>针对中国有色集团下一步的改革发展和党建工作，翁杰明副主任提出了五点希望和要求：一是扎实推动突出主业，形成具有鲜明特色的产业链和生态圈;二是扎实推动互利共赢，成为“走出去”特别是“一带一路”建设产业发展的品牌型企业;三是扎实推动深化改革，不断提升全集团的活力和竞争力;四是扎实推动合规风控，保证企业可持续发展;五是扎实推动党的建设，确保党的领导在中国有色集团全面加强。他表示，国务院国资委将一如既往地支持中国有色集团改革发展，推动中国有色集团不断做强做优做大，打造世界一流矿业企业。</w:t>
      </w:r>
    </w:p>
    <w:p>
      <w:pPr>
        <w:widowControl/>
        <w:wordWrap w:val="0"/>
        <w:spacing w:after="90" w:line="288" w:lineRule="auto"/>
        <w:ind w:firstLine="480"/>
        <w:jc w:val="left"/>
        <w:rPr>
          <w:rFonts w:hint="default" w:ascii="仿宋_GB2312" w:eastAsia="仿宋_GB2312" w:cs="仿宋_GB2312"/>
          <w:sz w:val="28"/>
          <w:szCs w:val="28"/>
          <w:lang w:val="en-US" w:eastAsia="zh-CN"/>
        </w:rPr>
      </w:pPr>
      <w:r>
        <w:rPr>
          <w:rFonts w:hint="default" w:ascii="仿宋_GB2312" w:eastAsia="仿宋_GB2312" w:cs="仿宋_GB2312"/>
          <w:sz w:val="28"/>
          <w:szCs w:val="28"/>
          <w:lang w:val="en-US" w:eastAsia="zh-CN"/>
        </w:rPr>
        <w:t>中国有色集团董事长、党委书记、总经理王彤宙汇报了集团改革发展的总体情况。他表示，中国有色集团经过36年发展，集团由单一的工程承包企业转型为综合性矿业集团，由有色行业最早“走出去”的企业，发展成为央企中开展国际合作最具特色、最成功的企业之一，形成了三大优势：一是致力于有色金属资源开发，形成了以铜为主的有色金属资源开发“全产业链”;二是致力于做强做优做大，形成了国际化专业化程度较高的海外业务布局;三是坚持有所为、有所不为，在重点国别和重点市场形成了区域竞争优势。他表示，中国有色集团新一届领导班子承前启后，通过深入学习贯彻习近平新时代中国特色社会主义思想和党的十九大精神，认真贯彻落实国资委党委的工作部署，特别是郝鹏书记、肖亚庆主任对中央企业改革发展和党建工作的各项要求，政治站位更高、问题导向更突出、发展举措更实，这些变化，集中体现在七个方面的具体工作上：一是突出政治建设，切实做到“两个维护”;二是聚焦实业主业，调整优化发展战略;三是坚决落实国家战略，体现央企责任担当;四是落实新发展理念，推进全面深化改革;五是完善公司治理结构，加快法治央企建设;六是加强信息化建设，加快数字化转型;七是做好对外宣传，树立良好海外形象。</w:t>
      </w:r>
    </w:p>
    <w:p>
      <w:pPr>
        <w:widowControl/>
        <w:wordWrap w:val="0"/>
        <w:spacing w:after="90" w:line="288" w:lineRule="auto"/>
        <w:ind w:firstLine="480"/>
        <w:jc w:val="left"/>
        <w:rPr>
          <w:rFonts w:hint="default" w:ascii="仿宋_GB2312" w:eastAsia="仿宋_GB2312" w:cs="仿宋_GB2312"/>
          <w:sz w:val="28"/>
          <w:szCs w:val="28"/>
          <w:lang w:val="en-US" w:eastAsia="zh-CN"/>
        </w:rPr>
      </w:pPr>
      <w:r>
        <w:rPr>
          <w:rFonts w:hint="default" w:ascii="仿宋_GB2312" w:eastAsia="仿宋_GB2312" w:cs="仿宋_GB2312"/>
          <w:sz w:val="28"/>
          <w:szCs w:val="28"/>
          <w:lang w:val="en-US" w:eastAsia="zh-CN"/>
        </w:rPr>
        <w:t>王彤宙董事长表示，2019年，是中国有色集团实施新发展战略的开局起步之年。我们有信心、有决心，在习近平新时代中国特色社会主义思想的指引下，坚持稳中求进工作总基调，坚持新发展理念，认真落实郝鹏书记“四个表率”的工作要求和亚庆主任“一个确保、六个强化”的工作部署，以中长期战略规划为引领，以规范董事会建设为契机，全面深化改革，着力兴利除弊，加快创新发展，推动党建和业务工作深度融合，全面完成各项任务，以优异成绩向新中国成立70周年献礼。</w:t>
      </w:r>
    </w:p>
    <w:p>
      <w:pPr>
        <w:widowControl/>
        <w:wordWrap w:val="0"/>
        <w:spacing w:after="90" w:line="288" w:lineRule="auto"/>
        <w:ind w:firstLine="480"/>
        <w:jc w:val="left"/>
        <w:rPr>
          <w:rFonts w:hint="default" w:ascii="仿宋_GB2312" w:eastAsia="仿宋_GB2312" w:cs="仿宋_GB2312"/>
          <w:sz w:val="28"/>
          <w:szCs w:val="28"/>
          <w:lang w:val="en-US" w:eastAsia="zh-CN"/>
        </w:rPr>
      </w:pPr>
      <w:r>
        <w:rPr>
          <w:rFonts w:hint="default" w:ascii="仿宋_GB2312" w:eastAsia="仿宋_GB2312" w:cs="仿宋_GB2312"/>
          <w:sz w:val="28"/>
          <w:szCs w:val="28"/>
          <w:lang w:val="en-US" w:eastAsia="zh-CN"/>
        </w:rPr>
        <w:t>国务院国资委宣传局局长夏庆丰、改革局副局长林庆苗参加调研，并对中国有色集团深化改革、加强宣传等工作提出了意见和要求。</w:t>
      </w:r>
    </w:p>
    <w:p>
      <w:pPr>
        <w:widowControl/>
        <w:wordWrap w:val="0"/>
        <w:spacing w:after="90" w:line="288" w:lineRule="auto"/>
        <w:ind w:firstLine="480"/>
        <w:jc w:val="left"/>
        <w:rPr>
          <w:rFonts w:hint="default" w:ascii="仿宋_GB2312" w:eastAsia="仿宋_GB2312" w:cs="仿宋_GB2312"/>
          <w:sz w:val="28"/>
          <w:szCs w:val="28"/>
          <w:lang w:val="en-US" w:eastAsia="zh-CN"/>
        </w:rPr>
      </w:pPr>
      <w:r>
        <w:rPr>
          <w:rFonts w:hint="default" w:ascii="仿宋_GB2312" w:eastAsia="仿宋_GB2312" w:cs="仿宋_GB2312"/>
          <w:sz w:val="28"/>
          <w:szCs w:val="28"/>
          <w:lang w:val="en-US" w:eastAsia="zh-CN"/>
        </w:rPr>
        <w:t>国务院国资委办公厅有关同志，中国有色集团党委副书记、工会主席董长清，纪委书记张贞民，总经理助理梁博益及总部各部门、相关出资企业负责同志参加调研。</w:t>
      </w:r>
    </w:p>
    <w:p>
      <w:pPr>
        <w:widowControl/>
        <w:jc w:val="left"/>
        <w:outlineLvl w:val="1"/>
        <w:rPr>
          <w:rFonts w:hint="eastAsia" w:ascii="宋体" w:hAnsi="宋体" w:cs="宋体"/>
          <w:b/>
          <w:bCs/>
          <w:kern w:val="0"/>
          <w:sz w:val="30"/>
          <w:szCs w:val="30"/>
          <w:lang w:eastAsia="zh-CN"/>
        </w:rPr>
      </w:pPr>
      <w:bookmarkStart w:id="19" w:name="_Toc30675"/>
      <w:r>
        <w:rPr>
          <w:rFonts w:hint="eastAsia" w:ascii="宋体" w:hAnsi="宋体" w:cs="宋体"/>
          <w:b/>
          <w:bCs/>
          <w:kern w:val="0"/>
          <w:sz w:val="30"/>
          <w:szCs w:val="30"/>
          <w:lang w:eastAsia="zh-CN"/>
        </w:rPr>
        <w:t>纳米比亚今年有3座老矿山重新投入生产</w:t>
      </w:r>
      <w:bookmarkEnd w:id="19"/>
    </w:p>
    <w:p>
      <w:pPr>
        <w:widowControl/>
        <w:wordWrap w:val="0"/>
        <w:spacing w:after="90" w:line="288" w:lineRule="auto"/>
        <w:ind w:firstLine="480"/>
        <w:jc w:val="left"/>
        <w:rPr>
          <w:rFonts w:hint="default" w:ascii="仿宋_GB2312" w:eastAsia="仿宋_GB2312" w:cs="仿宋_GB2312"/>
          <w:sz w:val="28"/>
          <w:szCs w:val="28"/>
        </w:rPr>
      </w:pPr>
      <w:r>
        <w:rPr>
          <w:rFonts w:hint="default" w:ascii="仿宋_GB2312" w:eastAsia="仿宋_GB2312" w:cs="仿宋_GB2312"/>
          <w:sz w:val="28"/>
          <w:szCs w:val="28"/>
        </w:rPr>
        <w:t>今年纳米比亚将有三座老矿山重新投入生产。其中最值得关注的是在纳米比亚西部Erongo地区重启的AfriTin公司Uis锡矿和北河资源Namib铅锌矿。</w:t>
      </w:r>
    </w:p>
    <w:p>
      <w:pPr>
        <w:widowControl/>
        <w:wordWrap w:val="0"/>
        <w:spacing w:after="90" w:line="288" w:lineRule="auto"/>
        <w:ind w:firstLine="480"/>
        <w:jc w:val="left"/>
        <w:rPr>
          <w:rFonts w:hint="default" w:ascii="仿宋_GB2312" w:eastAsia="仿宋_GB2312" w:cs="仿宋_GB2312"/>
          <w:sz w:val="28"/>
          <w:szCs w:val="28"/>
        </w:rPr>
      </w:pPr>
      <w:r>
        <w:rPr>
          <w:rFonts w:hint="default" w:ascii="仿宋_GB2312" w:eastAsia="仿宋_GB2312" w:cs="仿宋_GB2312"/>
          <w:sz w:val="28"/>
          <w:szCs w:val="28"/>
        </w:rPr>
        <w:t>纳米比亚矿业和能源商会首席执行官Veston Malango周三宣布了上述消息，并表示沙漠雄狮能源公司也正在重新开发位于Erongo地区的Helikon和Rubicon锂矿。</w:t>
      </w:r>
    </w:p>
    <w:p>
      <w:pPr>
        <w:widowControl/>
        <w:wordWrap w:val="0"/>
        <w:spacing w:after="90" w:line="288" w:lineRule="auto"/>
        <w:ind w:firstLine="480"/>
        <w:jc w:val="left"/>
        <w:rPr>
          <w:rFonts w:hint="default" w:ascii="仿宋_GB2312" w:eastAsia="仿宋_GB2312" w:cs="仿宋_GB2312"/>
          <w:sz w:val="28"/>
          <w:szCs w:val="28"/>
        </w:rPr>
      </w:pPr>
      <w:r>
        <w:rPr>
          <w:rFonts w:hint="default" w:ascii="仿宋_GB2312" w:eastAsia="仿宋_GB2312" w:cs="仿宋_GB2312"/>
          <w:sz w:val="28"/>
          <w:szCs w:val="28"/>
        </w:rPr>
        <w:t>Malango表示，三个矿山重启已经创造了720个就业岗位。</w:t>
      </w:r>
    </w:p>
    <w:p>
      <w:pPr>
        <w:widowControl/>
        <w:wordWrap w:val="0"/>
        <w:spacing w:after="90" w:line="288" w:lineRule="auto"/>
        <w:ind w:firstLine="480"/>
        <w:jc w:val="left"/>
        <w:rPr>
          <w:rFonts w:hint="default" w:ascii="仿宋_GB2312" w:eastAsia="仿宋_GB2312" w:cs="仿宋_GB2312"/>
          <w:sz w:val="28"/>
          <w:szCs w:val="28"/>
        </w:rPr>
      </w:pPr>
      <w:r>
        <w:rPr>
          <w:rFonts w:hint="default" w:ascii="仿宋_GB2312" w:eastAsia="仿宋_GB2312" w:cs="仿宋_GB2312"/>
          <w:sz w:val="28"/>
          <w:szCs w:val="28"/>
        </w:rPr>
        <w:t>去年AfriTin公司Uis锡矿启动了第一次大规模的矿山爆破，这也是该矿山自1990年因锡价格下跌而关闭后的首次爆破。</w:t>
      </w:r>
    </w:p>
    <w:p>
      <w:pPr>
        <w:widowControl/>
        <w:wordWrap w:val="0"/>
        <w:spacing w:after="90" w:line="288" w:lineRule="auto"/>
        <w:ind w:firstLine="480"/>
        <w:jc w:val="left"/>
        <w:rPr>
          <w:rFonts w:hint="default" w:ascii="仿宋_GB2312" w:eastAsia="仿宋_GB2312" w:cs="仿宋_GB2312"/>
          <w:sz w:val="28"/>
          <w:szCs w:val="28"/>
        </w:rPr>
      </w:pPr>
      <w:r>
        <w:rPr>
          <w:rFonts w:hint="default" w:ascii="仿宋_GB2312" w:eastAsia="仿宋_GB2312" w:cs="仿宋_GB2312"/>
          <w:sz w:val="28"/>
          <w:szCs w:val="28"/>
        </w:rPr>
        <w:t>Uis锡矿将生产锡精矿，第一期试点选矿厂处理能力约50万吨/年，每月生产约60吨锡精矿，而第二期计划投入运营300万吨/年处理能力选厂，生产约5000吨/年锡精矿。</w:t>
      </w:r>
    </w:p>
    <w:p>
      <w:pPr>
        <w:widowControl/>
        <w:wordWrap w:val="0"/>
        <w:spacing w:after="90" w:line="288" w:lineRule="auto"/>
        <w:ind w:firstLine="480"/>
        <w:jc w:val="left"/>
        <w:rPr>
          <w:rFonts w:hint="default" w:ascii="仿宋_GB2312" w:eastAsia="仿宋_GB2312" w:cs="仿宋_GB2312"/>
          <w:sz w:val="28"/>
          <w:szCs w:val="28"/>
        </w:rPr>
      </w:pPr>
      <w:r>
        <w:rPr>
          <w:rFonts w:hint="default" w:ascii="仿宋_GB2312" w:eastAsia="仿宋_GB2312" w:cs="仿宋_GB2312"/>
          <w:sz w:val="28"/>
          <w:szCs w:val="28"/>
        </w:rPr>
        <w:t>该矿于1911年被发现，由南非的Iscor开发，是世界上最大的硬岩锡矿，于20世纪50年代开始生产。</w:t>
      </w:r>
    </w:p>
    <w:p>
      <w:pPr>
        <w:widowControl/>
        <w:wordWrap w:val="0"/>
        <w:spacing w:after="90" w:line="288" w:lineRule="auto"/>
        <w:ind w:firstLine="480"/>
        <w:jc w:val="left"/>
        <w:rPr>
          <w:rFonts w:hint="default" w:ascii="仿宋_GB2312" w:eastAsia="仿宋_GB2312" w:cs="仿宋_GB2312"/>
          <w:sz w:val="28"/>
          <w:szCs w:val="28"/>
        </w:rPr>
      </w:pPr>
      <w:r>
        <w:rPr>
          <w:rFonts w:hint="default" w:ascii="仿宋_GB2312" w:eastAsia="仿宋_GB2312" w:cs="仿宋_GB2312"/>
          <w:sz w:val="28"/>
          <w:szCs w:val="28"/>
        </w:rPr>
        <w:t>北河资源公司的Namib铅锌矿(NLZM)是一个地下矿，距离斯瓦科普蒙德30公里，距离沃尔维斯湾港口75公里，该矿于1968年至1991年有开采历史。</w:t>
      </w:r>
    </w:p>
    <w:p>
      <w:pPr>
        <w:widowControl/>
        <w:wordWrap w:val="0"/>
        <w:spacing w:after="90" w:line="288" w:lineRule="auto"/>
        <w:ind w:firstLine="480"/>
        <w:jc w:val="left"/>
        <w:rPr>
          <w:rFonts w:hint="default" w:ascii="仿宋_GB2312" w:eastAsia="仿宋_GB2312" w:cs="仿宋_GB2312"/>
          <w:sz w:val="28"/>
          <w:szCs w:val="28"/>
        </w:rPr>
      </w:pPr>
      <w:r>
        <w:rPr>
          <w:rFonts w:hint="default" w:ascii="仿宋_GB2312" w:eastAsia="仿宋_GB2312" w:cs="仿宋_GB2312"/>
          <w:sz w:val="28"/>
          <w:szCs w:val="28"/>
        </w:rPr>
        <w:t>该项目目前JORC资源量为1120000吨，其中地下原岩金属含量为25900吨铅、74200吨锌和6600万盎司白银。</w:t>
      </w:r>
    </w:p>
    <w:p>
      <w:pPr>
        <w:widowControl/>
        <w:wordWrap w:val="0"/>
        <w:spacing w:after="90" w:line="288" w:lineRule="auto"/>
        <w:ind w:firstLine="480"/>
        <w:jc w:val="left"/>
        <w:rPr>
          <w:rFonts w:hint="default" w:ascii="仿宋_GB2312" w:eastAsia="仿宋_GB2312" w:cs="仿宋_GB2312"/>
          <w:sz w:val="28"/>
          <w:szCs w:val="28"/>
        </w:rPr>
      </w:pPr>
      <w:r>
        <w:rPr>
          <w:rFonts w:hint="default" w:ascii="仿宋_GB2312" w:eastAsia="仿宋_GB2312" w:cs="仿宋_GB2312"/>
          <w:sz w:val="28"/>
          <w:szCs w:val="28"/>
        </w:rPr>
        <w:t>据NLZM称，从历史上看，该矿生产了约70万吨矿石，生产了超过10万吨吨铅锌精矿和超过100万盎司白银，以当前商品价格测算并扣除冶炼权益金后的利润超过1亿美元。</w:t>
      </w:r>
    </w:p>
    <w:p>
      <w:pPr>
        <w:widowControl/>
        <w:wordWrap w:val="0"/>
        <w:spacing w:after="90" w:line="288" w:lineRule="auto"/>
        <w:ind w:firstLine="480"/>
        <w:jc w:val="left"/>
        <w:rPr>
          <w:rFonts w:hint="default" w:ascii="仿宋_GB2312" w:eastAsia="仿宋_GB2312" w:cs="仿宋_GB2312"/>
          <w:sz w:val="28"/>
          <w:szCs w:val="28"/>
        </w:rPr>
      </w:pPr>
      <w:r>
        <w:rPr>
          <w:rFonts w:hint="default" w:ascii="仿宋_GB2312" w:eastAsia="仿宋_GB2312" w:cs="仿宋_GB2312"/>
          <w:sz w:val="28"/>
          <w:szCs w:val="28"/>
        </w:rPr>
        <w:t>沙漠雄狮能源公司专注于建设纳米比亚第一座大型锂矿，自20世纪30年代以来一直参与多项相关地质调查和研究，并开发了Rubicon和Helikon矿床，其中包括露天和地下工作。</w:t>
      </w:r>
    </w:p>
    <w:p>
      <w:pPr>
        <w:widowControl/>
        <w:wordWrap w:val="0"/>
        <w:spacing w:after="90" w:line="288" w:lineRule="auto"/>
        <w:ind w:firstLine="480"/>
        <w:jc w:val="left"/>
        <w:rPr>
          <w:rFonts w:hint="default" w:ascii="仿宋_GB2312" w:eastAsia="仿宋_GB2312" w:cs="仿宋_GB2312"/>
          <w:sz w:val="28"/>
          <w:szCs w:val="28"/>
        </w:rPr>
      </w:pPr>
      <w:r>
        <w:rPr>
          <w:rFonts w:hint="default" w:ascii="仿宋_GB2312" w:eastAsia="仿宋_GB2312" w:cs="仿宋_GB2312"/>
          <w:sz w:val="28"/>
          <w:szCs w:val="28"/>
        </w:rPr>
        <w:t>该公司于2017年12月开始从历史库存原料中生产锂精矿。</w:t>
      </w:r>
    </w:p>
    <w:p>
      <w:pPr>
        <w:widowControl/>
        <w:wordWrap w:val="0"/>
        <w:spacing w:after="90" w:line="288" w:lineRule="auto"/>
        <w:ind w:firstLine="480"/>
        <w:jc w:val="left"/>
        <w:rPr>
          <w:rFonts w:hint="default" w:ascii="仿宋_GB2312" w:eastAsia="仿宋_GB2312" w:cs="仿宋_GB2312"/>
          <w:sz w:val="28"/>
          <w:szCs w:val="28"/>
        </w:rPr>
      </w:pPr>
      <w:r>
        <w:rPr>
          <w:rFonts w:hint="default" w:ascii="仿宋_GB2312" w:eastAsia="仿宋_GB2312" w:cs="仿宋_GB2312"/>
          <w:sz w:val="28"/>
          <w:szCs w:val="28"/>
        </w:rPr>
        <w:t>在正式生产之前，沙漠雄狮能源公司的独家勘探许可证中包含约70万吨的尾矿和10万吨的矿粉可供加工利用，公司计划第一阶段进行处理，第一期生产周期为12至18个月。</w:t>
      </w:r>
    </w:p>
    <w:p>
      <w:pPr>
        <w:widowControl/>
        <w:wordWrap w:val="0"/>
        <w:spacing w:after="90" w:line="288" w:lineRule="auto"/>
        <w:ind w:firstLine="480"/>
        <w:jc w:val="left"/>
        <w:rPr>
          <w:rFonts w:hint="default" w:ascii="仿宋_GB2312" w:eastAsia="仿宋_GB2312" w:cs="仿宋_GB2312"/>
          <w:sz w:val="28"/>
          <w:szCs w:val="28"/>
        </w:rPr>
      </w:pPr>
      <w:r>
        <w:rPr>
          <w:rFonts w:hint="default" w:ascii="仿宋_GB2312" w:eastAsia="仿宋_GB2312" w:cs="仿宋_GB2312"/>
          <w:sz w:val="28"/>
          <w:szCs w:val="28"/>
        </w:rPr>
        <w:t>Malango进一步强调了吸引勘探投资的重要性，因为这将增加新勘探发现和新矿山开发的前景。</w:t>
      </w:r>
    </w:p>
    <w:p>
      <w:pPr>
        <w:widowControl/>
        <w:wordWrap w:val="0"/>
        <w:spacing w:after="90" w:line="288" w:lineRule="auto"/>
        <w:ind w:firstLine="480"/>
        <w:jc w:val="left"/>
        <w:rPr>
          <w:rFonts w:hint="default" w:ascii="仿宋_GB2312" w:eastAsia="仿宋_GB2312" w:cs="仿宋_GB2312"/>
          <w:sz w:val="28"/>
          <w:szCs w:val="28"/>
        </w:rPr>
      </w:pPr>
      <w:r>
        <w:rPr>
          <w:rFonts w:hint="default" w:ascii="仿宋_GB2312" w:eastAsia="仿宋_GB2312" w:cs="仿宋_GB2312"/>
          <w:sz w:val="28"/>
          <w:szCs w:val="28"/>
        </w:rPr>
        <w:t>去年钻石和铀是纳米比亚经济的主要推动因素，因为它们的表现优于该国其他所有部门增长率达22%。</w:t>
      </w:r>
    </w:p>
    <w:p>
      <w:pPr>
        <w:widowControl/>
        <w:wordWrap w:val="0"/>
        <w:spacing w:after="90" w:line="288" w:lineRule="auto"/>
        <w:ind w:firstLine="480"/>
        <w:jc w:val="left"/>
        <w:rPr>
          <w:rFonts w:hint="default" w:ascii="仿宋_GB2312" w:eastAsia="仿宋_GB2312" w:cs="仿宋_GB2312"/>
          <w:sz w:val="28"/>
          <w:szCs w:val="28"/>
        </w:rPr>
      </w:pPr>
      <w:r>
        <w:rPr>
          <w:rFonts w:hint="default" w:ascii="仿宋_GB2312" w:eastAsia="仿宋_GB2312" w:cs="仿宋_GB2312"/>
          <w:sz w:val="28"/>
          <w:szCs w:val="28"/>
        </w:rPr>
        <w:t>Malango表示“这些统计数据显示，与2017年相比2018年工业的快速增长主要是钻石和铀的产量增长推动的”。</w:t>
      </w:r>
    </w:p>
    <w:p>
      <w:pPr>
        <w:widowControl/>
        <w:wordWrap w:val="0"/>
        <w:spacing w:after="90" w:line="288" w:lineRule="auto"/>
        <w:ind w:firstLine="480"/>
        <w:jc w:val="left"/>
        <w:rPr>
          <w:rFonts w:hint="default" w:ascii="仿宋_GB2312" w:eastAsia="仿宋_GB2312" w:cs="仿宋_GB2312"/>
          <w:sz w:val="28"/>
          <w:szCs w:val="28"/>
        </w:rPr>
      </w:pPr>
      <w:r>
        <w:rPr>
          <w:rFonts w:hint="default" w:ascii="仿宋_GB2312" w:eastAsia="仿宋_GB2312" w:cs="仿宋_GB2312"/>
          <w:sz w:val="28"/>
          <w:szCs w:val="28"/>
        </w:rPr>
        <w:t>与此同时，Malango公布了第八届纳米比亚矿业博览会和会议的日期。该展览将于5月8日至9日在温得和克展览场举行。纳米比亚矿业博览会和会议将吸纳矿业公司、服务提供商、供应商以及政府组织和其他相关组织参展。</w:t>
      </w:r>
    </w:p>
    <w:p>
      <w:pPr>
        <w:widowControl/>
        <w:jc w:val="left"/>
        <w:outlineLvl w:val="1"/>
        <w:rPr>
          <w:rFonts w:hint="eastAsia" w:ascii="宋体" w:hAnsi="宋体" w:cs="宋体"/>
          <w:b/>
          <w:bCs/>
          <w:kern w:val="0"/>
          <w:sz w:val="30"/>
          <w:szCs w:val="30"/>
          <w:lang w:val="en-US" w:eastAsia="zh-CN"/>
        </w:rPr>
      </w:pPr>
      <w:bookmarkStart w:id="20" w:name="_Toc28229"/>
      <w:r>
        <w:rPr>
          <w:rFonts w:hint="eastAsia" w:ascii="宋体" w:hAnsi="宋体" w:cs="宋体"/>
          <w:b/>
          <w:bCs/>
          <w:kern w:val="0"/>
          <w:sz w:val="30"/>
          <w:szCs w:val="30"/>
          <w:lang w:val="en-US" w:eastAsia="zh-CN"/>
        </w:rPr>
        <w:t>国家发布4项照明行业相关标准，含车用、道路照明等</w:t>
      </w:r>
      <w:bookmarkEnd w:id="20"/>
    </w:p>
    <w:p>
      <w:pPr>
        <w:widowControl/>
        <w:wordWrap w:val="0"/>
        <w:spacing w:after="90" w:line="288" w:lineRule="auto"/>
        <w:ind w:firstLine="480"/>
        <w:jc w:val="left"/>
        <w:rPr>
          <w:rFonts w:hint="default" w:ascii="仿宋_GB2312" w:eastAsia="仿宋_GB2312" w:cs="仿宋_GB2312"/>
          <w:sz w:val="28"/>
          <w:szCs w:val="28"/>
        </w:rPr>
      </w:pPr>
      <w:r>
        <w:rPr>
          <w:rFonts w:hint="default" w:ascii="仿宋_GB2312" w:eastAsia="仿宋_GB2312" w:cs="仿宋_GB2312"/>
          <w:sz w:val="28"/>
          <w:szCs w:val="28"/>
        </w:rPr>
        <w:t>2019年4月4日，国家市场监督管理总局、国家标准化管理委员会批准并发布《机动车昼间行驶灯配光性能》等21项国家标准，其中照明行业相关标准有4项。</w:t>
      </w:r>
    </w:p>
    <w:p>
      <w:pPr>
        <w:widowControl/>
        <w:wordWrap w:val="0"/>
        <w:spacing w:after="90" w:line="288" w:lineRule="auto"/>
        <w:ind w:firstLine="480"/>
        <w:jc w:val="left"/>
        <w:rPr>
          <w:rFonts w:hint="default" w:ascii="仿宋_GB2312" w:eastAsia="仿宋_GB2312" w:cs="仿宋_GB2312"/>
          <w:sz w:val="28"/>
          <w:szCs w:val="28"/>
        </w:rPr>
      </w:pPr>
      <w:r>
        <w:rPr>
          <w:rFonts w:hint="default" w:ascii="仿宋_GB2312" w:eastAsia="仿宋_GB2312" w:cs="仿宋_GB2312"/>
          <w:sz w:val="28"/>
          <w:szCs w:val="28"/>
        </w:rPr>
        <w:t>GB 5920规定了汽车及挂车前位灯、后位灯、示廓灯和制动灯的有关配光性能的技术要求、试验方法和检验规则。</w:t>
      </w:r>
    </w:p>
    <w:p>
      <w:pPr>
        <w:widowControl/>
        <w:wordWrap w:val="0"/>
        <w:spacing w:after="90" w:line="288" w:lineRule="auto"/>
        <w:ind w:firstLine="480"/>
        <w:jc w:val="left"/>
        <w:rPr>
          <w:rFonts w:hint="default" w:ascii="仿宋_GB2312" w:eastAsia="仿宋_GB2312" w:cs="仿宋_GB2312"/>
          <w:sz w:val="28"/>
          <w:szCs w:val="28"/>
        </w:rPr>
      </w:pPr>
      <w:r>
        <w:rPr>
          <w:rFonts w:hint="default" w:ascii="仿宋_GB2312" w:eastAsia="仿宋_GB2312" w:cs="仿宋_GB2312"/>
          <w:sz w:val="28"/>
          <w:szCs w:val="28"/>
        </w:rPr>
        <w:t>GB 23255规定了机动车昼间行驶灯配光性能的技术要求、试验方法和检验规则等，适用于L、M 、N 类汽车使用的各种类型昼间行驶灯。</w:t>
      </w:r>
    </w:p>
    <w:p>
      <w:pPr>
        <w:widowControl/>
        <w:wordWrap w:val="0"/>
        <w:spacing w:after="90" w:line="288" w:lineRule="auto"/>
        <w:ind w:firstLine="480"/>
        <w:jc w:val="left"/>
        <w:rPr>
          <w:rFonts w:hint="default" w:ascii="仿宋_GB2312" w:eastAsia="仿宋_GB2312" w:cs="仿宋_GB2312"/>
          <w:sz w:val="28"/>
          <w:szCs w:val="28"/>
        </w:rPr>
      </w:pPr>
      <w:r>
        <w:rPr>
          <w:rFonts w:hint="default" w:ascii="仿宋_GB2312" w:eastAsia="仿宋_GB2312" w:cs="仿宋_GB2312"/>
          <w:sz w:val="28"/>
          <w:szCs w:val="28"/>
        </w:rPr>
        <w:t>GB 30255规定了室内照明用LED筒灯、定向集成式LED灯、非定向自镇流LED灯的能效等级、能效限定值、试验方法等。</w:t>
      </w:r>
    </w:p>
    <w:p>
      <w:pPr>
        <w:widowControl/>
        <w:wordWrap w:val="0"/>
        <w:spacing w:after="90" w:line="288" w:lineRule="auto"/>
        <w:ind w:firstLine="480"/>
        <w:jc w:val="left"/>
        <w:rPr>
          <w:rFonts w:hint="default" w:ascii="仿宋_GB2312" w:eastAsia="仿宋_GB2312" w:cs="仿宋_GB2312"/>
          <w:sz w:val="28"/>
          <w:szCs w:val="28"/>
        </w:rPr>
      </w:pPr>
      <w:r>
        <w:rPr>
          <w:rFonts w:hint="default" w:ascii="仿宋_GB2312" w:eastAsia="仿宋_GB2312" w:cs="仿宋_GB2312"/>
          <w:sz w:val="28"/>
          <w:szCs w:val="28"/>
        </w:rPr>
        <w:t>GB 37478规定了道路和隧道照明用LED灯具的能效限定值、能效等级和试验方法，适用于额定电压为AC 220 V、频率50 Hz的道路和隧道照明用LED灯具(包括LED光源及其控制装置，不包括可独立安装的互联控制部件或其他与照明无关的功能附件)。</w:t>
      </w:r>
    </w:p>
    <w:p>
      <w:pPr>
        <w:widowControl/>
        <w:jc w:val="left"/>
        <w:outlineLvl w:val="1"/>
        <w:rPr>
          <w:rFonts w:hint="eastAsia" w:ascii="宋体" w:hAnsi="宋体" w:cs="宋体"/>
          <w:b/>
          <w:bCs/>
          <w:kern w:val="0"/>
          <w:sz w:val="30"/>
          <w:szCs w:val="30"/>
          <w:lang w:val="en-US" w:eastAsia="zh-CN"/>
        </w:rPr>
      </w:pPr>
      <w:bookmarkStart w:id="21" w:name="_Toc19788"/>
      <w:r>
        <w:rPr>
          <w:rFonts w:hint="eastAsia" w:ascii="宋体" w:hAnsi="宋体" w:cs="宋体"/>
          <w:b/>
          <w:bCs/>
          <w:kern w:val="0"/>
          <w:sz w:val="30"/>
          <w:szCs w:val="30"/>
          <w:lang w:val="en-US" w:eastAsia="zh-CN"/>
        </w:rPr>
        <w:t>32.8万户潜在市场 西班牙户用光伏预计将强劲增长</w:t>
      </w:r>
      <w:bookmarkEnd w:id="21"/>
    </w:p>
    <w:p>
      <w:pPr>
        <w:widowControl/>
        <w:wordWrap w:val="0"/>
        <w:spacing w:after="90" w:line="288" w:lineRule="auto"/>
        <w:ind w:firstLine="480"/>
        <w:jc w:val="left"/>
        <w:rPr>
          <w:rFonts w:hint="default" w:ascii="仿宋_GB2312" w:eastAsia="仿宋_GB2312" w:cs="仿宋_GB2312"/>
          <w:sz w:val="28"/>
          <w:szCs w:val="28"/>
        </w:rPr>
      </w:pPr>
      <w:r>
        <w:rPr>
          <w:rFonts w:hint="default" w:ascii="仿宋_GB2312" w:eastAsia="仿宋_GB2312" w:cs="仿宋_GB2312"/>
          <w:sz w:val="28"/>
          <w:szCs w:val="28"/>
        </w:rPr>
        <w:t>德国太阳能电池板和储能系统制造商Solarwatt的西班牙分公司，上周提交了首份“西班牙户用光伏自我消费观测站”报告。这一报告是由Análisis e Investigación (Grupo AiE)编制的一份关于西班牙户用光伏市场的完整研究报告。</w:t>
      </w:r>
    </w:p>
    <w:p>
      <w:pPr>
        <w:widowControl/>
        <w:wordWrap w:val="0"/>
        <w:spacing w:after="90" w:line="288" w:lineRule="auto"/>
        <w:ind w:firstLine="480"/>
        <w:jc w:val="left"/>
        <w:rPr>
          <w:rFonts w:hint="default" w:ascii="仿宋_GB2312" w:eastAsia="仿宋_GB2312" w:cs="仿宋_GB2312"/>
          <w:sz w:val="28"/>
          <w:szCs w:val="28"/>
        </w:rPr>
      </w:pPr>
      <w:r>
        <w:rPr>
          <w:rFonts w:hint="default" w:ascii="仿宋_GB2312" w:eastAsia="仿宋_GB2312" w:cs="仿宋_GB2312"/>
          <w:sz w:val="28"/>
          <w:szCs w:val="28"/>
        </w:rPr>
        <w:t>该报告对居住人口超过25,000的城市居民区的各类独户住宅屋主进行约750次的采访。西班牙约有570多万个独户住宅，其中有200万个属于此次研究的对象，覆盖率为住宅自我消费目标人口的70%。</w:t>
      </w:r>
    </w:p>
    <w:p>
      <w:pPr>
        <w:widowControl/>
        <w:wordWrap w:val="0"/>
        <w:spacing w:after="90" w:line="288" w:lineRule="auto"/>
        <w:ind w:firstLine="480"/>
        <w:jc w:val="left"/>
        <w:rPr>
          <w:rFonts w:hint="default" w:ascii="仿宋_GB2312" w:eastAsia="仿宋_GB2312" w:cs="仿宋_GB2312"/>
          <w:sz w:val="28"/>
          <w:szCs w:val="28"/>
        </w:rPr>
      </w:pPr>
      <w:r>
        <w:rPr>
          <w:rFonts w:hint="default" w:ascii="仿宋_GB2312" w:eastAsia="仿宋_GB2312" w:cs="仿宋_GB2312"/>
          <w:sz w:val="28"/>
          <w:szCs w:val="28"/>
        </w:rPr>
        <w:t>调查结果显示，有47.6%的受访者对安装屋顶光伏系统没有兴趣。研究人员认为这其中的部分原因是机构和商业信息的缺失(因为没有人会对不知情的解决方案感兴趣)。同时他们也指出，立法的不稳定性、缺乏参照物、担心过时、以及系统耐久性和安装过程的困难性等，也都是原因之一。</w:t>
      </w:r>
    </w:p>
    <w:p>
      <w:pPr>
        <w:widowControl/>
        <w:wordWrap w:val="0"/>
        <w:spacing w:after="90" w:line="288" w:lineRule="auto"/>
        <w:ind w:firstLine="480"/>
        <w:jc w:val="left"/>
        <w:rPr>
          <w:rFonts w:hint="default" w:ascii="仿宋_GB2312" w:eastAsia="仿宋_GB2312" w:cs="仿宋_GB2312"/>
          <w:sz w:val="28"/>
          <w:szCs w:val="28"/>
        </w:rPr>
      </w:pPr>
      <w:r>
        <w:rPr>
          <w:rFonts w:hint="default" w:ascii="仿宋_GB2312" w:eastAsia="仿宋_GB2312" w:cs="仿宋_GB2312"/>
          <w:sz w:val="28"/>
          <w:szCs w:val="28"/>
        </w:rPr>
        <w:t>研究人员认为，如果希望说服那些不感兴趣的人群，提高他们对光伏能源的认知十分重要。因为这些人可能对此持批判观点，特别是在电力自产自用方面存在偏见。</w:t>
      </w:r>
    </w:p>
    <w:p>
      <w:pPr>
        <w:widowControl/>
        <w:wordWrap w:val="0"/>
        <w:spacing w:after="90" w:line="288" w:lineRule="auto"/>
        <w:ind w:firstLine="480"/>
        <w:jc w:val="left"/>
        <w:rPr>
          <w:rFonts w:hint="default" w:ascii="仿宋_GB2312" w:eastAsia="仿宋_GB2312" w:cs="仿宋_GB2312"/>
          <w:sz w:val="28"/>
          <w:szCs w:val="28"/>
        </w:rPr>
      </w:pPr>
      <w:r>
        <w:rPr>
          <w:rFonts w:hint="default" w:ascii="仿宋_GB2312" w:eastAsia="仿宋_GB2312" w:cs="仿宋_GB2312"/>
          <w:sz w:val="28"/>
          <w:szCs w:val="28"/>
        </w:rPr>
        <w:t>Grupo AiE 认为，“所有这些挑战和恐惧都可以通过沟通和教育来克服”。未来部署的主要挑战是经济方面的，因为人们认为光伏系统的价格仍然过高。</w:t>
      </w:r>
    </w:p>
    <w:p>
      <w:pPr>
        <w:widowControl/>
        <w:wordWrap w:val="0"/>
        <w:spacing w:after="90" w:line="288" w:lineRule="auto"/>
        <w:ind w:firstLine="480"/>
        <w:jc w:val="left"/>
        <w:rPr>
          <w:rFonts w:hint="default" w:ascii="仿宋_GB2312" w:eastAsia="仿宋_GB2312" w:cs="仿宋_GB2312"/>
          <w:sz w:val="28"/>
          <w:szCs w:val="28"/>
        </w:rPr>
      </w:pPr>
      <w:r>
        <w:rPr>
          <w:rFonts w:hint="default" w:ascii="仿宋_GB2312" w:eastAsia="仿宋_GB2312" w:cs="仿宋_GB2312"/>
          <w:sz w:val="28"/>
          <w:szCs w:val="28"/>
        </w:rPr>
        <w:t>然而，也有27%的受访者受到节约电费和环保意识的推动，表示愿意增加一些支出，以帮助遏制气候变化。有16.4%的受访者表示，他们将在短期或中期评估自我消耗系统的安装情况，而23.7%的受访者表示将在短期内安装系统。由此预计。西班牙未来三年内约有32.8万独户住宅可能安装自我消耗系统。</w:t>
      </w:r>
    </w:p>
    <w:p>
      <w:pPr>
        <w:widowControl/>
        <w:wordWrap w:val="0"/>
        <w:spacing w:after="90" w:line="288" w:lineRule="auto"/>
        <w:ind w:firstLine="480"/>
        <w:jc w:val="left"/>
        <w:rPr>
          <w:rFonts w:hint="default" w:ascii="仿宋_GB2312" w:eastAsia="仿宋_GB2312" w:cs="仿宋_GB2312"/>
          <w:sz w:val="28"/>
          <w:szCs w:val="28"/>
        </w:rPr>
      </w:pPr>
      <w:r>
        <w:rPr>
          <w:rFonts w:hint="default" w:ascii="仿宋_GB2312" w:eastAsia="仿宋_GB2312" w:cs="仿宋_GB2312"/>
          <w:sz w:val="28"/>
          <w:szCs w:val="28"/>
        </w:rPr>
        <w:t>这些潜在产消商可以安装约1.5吉瓦的容量，并贡献3亿欧元的GDP。据估计它能带来约8,000个新的专业工作岗位：如工程人员、电工、安装工、辅助工业人员、维护或商务人员等。</w:t>
      </w:r>
    </w:p>
    <w:p>
      <w:pPr>
        <w:widowControl/>
        <w:wordWrap w:val="0"/>
        <w:spacing w:after="90" w:line="288" w:lineRule="auto"/>
        <w:ind w:firstLine="480"/>
        <w:jc w:val="left"/>
        <w:rPr>
          <w:rFonts w:hint="default" w:ascii="仿宋_GB2312" w:eastAsia="仿宋_GB2312" w:cs="仿宋_GB2312"/>
          <w:sz w:val="28"/>
          <w:szCs w:val="28"/>
        </w:rPr>
      </w:pPr>
      <w:r>
        <w:rPr>
          <w:rFonts w:hint="default" w:ascii="仿宋_GB2312" w:eastAsia="仿宋_GB2312" w:cs="仿宋_GB2312"/>
          <w:sz w:val="28"/>
          <w:szCs w:val="28"/>
        </w:rPr>
        <w:t>据估计，西班牙目前约有10,000个住宅自我消耗设施，而德国有160万个，英国有80万个。</w:t>
      </w:r>
    </w:p>
    <w:p>
      <w:pPr>
        <w:widowControl/>
        <w:jc w:val="left"/>
        <w:outlineLvl w:val="1"/>
        <w:rPr>
          <w:rFonts w:hint="eastAsia" w:ascii="宋体" w:hAnsi="宋体" w:cs="宋体"/>
          <w:b/>
          <w:bCs/>
          <w:kern w:val="0"/>
          <w:sz w:val="30"/>
          <w:szCs w:val="30"/>
          <w:lang w:val="en-US" w:eastAsia="zh-CN"/>
        </w:rPr>
      </w:pPr>
      <w:bookmarkStart w:id="22" w:name="_Toc10773"/>
      <w:r>
        <w:rPr>
          <w:rFonts w:hint="eastAsia" w:ascii="宋体" w:hAnsi="宋体" w:cs="宋体"/>
          <w:b/>
          <w:bCs/>
          <w:kern w:val="0"/>
          <w:sz w:val="30"/>
          <w:szCs w:val="30"/>
          <w:lang w:val="en-US" w:eastAsia="zh-CN"/>
        </w:rPr>
        <w:t>关西涂料开发在涂层上的太阳能电池</w:t>
      </w:r>
      <w:bookmarkEnd w:id="22"/>
    </w:p>
    <w:p>
      <w:pPr>
        <w:widowControl/>
        <w:wordWrap w:val="0"/>
        <w:spacing w:after="90" w:line="288" w:lineRule="auto"/>
        <w:ind w:firstLine="480"/>
        <w:jc w:val="left"/>
        <w:rPr>
          <w:rFonts w:hint="default" w:ascii="仿宋_GB2312" w:eastAsia="仿宋_GB2312" w:cs="仿宋_GB2312"/>
          <w:sz w:val="28"/>
          <w:szCs w:val="28"/>
        </w:rPr>
      </w:pPr>
      <w:r>
        <w:rPr>
          <w:rFonts w:hint="default" w:ascii="仿宋_GB2312" w:eastAsia="仿宋_GB2312" w:cs="仿宋_GB2312"/>
          <w:sz w:val="28"/>
          <w:szCs w:val="28"/>
        </w:rPr>
        <w:t>近期美、日均在开发无V.AJ而含Nb更高，且弹性模量更低的合金，例如凌国研制了Ti-35.3Nb-5.1Ta-7.1Zr合金，日本研制出了Ti-29Nb-13Ta-4.6Zr合金等。由于这些合金中组成元素均无毒性，故其生物相容性较好当前，合金材料的研究逐渐开始集中于合金的表面处理上。比如为提高疲劳性能，最近日本正在研制添加微量氧、氮进行间隙式固溶强化的丁115Zr-4Ta-4Nb-0.2Pa-0.20―0.05N与Ti-15Sn-4Nb-2Ta-.2Pa-0.050-0.004N等合金。目前处理技术主要为钛合金表面的离子氮化和氧扩渗处理、金属假体表面生物陶瓷涂层的表面处理等几方面。合金经固溶处理和低温人工时效处理后，具有人工关节材料最佳的疲劳性能。但作为植入材料的钛合金，在生物体内的耐磨性较之钻基合金差，因此，人们正在研究钛合金的表面离子氮化等一系列表面改性技术。</w:t>
      </w:r>
    </w:p>
    <w:p>
      <w:pPr>
        <w:widowControl/>
        <w:wordWrap w:val="0"/>
        <w:spacing w:after="90" w:line="288" w:lineRule="auto"/>
        <w:ind w:firstLine="480"/>
        <w:jc w:val="left"/>
        <w:rPr>
          <w:rFonts w:hint="default" w:ascii="仿宋_GB2312" w:eastAsia="仿宋_GB2312" w:cs="仿宋_GB2312"/>
          <w:sz w:val="28"/>
          <w:szCs w:val="28"/>
        </w:rPr>
      </w:pPr>
      <w:r>
        <w:rPr>
          <w:rFonts w:hint="default" w:ascii="仿宋_GB2312" w:eastAsia="仿宋_GB2312" w:cs="仿宋_GB2312"/>
          <w:sz w:val="28"/>
          <w:szCs w:val="28"/>
        </w:rPr>
        <w:t>陶瓷村料为了改变以往陶瓷材料存在的韧性低、脆性大，弹性模量大等缺点，近年来，国内外有关学者开展了大量A1203陶瓷增韧的研究工作，如利用Zr2相变增韧或微裂纹增初等，取得了显著效果。但是，目前陶瓷全髋关节尚未广泛应用，主要原因是陶瓷人工关节的加工难度大，且植入人体后，克服其脆性及在生理环境下的疲劳破坏仍有待进一步研究。同时，以HA陶瓷为基的复合材料及其作为人工关节表面涂层材料也受到了极大关注与发展。</w:t>
      </w:r>
    </w:p>
    <w:p>
      <w:pPr>
        <w:widowControl/>
        <w:wordWrap w:val="0"/>
        <w:spacing w:after="90" w:line="288" w:lineRule="auto"/>
        <w:ind w:firstLine="480"/>
        <w:jc w:val="left"/>
        <w:rPr>
          <w:rFonts w:hint="default" w:ascii="仿宋_GB2312" w:eastAsia="仿宋_GB2312" w:cs="仿宋_GB2312"/>
          <w:sz w:val="28"/>
          <w:szCs w:val="28"/>
        </w:rPr>
      </w:pPr>
      <w:r>
        <w:rPr>
          <w:rFonts w:hint="default" w:ascii="仿宋_GB2312" w:eastAsia="仿宋_GB2312" w:cs="仿宋_GB2312"/>
          <w:sz w:val="28"/>
          <w:szCs w:val="28"/>
        </w:rPr>
        <w:t>高分子材料目前主要还是使用超高分子聚乙烯或尼龙1010等材料为基体。但是目前暂时没有大的突破2随着工业水平的发展，我国在30年内开展了人工关节的研制及各种类型的人工关节的应用，逐步跟上了世界人工关节的发展。但目前与国际水平还存在一定差距。上述的三种制作人工关节的主流材料中，我国均有研究。从70祀工柳秽年代起，随着我国工业的发展及生物材料及生物力学水平的提高，在上海、北京等地开始应用以钬或铬相合金为主的内锁型人工股骨头关节。随着国产骨水泥的出现，在国内开始研制出人工全髋关节。现在也有使用超高分子量聚乙烯等材料的临床病例。</w:t>
      </w:r>
    </w:p>
    <w:p>
      <w:pPr>
        <w:widowControl/>
        <w:wordWrap w:val="0"/>
        <w:spacing w:after="90" w:line="288" w:lineRule="auto"/>
        <w:ind w:firstLine="480"/>
        <w:jc w:val="left"/>
        <w:rPr>
          <w:rFonts w:hint="default" w:ascii="仿宋_GB2312" w:eastAsia="仿宋_GB2312" w:cs="仿宋_GB2312"/>
          <w:sz w:val="28"/>
          <w:szCs w:val="28"/>
        </w:rPr>
      </w:pPr>
      <w:r>
        <w:rPr>
          <w:rFonts w:hint="default" w:ascii="仿宋_GB2312" w:eastAsia="仿宋_GB2312" w:cs="仿宋_GB2312"/>
          <w:sz w:val="28"/>
          <w:szCs w:val="28"/>
        </w:rPr>
        <w:t>3.前景展望未来对人工关节的研究方向不仅要克服前面所述的各种现有材料的缺点，同时，分子生物学技术从分子水平上研究生物材料对机体基因结构、转录和翻译的研究。在分子水平上建立评价生物材料生物相容性标准是未来人工关节材料又一重要的研究方向与发展趋势3随着社会、科技与医学的发展，人工关节的需求量将越来越大，因此人工关节课题的研究，既有深远的社会背景，同时也有着巨大的应用市场和现实意义。人工关节材料的研究和应用已取得很多成果，未来新型生物材料的研究越来越受到世界各国的重视。相信随着高技术经济的发展，一定会有更理想、安全、长寿并具有人体生命活力的新一代人工关节问世。</w:t>
      </w:r>
    </w:p>
    <w:p>
      <w:pPr>
        <w:widowControl/>
        <w:wordWrap w:val="0"/>
        <w:spacing w:after="90" w:line="288" w:lineRule="auto"/>
        <w:ind w:firstLine="480"/>
        <w:jc w:val="left"/>
        <w:rPr>
          <w:rFonts w:hint="default" w:ascii="仿宋_GB2312" w:eastAsia="仿宋_GB2312" w:cs="仿宋_GB2312"/>
          <w:sz w:val="28"/>
          <w:szCs w:val="28"/>
        </w:rPr>
      </w:pPr>
      <w:r>
        <w:rPr>
          <w:rFonts w:hint="default" w:ascii="仿宋_GB2312" w:eastAsia="仿宋_GB2312" w:cs="仿宋_GB2312"/>
          <w:sz w:val="28"/>
          <w:szCs w:val="28"/>
        </w:rPr>
        <w:t>现代生物技术在洗涤刑包装中的应用未来洗涤剂包装应用生物技术将出现以下趋势：生物技术用于特殊功能的包装材料，如在包装纸、包装膜中加入生物酶，制造一种有利于延长含酶洗涂剂使用寿命的环境，同时也使人体免受刺激;用生物技术改造洗涤剂包装，其结果是必然有新的理论出现。这些理论还需进一步研究和深化，使其在新理论的发展中得到更先进、更尖端的生物'包装技术，不言而喻，洗涤剂包装在现代生物技术的推动下必将取得相关行业长足的进步;由于生物酶工程作为生物技术在洗涤剂包装的应用中具有优越的性能，因此它将在洗涤剂包装领域中发挥先驱性的作用。</w:t>
      </w:r>
    </w:p>
    <w:p>
      <w:pPr>
        <w:widowControl/>
        <w:wordWrap w:val="0"/>
        <w:spacing w:after="90" w:line="288" w:lineRule="auto"/>
        <w:ind w:firstLine="480"/>
        <w:jc w:val="left"/>
        <w:rPr>
          <w:rFonts w:hint="default" w:ascii="仿宋_GB2312" w:eastAsia="仿宋_GB2312" w:cs="仿宋_GB2312"/>
          <w:sz w:val="28"/>
          <w:szCs w:val="28"/>
        </w:rPr>
      </w:pPr>
      <w:r>
        <w:rPr>
          <w:rFonts w:hint="default" w:ascii="仿宋_GB2312" w:eastAsia="仿宋_GB2312" w:cs="仿宋_GB2312"/>
          <w:sz w:val="28"/>
          <w:szCs w:val="28"/>
        </w:rPr>
        <w:t>珥本开发提取花色素工艺日本成功从葡萄籽中提取出生理功能物质——花色素。这项实验是将葡萄种子用水、乙醇浸泡，固液分离得到提取液，经一次农缩工程、精制工程、二次农缩工程、粉末化工程而成=该物质有很强的抗氧化作用，能高效捕捉导致人体衰老、心血管病和癌症的亲水自由基，同时还有抑制胆固醇吸收和动脉硬化、保护胃黏膜、阻止酪氨酸酶活性、抑制黑色素产生及抑制由紫外线引起色素沉淀的作用。</w:t>
      </w:r>
    </w:p>
    <w:p>
      <w:pPr>
        <w:widowControl/>
        <w:wordWrap w:val="0"/>
        <w:spacing w:after="90" w:line="288" w:lineRule="auto"/>
        <w:ind w:firstLine="480"/>
        <w:jc w:val="left"/>
        <w:rPr>
          <w:rFonts w:hint="default" w:ascii="仿宋_GB2312" w:eastAsia="仿宋_GB2312" w:cs="仿宋_GB2312"/>
          <w:sz w:val="28"/>
          <w:szCs w:val="28"/>
        </w:rPr>
      </w:pPr>
      <w:r>
        <w:rPr>
          <w:rFonts w:hint="default" w:ascii="仿宋_GB2312" w:eastAsia="仿宋_GB2312" w:cs="仿宋_GB2312"/>
          <w:sz w:val="28"/>
          <w:szCs w:val="28"/>
        </w:rPr>
        <w:t>葡萄籽花色素产品有许多优良性能，易溶于水，在酸性、中性环境中都有效果，且耐热性强、对光氧化有强抑制作用，是天然安全的功能性食品材料，也可用于增白化妆品制造。在日本该产品已投入生产D关西涂料开发在涂屋上的太阳能电池3月31日，关西涂料公司和东北(曰衣〉大学高新材料研究所声称他们已经成功开发了基于薄膜上的太阳能电池。该技术首先在导电涂层上喷涂一层精炼的二氧化钛，然后微波辐射固化。采用这种工艺生产的太阳能电池成本更低。</w:t>
      </w:r>
    </w:p>
    <w:p>
      <w:pPr>
        <w:widowControl/>
        <w:wordWrap w:val="0"/>
        <w:spacing w:after="90" w:line="288" w:lineRule="auto"/>
        <w:ind w:firstLine="480"/>
        <w:jc w:val="left"/>
        <w:rPr>
          <w:rFonts w:hint="default" w:ascii="仿宋_GB2312" w:eastAsia="仿宋_GB2312" w:cs="仿宋_GB2312"/>
          <w:sz w:val="28"/>
          <w:szCs w:val="28"/>
        </w:rPr>
      </w:pPr>
      <w:r>
        <w:rPr>
          <w:rFonts w:hint="default" w:ascii="仿宋_GB2312" w:eastAsia="仿宋_GB2312" w:cs="仿宋_GB2312"/>
          <w:sz w:val="28"/>
          <w:szCs w:val="28"/>
        </w:rPr>
        <w:t>传统产品因为板状结构不能用在卷曲的表面，然而，新型的电池柔性相当好，可用在一些要求一定的弯曲的场所，如自行车和建筑物的外墙。但新型太阳能电池的缺点是它光能转化率低。关西涂料的一负责人称将继续完善该技术并尽早商业化。</w:t>
      </w:r>
    </w:p>
    <w:p>
      <w:pPr>
        <w:widowControl/>
        <w:wordWrap w:val="0"/>
        <w:spacing w:after="90" w:line="288" w:lineRule="auto"/>
        <w:ind w:firstLine="480"/>
        <w:jc w:val="left"/>
        <w:rPr>
          <w:rFonts w:hint="default" w:ascii="仿宋_GB2312" w:eastAsia="仿宋_GB2312" w:cs="仿宋_GB2312"/>
          <w:sz w:val="28"/>
          <w:szCs w:val="28"/>
        </w:rPr>
      </w:pPr>
    </w:p>
    <w:sectPr>
      <w:headerReference r:id="rId3" w:type="default"/>
      <w:footerReference r:id="rId4" w:type="default"/>
      <w:pgSz w:w="11906" w:h="16838"/>
      <w:pgMar w:top="1418" w:right="1701" w:bottom="1418" w:left="1701"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Verdana">
    <w:panose1 w:val="020B0604030504040204"/>
    <w:charset w:val="00"/>
    <w:family w:val="swiss"/>
    <w:pitch w:val="default"/>
    <w:sig w:usb0="00000287"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cs="Times New Roman"/>
      </w:rPr>
    </w:pPr>
    <w:r>
      <w:rPr>
        <w:b/>
        <w:bCs/>
      </w:rPr>
      <w:fldChar w:fldCharType="begin"/>
    </w:r>
    <w:r>
      <w:rPr>
        <w:b/>
        <w:bCs/>
      </w:rPr>
      <w:instrText xml:space="preserve">PAGE</w:instrText>
    </w:r>
    <w:r>
      <w:rPr>
        <w:b/>
        <w:bCs/>
      </w:rPr>
      <w:fldChar w:fldCharType="separate"/>
    </w:r>
    <w:r>
      <w:rPr>
        <w:b/>
        <w:bCs/>
      </w:rPr>
      <w:t>5</w:t>
    </w:r>
    <w:r>
      <w:rPr>
        <w:b/>
        <w:bCs/>
      </w:rPr>
      <w:fldChar w:fldCharType="end"/>
    </w:r>
    <w:r>
      <w:rPr>
        <w:lang w:val="zh-CN"/>
      </w:rPr>
      <w:t xml:space="preserve"> / </w:t>
    </w:r>
    <w:r>
      <w:rPr>
        <w:b/>
        <w:bCs/>
      </w:rPr>
      <w:fldChar w:fldCharType="begin"/>
    </w:r>
    <w:r>
      <w:rPr>
        <w:b/>
        <w:bCs/>
      </w:rPr>
      <w:instrText xml:space="preserve">NUMPAGES</w:instrText>
    </w:r>
    <w:r>
      <w:rPr>
        <w:b/>
        <w:bCs/>
      </w:rPr>
      <w:fldChar w:fldCharType="separate"/>
    </w:r>
    <w:r>
      <w:rPr>
        <w:b/>
        <w:bCs/>
      </w:rPr>
      <w:t>43</w:t>
    </w:r>
    <w:r>
      <w:rPr>
        <w:b/>
        <w:bCs/>
      </w:rPr>
      <w:fldChar w:fldCharType="end"/>
    </w:r>
  </w:p>
  <w:p>
    <w:pPr>
      <w:pStyle w:val="13"/>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jc w:val="both"/>
      <w:rPr>
        <w:rFonts w:cs="Times New Roman"/>
      </w:rPr>
    </w:pPr>
    <w:r>
      <w:pict>
        <v:shape id="图片 7" o:spid="_x0000_s2049" o:spt="75" alt="内页.jpg" type="#_x0000_t75" style="position:absolute;left:0pt;margin-left:-84.55pt;margin-top:-43.3pt;height:842.25pt;width:594.6pt;z-index:-251656192;mso-width-relative:page;mso-height-relative:page;" filled="f" o:preferrelative="t" stroked="f" coordsize="21600,21600">
          <v:path/>
          <v:fill on="f" focussize="0,0"/>
          <v:stroke on="f" joinstyle="miter"/>
          <v:imagedata r:id="rId1" o:title=""/>
          <o:lock v:ext="edit" aspectratio="t"/>
        </v:shape>
      </w:pict>
    </w:r>
  </w:p>
  <w:p>
    <w:pPr>
      <w:pStyle w:val="14"/>
      <w:pBdr>
        <w:bottom w:val="none" w:color="auto" w:sz="0" w:space="0"/>
      </w:pBdr>
      <w:rPr>
        <w:rFonts w:cs="Times New Roman"/>
      </w:rPr>
    </w:pPr>
  </w:p>
  <w:p>
    <w:pPr>
      <w:pStyle w:val="14"/>
      <w:pBdr>
        <w:bottom w:val="none" w:color="auto" w:sz="0" w:space="0"/>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C91833"/>
    <w:multiLevelType w:val="singleLevel"/>
    <w:tmpl w:val="E2C91833"/>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3C8"/>
    <w:rsid w:val="0000164D"/>
    <w:rsid w:val="000023DE"/>
    <w:rsid w:val="00002929"/>
    <w:rsid w:val="00005671"/>
    <w:rsid w:val="00006A3F"/>
    <w:rsid w:val="000072C7"/>
    <w:rsid w:val="0000785A"/>
    <w:rsid w:val="00010390"/>
    <w:rsid w:val="00010683"/>
    <w:rsid w:val="00011A1B"/>
    <w:rsid w:val="00012EC2"/>
    <w:rsid w:val="000145BC"/>
    <w:rsid w:val="00014B6A"/>
    <w:rsid w:val="00014D50"/>
    <w:rsid w:val="000150E9"/>
    <w:rsid w:val="00017663"/>
    <w:rsid w:val="000235A8"/>
    <w:rsid w:val="00030460"/>
    <w:rsid w:val="000310B6"/>
    <w:rsid w:val="00031306"/>
    <w:rsid w:val="0003248E"/>
    <w:rsid w:val="00032629"/>
    <w:rsid w:val="0003276C"/>
    <w:rsid w:val="0003297B"/>
    <w:rsid w:val="00033FBD"/>
    <w:rsid w:val="0003445A"/>
    <w:rsid w:val="00034F78"/>
    <w:rsid w:val="00036352"/>
    <w:rsid w:val="00037B9C"/>
    <w:rsid w:val="000410A2"/>
    <w:rsid w:val="00041B6C"/>
    <w:rsid w:val="00041DB8"/>
    <w:rsid w:val="000420B4"/>
    <w:rsid w:val="00042B27"/>
    <w:rsid w:val="00042FFB"/>
    <w:rsid w:val="00043595"/>
    <w:rsid w:val="00043D9B"/>
    <w:rsid w:val="0004411B"/>
    <w:rsid w:val="00044BF8"/>
    <w:rsid w:val="00045414"/>
    <w:rsid w:val="00046255"/>
    <w:rsid w:val="00047438"/>
    <w:rsid w:val="000532C5"/>
    <w:rsid w:val="00054E7E"/>
    <w:rsid w:val="0005569C"/>
    <w:rsid w:val="000556F3"/>
    <w:rsid w:val="00057482"/>
    <w:rsid w:val="0005749A"/>
    <w:rsid w:val="00060FCE"/>
    <w:rsid w:val="00062564"/>
    <w:rsid w:val="00063006"/>
    <w:rsid w:val="000639E0"/>
    <w:rsid w:val="00066AF7"/>
    <w:rsid w:val="00067072"/>
    <w:rsid w:val="00070B0E"/>
    <w:rsid w:val="0007291D"/>
    <w:rsid w:val="0007623B"/>
    <w:rsid w:val="00081704"/>
    <w:rsid w:val="00082494"/>
    <w:rsid w:val="0008358B"/>
    <w:rsid w:val="0008392C"/>
    <w:rsid w:val="00083F35"/>
    <w:rsid w:val="000855D6"/>
    <w:rsid w:val="00085917"/>
    <w:rsid w:val="00090CF0"/>
    <w:rsid w:val="00090D4A"/>
    <w:rsid w:val="00092293"/>
    <w:rsid w:val="00094A4C"/>
    <w:rsid w:val="00096020"/>
    <w:rsid w:val="00096A95"/>
    <w:rsid w:val="00097F69"/>
    <w:rsid w:val="000A2C7F"/>
    <w:rsid w:val="000A332A"/>
    <w:rsid w:val="000A3424"/>
    <w:rsid w:val="000A456A"/>
    <w:rsid w:val="000A4E2A"/>
    <w:rsid w:val="000B1AA8"/>
    <w:rsid w:val="000B38B5"/>
    <w:rsid w:val="000B4231"/>
    <w:rsid w:val="000B5856"/>
    <w:rsid w:val="000B6672"/>
    <w:rsid w:val="000B7055"/>
    <w:rsid w:val="000B72A8"/>
    <w:rsid w:val="000B7699"/>
    <w:rsid w:val="000B7F4B"/>
    <w:rsid w:val="000C10EA"/>
    <w:rsid w:val="000C1646"/>
    <w:rsid w:val="000C268D"/>
    <w:rsid w:val="000C3548"/>
    <w:rsid w:val="000C3B3F"/>
    <w:rsid w:val="000C3E03"/>
    <w:rsid w:val="000C419D"/>
    <w:rsid w:val="000C7CAB"/>
    <w:rsid w:val="000D0159"/>
    <w:rsid w:val="000D08F1"/>
    <w:rsid w:val="000D13E7"/>
    <w:rsid w:val="000D1522"/>
    <w:rsid w:val="000D1EAE"/>
    <w:rsid w:val="000D250F"/>
    <w:rsid w:val="000D476D"/>
    <w:rsid w:val="000D5396"/>
    <w:rsid w:val="000D68C1"/>
    <w:rsid w:val="000D6D53"/>
    <w:rsid w:val="000D7735"/>
    <w:rsid w:val="000E04F3"/>
    <w:rsid w:val="000E19A5"/>
    <w:rsid w:val="000E63DD"/>
    <w:rsid w:val="000E684D"/>
    <w:rsid w:val="000E6FDC"/>
    <w:rsid w:val="000F1AAE"/>
    <w:rsid w:val="000F1D47"/>
    <w:rsid w:val="000F2383"/>
    <w:rsid w:val="000F350C"/>
    <w:rsid w:val="000F39E9"/>
    <w:rsid w:val="000F4766"/>
    <w:rsid w:val="000F5073"/>
    <w:rsid w:val="000F6D3C"/>
    <w:rsid w:val="000F77DF"/>
    <w:rsid w:val="001002DC"/>
    <w:rsid w:val="00100CDC"/>
    <w:rsid w:val="00101AAD"/>
    <w:rsid w:val="0010286F"/>
    <w:rsid w:val="00102BD0"/>
    <w:rsid w:val="00103274"/>
    <w:rsid w:val="00103654"/>
    <w:rsid w:val="00103BC8"/>
    <w:rsid w:val="001059FB"/>
    <w:rsid w:val="0010737C"/>
    <w:rsid w:val="00107905"/>
    <w:rsid w:val="00110161"/>
    <w:rsid w:val="00110AB6"/>
    <w:rsid w:val="001126D4"/>
    <w:rsid w:val="00113534"/>
    <w:rsid w:val="0011357F"/>
    <w:rsid w:val="00115129"/>
    <w:rsid w:val="00115C98"/>
    <w:rsid w:val="001175FC"/>
    <w:rsid w:val="0012059B"/>
    <w:rsid w:val="00121020"/>
    <w:rsid w:val="00122983"/>
    <w:rsid w:val="00122E33"/>
    <w:rsid w:val="00124BF3"/>
    <w:rsid w:val="00125046"/>
    <w:rsid w:val="00125E71"/>
    <w:rsid w:val="00126A57"/>
    <w:rsid w:val="00126B61"/>
    <w:rsid w:val="00126EE1"/>
    <w:rsid w:val="00127433"/>
    <w:rsid w:val="00130300"/>
    <w:rsid w:val="00130EEF"/>
    <w:rsid w:val="00131120"/>
    <w:rsid w:val="00135E23"/>
    <w:rsid w:val="001405D5"/>
    <w:rsid w:val="00140CB9"/>
    <w:rsid w:val="00142A3D"/>
    <w:rsid w:val="00143B25"/>
    <w:rsid w:val="00145BEC"/>
    <w:rsid w:val="00146750"/>
    <w:rsid w:val="0014733D"/>
    <w:rsid w:val="00150FB0"/>
    <w:rsid w:val="001554BA"/>
    <w:rsid w:val="001556C0"/>
    <w:rsid w:val="00161AB7"/>
    <w:rsid w:val="00165D9C"/>
    <w:rsid w:val="00166319"/>
    <w:rsid w:val="00167A49"/>
    <w:rsid w:val="001716CE"/>
    <w:rsid w:val="00171E56"/>
    <w:rsid w:val="001721CD"/>
    <w:rsid w:val="00172511"/>
    <w:rsid w:val="00174241"/>
    <w:rsid w:val="00174588"/>
    <w:rsid w:val="001802AB"/>
    <w:rsid w:val="0018060F"/>
    <w:rsid w:val="00180CCE"/>
    <w:rsid w:val="00182277"/>
    <w:rsid w:val="00182F87"/>
    <w:rsid w:val="001846B4"/>
    <w:rsid w:val="001852F4"/>
    <w:rsid w:val="00185F90"/>
    <w:rsid w:val="00186B3A"/>
    <w:rsid w:val="001903B4"/>
    <w:rsid w:val="00190682"/>
    <w:rsid w:val="0019346C"/>
    <w:rsid w:val="00193980"/>
    <w:rsid w:val="00196875"/>
    <w:rsid w:val="00197134"/>
    <w:rsid w:val="001A6042"/>
    <w:rsid w:val="001B028D"/>
    <w:rsid w:val="001B138B"/>
    <w:rsid w:val="001B14BE"/>
    <w:rsid w:val="001B1C5D"/>
    <w:rsid w:val="001B1D12"/>
    <w:rsid w:val="001B5168"/>
    <w:rsid w:val="001B6F3F"/>
    <w:rsid w:val="001B7D09"/>
    <w:rsid w:val="001C15D8"/>
    <w:rsid w:val="001C20CD"/>
    <w:rsid w:val="001D3943"/>
    <w:rsid w:val="001D4D1D"/>
    <w:rsid w:val="001D60C6"/>
    <w:rsid w:val="001E06DC"/>
    <w:rsid w:val="001E1BFC"/>
    <w:rsid w:val="001E1C2E"/>
    <w:rsid w:val="001E2609"/>
    <w:rsid w:val="001E3A10"/>
    <w:rsid w:val="001E512C"/>
    <w:rsid w:val="001E6668"/>
    <w:rsid w:val="001F58D4"/>
    <w:rsid w:val="001F61F9"/>
    <w:rsid w:val="001F6F0D"/>
    <w:rsid w:val="001F71C1"/>
    <w:rsid w:val="002006C0"/>
    <w:rsid w:val="00201E3A"/>
    <w:rsid w:val="00201F8A"/>
    <w:rsid w:val="00204E9F"/>
    <w:rsid w:val="00206C07"/>
    <w:rsid w:val="002151B0"/>
    <w:rsid w:val="00215BBF"/>
    <w:rsid w:val="00216F82"/>
    <w:rsid w:val="002177E6"/>
    <w:rsid w:val="00221C2A"/>
    <w:rsid w:val="00223800"/>
    <w:rsid w:val="00223BE2"/>
    <w:rsid w:val="00225A7B"/>
    <w:rsid w:val="00225EE0"/>
    <w:rsid w:val="00227A47"/>
    <w:rsid w:val="00227E52"/>
    <w:rsid w:val="00234285"/>
    <w:rsid w:val="00234AA3"/>
    <w:rsid w:val="00234E8B"/>
    <w:rsid w:val="00235EF1"/>
    <w:rsid w:val="00237572"/>
    <w:rsid w:val="002404AF"/>
    <w:rsid w:val="002421B0"/>
    <w:rsid w:val="002436EB"/>
    <w:rsid w:val="002441BB"/>
    <w:rsid w:val="0024492A"/>
    <w:rsid w:val="00246E47"/>
    <w:rsid w:val="0024750A"/>
    <w:rsid w:val="00250E9E"/>
    <w:rsid w:val="0025303B"/>
    <w:rsid w:val="00253DAC"/>
    <w:rsid w:val="00254DA9"/>
    <w:rsid w:val="0025713E"/>
    <w:rsid w:val="00257554"/>
    <w:rsid w:val="0025799A"/>
    <w:rsid w:val="00257EB1"/>
    <w:rsid w:val="002601A7"/>
    <w:rsid w:val="002621B3"/>
    <w:rsid w:val="00262686"/>
    <w:rsid w:val="00262B33"/>
    <w:rsid w:val="00263BD6"/>
    <w:rsid w:val="00263C9F"/>
    <w:rsid w:val="002643DC"/>
    <w:rsid w:val="00264953"/>
    <w:rsid w:val="002670ED"/>
    <w:rsid w:val="00270F0C"/>
    <w:rsid w:val="00271D34"/>
    <w:rsid w:val="00272695"/>
    <w:rsid w:val="00273751"/>
    <w:rsid w:val="002760C2"/>
    <w:rsid w:val="00277CC1"/>
    <w:rsid w:val="00277D2C"/>
    <w:rsid w:val="00277FA3"/>
    <w:rsid w:val="002814B6"/>
    <w:rsid w:val="002814F0"/>
    <w:rsid w:val="0028353D"/>
    <w:rsid w:val="002835B8"/>
    <w:rsid w:val="0028375E"/>
    <w:rsid w:val="00284079"/>
    <w:rsid w:val="002841C6"/>
    <w:rsid w:val="00286308"/>
    <w:rsid w:val="0028637B"/>
    <w:rsid w:val="00286EFF"/>
    <w:rsid w:val="00287E96"/>
    <w:rsid w:val="0029150F"/>
    <w:rsid w:val="00292E3F"/>
    <w:rsid w:val="00293587"/>
    <w:rsid w:val="00294288"/>
    <w:rsid w:val="0029651F"/>
    <w:rsid w:val="0029679E"/>
    <w:rsid w:val="00296F3C"/>
    <w:rsid w:val="002972A2"/>
    <w:rsid w:val="002A062D"/>
    <w:rsid w:val="002A1A42"/>
    <w:rsid w:val="002A1F0A"/>
    <w:rsid w:val="002A23D9"/>
    <w:rsid w:val="002A24D4"/>
    <w:rsid w:val="002A316B"/>
    <w:rsid w:val="002A4CF5"/>
    <w:rsid w:val="002A5501"/>
    <w:rsid w:val="002A5C82"/>
    <w:rsid w:val="002A63E1"/>
    <w:rsid w:val="002A6995"/>
    <w:rsid w:val="002A6B16"/>
    <w:rsid w:val="002B08AD"/>
    <w:rsid w:val="002B0EB6"/>
    <w:rsid w:val="002B2681"/>
    <w:rsid w:val="002B2E78"/>
    <w:rsid w:val="002B4B92"/>
    <w:rsid w:val="002B4C15"/>
    <w:rsid w:val="002C1014"/>
    <w:rsid w:val="002C4AA0"/>
    <w:rsid w:val="002C4BD7"/>
    <w:rsid w:val="002C6CA2"/>
    <w:rsid w:val="002C7801"/>
    <w:rsid w:val="002C7D85"/>
    <w:rsid w:val="002D0532"/>
    <w:rsid w:val="002D1CDF"/>
    <w:rsid w:val="002D2F5B"/>
    <w:rsid w:val="002D4903"/>
    <w:rsid w:val="002D4D7F"/>
    <w:rsid w:val="002D67FA"/>
    <w:rsid w:val="002E00B3"/>
    <w:rsid w:val="002E2E08"/>
    <w:rsid w:val="002E3374"/>
    <w:rsid w:val="002E37F4"/>
    <w:rsid w:val="002E42E9"/>
    <w:rsid w:val="002E448A"/>
    <w:rsid w:val="002E50E5"/>
    <w:rsid w:val="002E6E8E"/>
    <w:rsid w:val="002E7C02"/>
    <w:rsid w:val="002F0164"/>
    <w:rsid w:val="00301012"/>
    <w:rsid w:val="0030162D"/>
    <w:rsid w:val="00302630"/>
    <w:rsid w:val="003031DE"/>
    <w:rsid w:val="00303A60"/>
    <w:rsid w:val="00303DCB"/>
    <w:rsid w:val="0030617E"/>
    <w:rsid w:val="00306604"/>
    <w:rsid w:val="0031156C"/>
    <w:rsid w:val="003121D0"/>
    <w:rsid w:val="00312710"/>
    <w:rsid w:val="003130A5"/>
    <w:rsid w:val="00315946"/>
    <w:rsid w:val="003213DC"/>
    <w:rsid w:val="0032365E"/>
    <w:rsid w:val="00324420"/>
    <w:rsid w:val="00325DD9"/>
    <w:rsid w:val="003273CA"/>
    <w:rsid w:val="00327763"/>
    <w:rsid w:val="00327786"/>
    <w:rsid w:val="003277BA"/>
    <w:rsid w:val="00330018"/>
    <w:rsid w:val="00333794"/>
    <w:rsid w:val="0033583F"/>
    <w:rsid w:val="0034016C"/>
    <w:rsid w:val="003415DF"/>
    <w:rsid w:val="003417CB"/>
    <w:rsid w:val="0034247C"/>
    <w:rsid w:val="0034319B"/>
    <w:rsid w:val="00343A50"/>
    <w:rsid w:val="0034629C"/>
    <w:rsid w:val="00346721"/>
    <w:rsid w:val="003468A0"/>
    <w:rsid w:val="003477E7"/>
    <w:rsid w:val="00347AB7"/>
    <w:rsid w:val="00350264"/>
    <w:rsid w:val="003521D9"/>
    <w:rsid w:val="00353387"/>
    <w:rsid w:val="00353F81"/>
    <w:rsid w:val="0035481B"/>
    <w:rsid w:val="00355942"/>
    <w:rsid w:val="00355FE1"/>
    <w:rsid w:val="00357904"/>
    <w:rsid w:val="003606FB"/>
    <w:rsid w:val="00361079"/>
    <w:rsid w:val="00361156"/>
    <w:rsid w:val="00361BB4"/>
    <w:rsid w:val="00364C76"/>
    <w:rsid w:val="00364CFF"/>
    <w:rsid w:val="00365869"/>
    <w:rsid w:val="00365CE1"/>
    <w:rsid w:val="003701EA"/>
    <w:rsid w:val="003702ED"/>
    <w:rsid w:val="0037320C"/>
    <w:rsid w:val="003777F9"/>
    <w:rsid w:val="00380612"/>
    <w:rsid w:val="00382B9E"/>
    <w:rsid w:val="00385A2E"/>
    <w:rsid w:val="003862C6"/>
    <w:rsid w:val="003862E3"/>
    <w:rsid w:val="00391184"/>
    <w:rsid w:val="00391485"/>
    <w:rsid w:val="003950E7"/>
    <w:rsid w:val="00396977"/>
    <w:rsid w:val="003A0B5B"/>
    <w:rsid w:val="003A159D"/>
    <w:rsid w:val="003A316B"/>
    <w:rsid w:val="003A4580"/>
    <w:rsid w:val="003A641D"/>
    <w:rsid w:val="003A7094"/>
    <w:rsid w:val="003B02D4"/>
    <w:rsid w:val="003B45FC"/>
    <w:rsid w:val="003B6C61"/>
    <w:rsid w:val="003C206F"/>
    <w:rsid w:val="003C2C65"/>
    <w:rsid w:val="003C4602"/>
    <w:rsid w:val="003C5BF5"/>
    <w:rsid w:val="003C70E5"/>
    <w:rsid w:val="003C72F5"/>
    <w:rsid w:val="003D407E"/>
    <w:rsid w:val="003D53A8"/>
    <w:rsid w:val="003D5DBC"/>
    <w:rsid w:val="003D695D"/>
    <w:rsid w:val="003D758B"/>
    <w:rsid w:val="003E1D18"/>
    <w:rsid w:val="003E4889"/>
    <w:rsid w:val="003E69D2"/>
    <w:rsid w:val="003E7707"/>
    <w:rsid w:val="003F0B7F"/>
    <w:rsid w:val="003F58E3"/>
    <w:rsid w:val="003F619C"/>
    <w:rsid w:val="003F6D8E"/>
    <w:rsid w:val="003F7C59"/>
    <w:rsid w:val="00400E9F"/>
    <w:rsid w:val="004034A7"/>
    <w:rsid w:val="00404236"/>
    <w:rsid w:val="00404D87"/>
    <w:rsid w:val="00404EF3"/>
    <w:rsid w:val="00406C09"/>
    <w:rsid w:val="0041011B"/>
    <w:rsid w:val="004126C9"/>
    <w:rsid w:val="00413EB7"/>
    <w:rsid w:val="00414230"/>
    <w:rsid w:val="00414BEC"/>
    <w:rsid w:val="004157DF"/>
    <w:rsid w:val="00416956"/>
    <w:rsid w:val="00416BC5"/>
    <w:rsid w:val="004170D8"/>
    <w:rsid w:val="00420BBE"/>
    <w:rsid w:val="00422538"/>
    <w:rsid w:val="0042465D"/>
    <w:rsid w:val="00425E6D"/>
    <w:rsid w:val="0042613F"/>
    <w:rsid w:val="0042627F"/>
    <w:rsid w:val="0042684C"/>
    <w:rsid w:val="00431287"/>
    <w:rsid w:val="00431B97"/>
    <w:rsid w:val="00435025"/>
    <w:rsid w:val="00435969"/>
    <w:rsid w:val="0043742D"/>
    <w:rsid w:val="00437E07"/>
    <w:rsid w:val="0044090E"/>
    <w:rsid w:val="00440D13"/>
    <w:rsid w:val="00441AE9"/>
    <w:rsid w:val="00441F9E"/>
    <w:rsid w:val="004429BB"/>
    <w:rsid w:val="004438E7"/>
    <w:rsid w:val="00443E9E"/>
    <w:rsid w:val="00447E49"/>
    <w:rsid w:val="0045009B"/>
    <w:rsid w:val="00450796"/>
    <w:rsid w:val="00452C8A"/>
    <w:rsid w:val="00453B1C"/>
    <w:rsid w:val="00454F3C"/>
    <w:rsid w:val="00455321"/>
    <w:rsid w:val="00456C1E"/>
    <w:rsid w:val="00462C59"/>
    <w:rsid w:val="0046384A"/>
    <w:rsid w:val="00464EEF"/>
    <w:rsid w:val="004662B9"/>
    <w:rsid w:val="004720A3"/>
    <w:rsid w:val="00473B9A"/>
    <w:rsid w:val="004743F3"/>
    <w:rsid w:val="00476DD6"/>
    <w:rsid w:val="004773A5"/>
    <w:rsid w:val="0047760B"/>
    <w:rsid w:val="00477A72"/>
    <w:rsid w:val="0048065C"/>
    <w:rsid w:val="004809C3"/>
    <w:rsid w:val="00481314"/>
    <w:rsid w:val="004818BE"/>
    <w:rsid w:val="00484082"/>
    <w:rsid w:val="00484361"/>
    <w:rsid w:val="004843F7"/>
    <w:rsid w:val="00484679"/>
    <w:rsid w:val="00486E13"/>
    <w:rsid w:val="00491182"/>
    <w:rsid w:val="00491A4E"/>
    <w:rsid w:val="0049461D"/>
    <w:rsid w:val="00494703"/>
    <w:rsid w:val="0049725F"/>
    <w:rsid w:val="00497708"/>
    <w:rsid w:val="004A2427"/>
    <w:rsid w:val="004A2B33"/>
    <w:rsid w:val="004A3751"/>
    <w:rsid w:val="004A3FED"/>
    <w:rsid w:val="004A70D5"/>
    <w:rsid w:val="004B1844"/>
    <w:rsid w:val="004B1EFC"/>
    <w:rsid w:val="004B2294"/>
    <w:rsid w:val="004B32E5"/>
    <w:rsid w:val="004B4AA9"/>
    <w:rsid w:val="004C020A"/>
    <w:rsid w:val="004C23CB"/>
    <w:rsid w:val="004C39F6"/>
    <w:rsid w:val="004C4C42"/>
    <w:rsid w:val="004C527D"/>
    <w:rsid w:val="004C5AE4"/>
    <w:rsid w:val="004C5CF2"/>
    <w:rsid w:val="004C5F2C"/>
    <w:rsid w:val="004C6991"/>
    <w:rsid w:val="004D049A"/>
    <w:rsid w:val="004D095D"/>
    <w:rsid w:val="004D193A"/>
    <w:rsid w:val="004D1F90"/>
    <w:rsid w:val="004D4995"/>
    <w:rsid w:val="004D5897"/>
    <w:rsid w:val="004E0B28"/>
    <w:rsid w:val="004E407E"/>
    <w:rsid w:val="004E46C6"/>
    <w:rsid w:val="004E7D3B"/>
    <w:rsid w:val="004E7F95"/>
    <w:rsid w:val="004F0A3E"/>
    <w:rsid w:val="004F153D"/>
    <w:rsid w:val="004F16FA"/>
    <w:rsid w:val="004F19E8"/>
    <w:rsid w:val="004F23E2"/>
    <w:rsid w:val="004F2A89"/>
    <w:rsid w:val="004F2D4D"/>
    <w:rsid w:val="004F31CC"/>
    <w:rsid w:val="004F3C42"/>
    <w:rsid w:val="004F46B3"/>
    <w:rsid w:val="004F5FEF"/>
    <w:rsid w:val="00500BAA"/>
    <w:rsid w:val="00502224"/>
    <w:rsid w:val="00502628"/>
    <w:rsid w:val="00506114"/>
    <w:rsid w:val="00506C06"/>
    <w:rsid w:val="00512BEA"/>
    <w:rsid w:val="00513848"/>
    <w:rsid w:val="00514925"/>
    <w:rsid w:val="00514AB6"/>
    <w:rsid w:val="00516B24"/>
    <w:rsid w:val="00521526"/>
    <w:rsid w:val="0052587F"/>
    <w:rsid w:val="005261AA"/>
    <w:rsid w:val="00526816"/>
    <w:rsid w:val="00527B84"/>
    <w:rsid w:val="0053046E"/>
    <w:rsid w:val="005321A5"/>
    <w:rsid w:val="00535EB1"/>
    <w:rsid w:val="00537228"/>
    <w:rsid w:val="0054117E"/>
    <w:rsid w:val="00543C8B"/>
    <w:rsid w:val="005441D5"/>
    <w:rsid w:val="005474BF"/>
    <w:rsid w:val="00547B4F"/>
    <w:rsid w:val="00551088"/>
    <w:rsid w:val="005525C3"/>
    <w:rsid w:val="0055316F"/>
    <w:rsid w:val="00557F3F"/>
    <w:rsid w:val="0056042D"/>
    <w:rsid w:val="0056124C"/>
    <w:rsid w:val="00561CAA"/>
    <w:rsid w:val="005653FF"/>
    <w:rsid w:val="00570509"/>
    <w:rsid w:val="00570689"/>
    <w:rsid w:val="0057205C"/>
    <w:rsid w:val="00573036"/>
    <w:rsid w:val="00575214"/>
    <w:rsid w:val="00576027"/>
    <w:rsid w:val="005764DE"/>
    <w:rsid w:val="00581E30"/>
    <w:rsid w:val="005820EB"/>
    <w:rsid w:val="0058214C"/>
    <w:rsid w:val="005829E5"/>
    <w:rsid w:val="00583B9F"/>
    <w:rsid w:val="00585014"/>
    <w:rsid w:val="005859F0"/>
    <w:rsid w:val="00587747"/>
    <w:rsid w:val="0059156F"/>
    <w:rsid w:val="00591AEE"/>
    <w:rsid w:val="00595101"/>
    <w:rsid w:val="00595EC0"/>
    <w:rsid w:val="005A05B9"/>
    <w:rsid w:val="005A1692"/>
    <w:rsid w:val="005A1CB1"/>
    <w:rsid w:val="005A300A"/>
    <w:rsid w:val="005A34C5"/>
    <w:rsid w:val="005A34E9"/>
    <w:rsid w:val="005B18EA"/>
    <w:rsid w:val="005B1CD6"/>
    <w:rsid w:val="005B2C61"/>
    <w:rsid w:val="005B4A21"/>
    <w:rsid w:val="005B69A1"/>
    <w:rsid w:val="005B7CDA"/>
    <w:rsid w:val="005C0F01"/>
    <w:rsid w:val="005C18CB"/>
    <w:rsid w:val="005C4050"/>
    <w:rsid w:val="005C51E3"/>
    <w:rsid w:val="005D04F4"/>
    <w:rsid w:val="005D1B84"/>
    <w:rsid w:val="005D4422"/>
    <w:rsid w:val="005D4A0A"/>
    <w:rsid w:val="005D6CA2"/>
    <w:rsid w:val="005E0CCA"/>
    <w:rsid w:val="005E4262"/>
    <w:rsid w:val="005F0751"/>
    <w:rsid w:val="005F2508"/>
    <w:rsid w:val="005F2DC3"/>
    <w:rsid w:val="005F3CA0"/>
    <w:rsid w:val="005F4155"/>
    <w:rsid w:val="005F52E4"/>
    <w:rsid w:val="005F5A63"/>
    <w:rsid w:val="005F61E3"/>
    <w:rsid w:val="005F6957"/>
    <w:rsid w:val="005F6A94"/>
    <w:rsid w:val="00604E89"/>
    <w:rsid w:val="00605C3A"/>
    <w:rsid w:val="0060712D"/>
    <w:rsid w:val="0060721F"/>
    <w:rsid w:val="006104D4"/>
    <w:rsid w:val="00610F0E"/>
    <w:rsid w:val="00612392"/>
    <w:rsid w:val="00612CD5"/>
    <w:rsid w:val="006149D9"/>
    <w:rsid w:val="00615670"/>
    <w:rsid w:val="00615C56"/>
    <w:rsid w:val="006160CC"/>
    <w:rsid w:val="006162B1"/>
    <w:rsid w:val="00616BC1"/>
    <w:rsid w:val="00617D07"/>
    <w:rsid w:val="0062192C"/>
    <w:rsid w:val="00621EA6"/>
    <w:rsid w:val="00626496"/>
    <w:rsid w:val="00627C9F"/>
    <w:rsid w:val="00632E68"/>
    <w:rsid w:val="0063342E"/>
    <w:rsid w:val="006344AC"/>
    <w:rsid w:val="0063603D"/>
    <w:rsid w:val="0063690E"/>
    <w:rsid w:val="00637AE0"/>
    <w:rsid w:val="00640076"/>
    <w:rsid w:val="00640F3D"/>
    <w:rsid w:val="00641639"/>
    <w:rsid w:val="00644751"/>
    <w:rsid w:val="00647953"/>
    <w:rsid w:val="00651CCE"/>
    <w:rsid w:val="00654976"/>
    <w:rsid w:val="00655832"/>
    <w:rsid w:val="00656A82"/>
    <w:rsid w:val="006577CF"/>
    <w:rsid w:val="00657893"/>
    <w:rsid w:val="00657B7C"/>
    <w:rsid w:val="00657D8D"/>
    <w:rsid w:val="0066239D"/>
    <w:rsid w:val="0066360E"/>
    <w:rsid w:val="00664926"/>
    <w:rsid w:val="00666596"/>
    <w:rsid w:val="0067060B"/>
    <w:rsid w:val="00671B4E"/>
    <w:rsid w:val="00672353"/>
    <w:rsid w:val="00672945"/>
    <w:rsid w:val="00674C98"/>
    <w:rsid w:val="006758C7"/>
    <w:rsid w:val="00675A4E"/>
    <w:rsid w:val="00675FCF"/>
    <w:rsid w:val="0067630D"/>
    <w:rsid w:val="006814AA"/>
    <w:rsid w:val="006819E6"/>
    <w:rsid w:val="00681CCC"/>
    <w:rsid w:val="00681F15"/>
    <w:rsid w:val="00682458"/>
    <w:rsid w:val="0068514D"/>
    <w:rsid w:val="00686B77"/>
    <w:rsid w:val="006874B2"/>
    <w:rsid w:val="00690601"/>
    <w:rsid w:val="00690940"/>
    <w:rsid w:val="00691858"/>
    <w:rsid w:val="00694239"/>
    <w:rsid w:val="006944EC"/>
    <w:rsid w:val="0069644B"/>
    <w:rsid w:val="006A00ED"/>
    <w:rsid w:val="006A01FB"/>
    <w:rsid w:val="006A0418"/>
    <w:rsid w:val="006A1156"/>
    <w:rsid w:val="006A1E96"/>
    <w:rsid w:val="006A21CE"/>
    <w:rsid w:val="006A3ACD"/>
    <w:rsid w:val="006A76C0"/>
    <w:rsid w:val="006B2E09"/>
    <w:rsid w:val="006B307C"/>
    <w:rsid w:val="006B3D9E"/>
    <w:rsid w:val="006B4F62"/>
    <w:rsid w:val="006B617D"/>
    <w:rsid w:val="006B66FD"/>
    <w:rsid w:val="006B673C"/>
    <w:rsid w:val="006B7DFD"/>
    <w:rsid w:val="006C0172"/>
    <w:rsid w:val="006C02F7"/>
    <w:rsid w:val="006C15FF"/>
    <w:rsid w:val="006C1D58"/>
    <w:rsid w:val="006C20EA"/>
    <w:rsid w:val="006C5B7E"/>
    <w:rsid w:val="006D1C04"/>
    <w:rsid w:val="006D20E7"/>
    <w:rsid w:val="006D2388"/>
    <w:rsid w:val="006D2B68"/>
    <w:rsid w:val="006D3AD7"/>
    <w:rsid w:val="006D4AC9"/>
    <w:rsid w:val="006D55FA"/>
    <w:rsid w:val="006D5E9F"/>
    <w:rsid w:val="006E2C5C"/>
    <w:rsid w:val="006E2ED0"/>
    <w:rsid w:val="006E2F6E"/>
    <w:rsid w:val="006E39EF"/>
    <w:rsid w:val="006E5B88"/>
    <w:rsid w:val="006E69F2"/>
    <w:rsid w:val="006E7177"/>
    <w:rsid w:val="006F1CC3"/>
    <w:rsid w:val="006F2671"/>
    <w:rsid w:val="006F2E00"/>
    <w:rsid w:val="006F2EC1"/>
    <w:rsid w:val="006F5AB8"/>
    <w:rsid w:val="006F77DB"/>
    <w:rsid w:val="00702106"/>
    <w:rsid w:val="00702A49"/>
    <w:rsid w:val="00705DF9"/>
    <w:rsid w:val="0070634A"/>
    <w:rsid w:val="007101CB"/>
    <w:rsid w:val="007109D6"/>
    <w:rsid w:val="007123CD"/>
    <w:rsid w:val="007123F3"/>
    <w:rsid w:val="00712B04"/>
    <w:rsid w:val="007132E7"/>
    <w:rsid w:val="007133ED"/>
    <w:rsid w:val="00713BB8"/>
    <w:rsid w:val="00713EE3"/>
    <w:rsid w:val="0071461A"/>
    <w:rsid w:val="007155B2"/>
    <w:rsid w:val="00716FFD"/>
    <w:rsid w:val="00720E9B"/>
    <w:rsid w:val="007218DB"/>
    <w:rsid w:val="00726EAC"/>
    <w:rsid w:val="00726ED8"/>
    <w:rsid w:val="00727244"/>
    <w:rsid w:val="007311D1"/>
    <w:rsid w:val="007329CE"/>
    <w:rsid w:val="00736D01"/>
    <w:rsid w:val="00737385"/>
    <w:rsid w:val="007376CD"/>
    <w:rsid w:val="007376E1"/>
    <w:rsid w:val="00741129"/>
    <w:rsid w:val="007419CA"/>
    <w:rsid w:val="00742169"/>
    <w:rsid w:val="00743092"/>
    <w:rsid w:val="0074389B"/>
    <w:rsid w:val="00743A24"/>
    <w:rsid w:val="00744241"/>
    <w:rsid w:val="0074454C"/>
    <w:rsid w:val="0074578F"/>
    <w:rsid w:val="0074740D"/>
    <w:rsid w:val="007479D1"/>
    <w:rsid w:val="0075063E"/>
    <w:rsid w:val="007515C2"/>
    <w:rsid w:val="00751A99"/>
    <w:rsid w:val="00753404"/>
    <w:rsid w:val="00753AE5"/>
    <w:rsid w:val="00754726"/>
    <w:rsid w:val="007556C7"/>
    <w:rsid w:val="00756501"/>
    <w:rsid w:val="00756A73"/>
    <w:rsid w:val="00760DCB"/>
    <w:rsid w:val="00760E7B"/>
    <w:rsid w:val="007610DB"/>
    <w:rsid w:val="00761194"/>
    <w:rsid w:val="0077176F"/>
    <w:rsid w:val="00771D94"/>
    <w:rsid w:val="00772518"/>
    <w:rsid w:val="007733E7"/>
    <w:rsid w:val="00773679"/>
    <w:rsid w:val="00774C7C"/>
    <w:rsid w:val="00775826"/>
    <w:rsid w:val="007761E7"/>
    <w:rsid w:val="00776872"/>
    <w:rsid w:val="00783018"/>
    <w:rsid w:val="00784B7A"/>
    <w:rsid w:val="007858F0"/>
    <w:rsid w:val="007871F4"/>
    <w:rsid w:val="0079048B"/>
    <w:rsid w:val="00790D42"/>
    <w:rsid w:val="007916E8"/>
    <w:rsid w:val="00795498"/>
    <w:rsid w:val="00797A74"/>
    <w:rsid w:val="007A2D91"/>
    <w:rsid w:val="007A30D6"/>
    <w:rsid w:val="007A392A"/>
    <w:rsid w:val="007A435A"/>
    <w:rsid w:val="007A6FD2"/>
    <w:rsid w:val="007A7D80"/>
    <w:rsid w:val="007B280B"/>
    <w:rsid w:val="007B4348"/>
    <w:rsid w:val="007C19C2"/>
    <w:rsid w:val="007C1A4C"/>
    <w:rsid w:val="007C2890"/>
    <w:rsid w:val="007C32F6"/>
    <w:rsid w:val="007C3B5D"/>
    <w:rsid w:val="007C4501"/>
    <w:rsid w:val="007C501A"/>
    <w:rsid w:val="007C57E0"/>
    <w:rsid w:val="007C70CD"/>
    <w:rsid w:val="007C7BBA"/>
    <w:rsid w:val="007C7ECA"/>
    <w:rsid w:val="007D0EC7"/>
    <w:rsid w:val="007D2BDC"/>
    <w:rsid w:val="007D2E8B"/>
    <w:rsid w:val="007D3FC2"/>
    <w:rsid w:val="007D4F0A"/>
    <w:rsid w:val="007D6813"/>
    <w:rsid w:val="007D6CD5"/>
    <w:rsid w:val="007E1E41"/>
    <w:rsid w:val="007E35E5"/>
    <w:rsid w:val="007E5826"/>
    <w:rsid w:val="007E6D59"/>
    <w:rsid w:val="007E723F"/>
    <w:rsid w:val="007E7924"/>
    <w:rsid w:val="007F1CCD"/>
    <w:rsid w:val="007F1EEB"/>
    <w:rsid w:val="007F2F2E"/>
    <w:rsid w:val="007F3BA3"/>
    <w:rsid w:val="007F557D"/>
    <w:rsid w:val="007F5EC7"/>
    <w:rsid w:val="008015AF"/>
    <w:rsid w:val="00802FD5"/>
    <w:rsid w:val="00803AA2"/>
    <w:rsid w:val="008045C7"/>
    <w:rsid w:val="00804B5E"/>
    <w:rsid w:val="00804D77"/>
    <w:rsid w:val="00804F20"/>
    <w:rsid w:val="00806018"/>
    <w:rsid w:val="00806678"/>
    <w:rsid w:val="00810F81"/>
    <w:rsid w:val="00811649"/>
    <w:rsid w:val="00811CCD"/>
    <w:rsid w:val="008126C5"/>
    <w:rsid w:val="00814A74"/>
    <w:rsid w:val="00814F43"/>
    <w:rsid w:val="00817751"/>
    <w:rsid w:val="00823E81"/>
    <w:rsid w:val="008253C5"/>
    <w:rsid w:val="0083114D"/>
    <w:rsid w:val="00831BFA"/>
    <w:rsid w:val="0083232B"/>
    <w:rsid w:val="00832939"/>
    <w:rsid w:val="00833501"/>
    <w:rsid w:val="00833831"/>
    <w:rsid w:val="008346B9"/>
    <w:rsid w:val="00836E0F"/>
    <w:rsid w:val="00837B65"/>
    <w:rsid w:val="00840D5B"/>
    <w:rsid w:val="00841FF3"/>
    <w:rsid w:val="0084220F"/>
    <w:rsid w:val="00843318"/>
    <w:rsid w:val="00843476"/>
    <w:rsid w:val="008446D6"/>
    <w:rsid w:val="00844E69"/>
    <w:rsid w:val="0084540B"/>
    <w:rsid w:val="00846387"/>
    <w:rsid w:val="00847DA2"/>
    <w:rsid w:val="00851423"/>
    <w:rsid w:val="0085394D"/>
    <w:rsid w:val="00854C5D"/>
    <w:rsid w:val="0085622B"/>
    <w:rsid w:val="0085771B"/>
    <w:rsid w:val="00860E3A"/>
    <w:rsid w:val="00861CCD"/>
    <w:rsid w:val="00865DA4"/>
    <w:rsid w:val="00872EA3"/>
    <w:rsid w:val="008732ED"/>
    <w:rsid w:val="00875534"/>
    <w:rsid w:val="00876F5C"/>
    <w:rsid w:val="00877C1E"/>
    <w:rsid w:val="00882193"/>
    <w:rsid w:val="008823AC"/>
    <w:rsid w:val="00883427"/>
    <w:rsid w:val="00884015"/>
    <w:rsid w:val="008843F8"/>
    <w:rsid w:val="008845E9"/>
    <w:rsid w:val="00886D6C"/>
    <w:rsid w:val="008901F7"/>
    <w:rsid w:val="00892CD8"/>
    <w:rsid w:val="0089690C"/>
    <w:rsid w:val="008A0087"/>
    <w:rsid w:val="008A1638"/>
    <w:rsid w:val="008A1AC2"/>
    <w:rsid w:val="008A350A"/>
    <w:rsid w:val="008A652C"/>
    <w:rsid w:val="008B2404"/>
    <w:rsid w:val="008B346D"/>
    <w:rsid w:val="008B3C8E"/>
    <w:rsid w:val="008B42AC"/>
    <w:rsid w:val="008B507B"/>
    <w:rsid w:val="008B6E40"/>
    <w:rsid w:val="008B770B"/>
    <w:rsid w:val="008B7927"/>
    <w:rsid w:val="008C48BF"/>
    <w:rsid w:val="008C54A7"/>
    <w:rsid w:val="008C5895"/>
    <w:rsid w:val="008C70D4"/>
    <w:rsid w:val="008C716A"/>
    <w:rsid w:val="008C7CAA"/>
    <w:rsid w:val="008C7F14"/>
    <w:rsid w:val="008D163B"/>
    <w:rsid w:val="008D2584"/>
    <w:rsid w:val="008D301B"/>
    <w:rsid w:val="008D4896"/>
    <w:rsid w:val="008D49AB"/>
    <w:rsid w:val="008D5150"/>
    <w:rsid w:val="008D6103"/>
    <w:rsid w:val="008D6F81"/>
    <w:rsid w:val="008E1272"/>
    <w:rsid w:val="008E3581"/>
    <w:rsid w:val="008E4011"/>
    <w:rsid w:val="008F0CE5"/>
    <w:rsid w:val="008F132F"/>
    <w:rsid w:val="008F2A79"/>
    <w:rsid w:val="008F3970"/>
    <w:rsid w:val="008F3ED7"/>
    <w:rsid w:val="008F457D"/>
    <w:rsid w:val="008F6F34"/>
    <w:rsid w:val="0090154F"/>
    <w:rsid w:val="00901CEE"/>
    <w:rsid w:val="00901FD6"/>
    <w:rsid w:val="009025E3"/>
    <w:rsid w:val="00903973"/>
    <w:rsid w:val="00903FFB"/>
    <w:rsid w:val="0090506B"/>
    <w:rsid w:val="00905AB4"/>
    <w:rsid w:val="0090606B"/>
    <w:rsid w:val="00910C0F"/>
    <w:rsid w:val="009129B2"/>
    <w:rsid w:val="00913B40"/>
    <w:rsid w:val="009166B7"/>
    <w:rsid w:val="00916A85"/>
    <w:rsid w:val="00916F7E"/>
    <w:rsid w:val="0091750C"/>
    <w:rsid w:val="00917B43"/>
    <w:rsid w:val="00917D1A"/>
    <w:rsid w:val="009215B5"/>
    <w:rsid w:val="00922747"/>
    <w:rsid w:val="00922A53"/>
    <w:rsid w:val="00922FD5"/>
    <w:rsid w:val="00927114"/>
    <w:rsid w:val="0092753E"/>
    <w:rsid w:val="00932FDD"/>
    <w:rsid w:val="00934068"/>
    <w:rsid w:val="00942147"/>
    <w:rsid w:val="00942A8D"/>
    <w:rsid w:val="00944950"/>
    <w:rsid w:val="00950842"/>
    <w:rsid w:val="00950F72"/>
    <w:rsid w:val="00953007"/>
    <w:rsid w:val="00953735"/>
    <w:rsid w:val="009552E8"/>
    <w:rsid w:val="00955E8B"/>
    <w:rsid w:val="00957D21"/>
    <w:rsid w:val="00957F63"/>
    <w:rsid w:val="009627D8"/>
    <w:rsid w:val="00964218"/>
    <w:rsid w:val="009661F0"/>
    <w:rsid w:val="00967566"/>
    <w:rsid w:val="00967891"/>
    <w:rsid w:val="009730B8"/>
    <w:rsid w:val="00973870"/>
    <w:rsid w:val="00975962"/>
    <w:rsid w:val="00975F78"/>
    <w:rsid w:val="0097690A"/>
    <w:rsid w:val="00976B58"/>
    <w:rsid w:val="009778B1"/>
    <w:rsid w:val="00985AF4"/>
    <w:rsid w:val="0098652A"/>
    <w:rsid w:val="009903AC"/>
    <w:rsid w:val="009915B9"/>
    <w:rsid w:val="00991F20"/>
    <w:rsid w:val="00993180"/>
    <w:rsid w:val="009939DB"/>
    <w:rsid w:val="00993D68"/>
    <w:rsid w:val="009972C8"/>
    <w:rsid w:val="009A01F9"/>
    <w:rsid w:val="009A3CCF"/>
    <w:rsid w:val="009A5559"/>
    <w:rsid w:val="009B0CC4"/>
    <w:rsid w:val="009B105F"/>
    <w:rsid w:val="009B10CF"/>
    <w:rsid w:val="009B1DA0"/>
    <w:rsid w:val="009B41A2"/>
    <w:rsid w:val="009B496D"/>
    <w:rsid w:val="009B66A4"/>
    <w:rsid w:val="009B74DD"/>
    <w:rsid w:val="009B7652"/>
    <w:rsid w:val="009C10DF"/>
    <w:rsid w:val="009C1AFA"/>
    <w:rsid w:val="009C2915"/>
    <w:rsid w:val="009C31C6"/>
    <w:rsid w:val="009C4097"/>
    <w:rsid w:val="009C54C1"/>
    <w:rsid w:val="009C5C05"/>
    <w:rsid w:val="009C62A7"/>
    <w:rsid w:val="009D1786"/>
    <w:rsid w:val="009D2758"/>
    <w:rsid w:val="009D2B25"/>
    <w:rsid w:val="009D6530"/>
    <w:rsid w:val="009E16FE"/>
    <w:rsid w:val="009E45F5"/>
    <w:rsid w:val="009E59AC"/>
    <w:rsid w:val="009E7308"/>
    <w:rsid w:val="009E74F7"/>
    <w:rsid w:val="009E76EE"/>
    <w:rsid w:val="009F0D7D"/>
    <w:rsid w:val="009F141C"/>
    <w:rsid w:val="009F1917"/>
    <w:rsid w:val="009F1AF9"/>
    <w:rsid w:val="009F4AD1"/>
    <w:rsid w:val="009F5E6F"/>
    <w:rsid w:val="009F7541"/>
    <w:rsid w:val="009F7E88"/>
    <w:rsid w:val="00A024BE"/>
    <w:rsid w:val="00A030D6"/>
    <w:rsid w:val="00A03943"/>
    <w:rsid w:val="00A05175"/>
    <w:rsid w:val="00A05B98"/>
    <w:rsid w:val="00A0658F"/>
    <w:rsid w:val="00A06FD2"/>
    <w:rsid w:val="00A07A72"/>
    <w:rsid w:val="00A10077"/>
    <w:rsid w:val="00A13359"/>
    <w:rsid w:val="00A13F55"/>
    <w:rsid w:val="00A14925"/>
    <w:rsid w:val="00A15ABD"/>
    <w:rsid w:val="00A21C07"/>
    <w:rsid w:val="00A21CEF"/>
    <w:rsid w:val="00A24702"/>
    <w:rsid w:val="00A24D4E"/>
    <w:rsid w:val="00A25FB1"/>
    <w:rsid w:val="00A27175"/>
    <w:rsid w:val="00A31F3B"/>
    <w:rsid w:val="00A337F7"/>
    <w:rsid w:val="00A33DCC"/>
    <w:rsid w:val="00A4058E"/>
    <w:rsid w:val="00A405C2"/>
    <w:rsid w:val="00A415F3"/>
    <w:rsid w:val="00A42C1D"/>
    <w:rsid w:val="00A43ED1"/>
    <w:rsid w:val="00A43EE6"/>
    <w:rsid w:val="00A44409"/>
    <w:rsid w:val="00A47B61"/>
    <w:rsid w:val="00A513C5"/>
    <w:rsid w:val="00A5207B"/>
    <w:rsid w:val="00A5211A"/>
    <w:rsid w:val="00A52B34"/>
    <w:rsid w:val="00A52FC8"/>
    <w:rsid w:val="00A5346E"/>
    <w:rsid w:val="00A53C16"/>
    <w:rsid w:val="00A54248"/>
    <w:rsid w:val="00A562EC"/>
    <w:rsid w:val="00A57C22"/>
    <w:rsid w:val="00A60442"/>
    <w:rsid w:val="00A62E2E"/>
    <w:rsid w:val="00A63962"/>
    <w:rsid w:val="00A63E61"/>
    <w:rsid w:val="00A65902"/>
    <w:rsid w:val="00A65F78"/>
    <w:rsid w:val="00A67273"/>
    <w:rsid w:val="00A7061F"/>
    <w:rsid w:val="00A70C5F"/>
    <w:rsid w:val="00A73B39"/>
    <w:rsid w:val="00A742C7"/>
    <w:rsid w:val="00A74822"/>
    <w:rsid w:val="00A74E55"/>
    <w:rsid w:val="00A75954"/>
    <w:rsid w:val="00A77306"/>
    <w:rsid w:val="00A82A8A"/>
    <w:rsid w:val="00A835FA"/>
    <w:rsid w:val="00A8464B"/>
    <w:rsid w:val="00A85B66"/>
    <w:rsid w:val="00A86F45"/>
    <w:rsid w:val="00A9211A"/>
    <w:rsid w:val="00A9326D"/>
    <w:rsid w:val="00A953B0"/>
    <w:rsid w:val="00A957FD"/>
    <w:rsid w:val="00A97684"/>
    <w:rsid w:val="00AA000E"/>
    <w:rsid w:val="00AA0853"/>
    <w:rsid w:val="00AA1950"/>
    <w:rsid w:val="00AA264B"/>
    <w:rsid w:val="00AA40EC"/>
    <w:rsid w:val="00AA623A"/>
    <w:rsid w:val="00AB2229"/>
    <w:rsid w:val="00AB3166"/>
    <w:rsid w:val="00AB3649"/>
    <w:rsid w:val="00AB5F5A"/>
    <w:rsid w:val="00AB77D4"/>
    <w:rsid w:val="00AC028F"/>
    <w:rsid w:val="00AC0BBE"/>
    <w:rsid w:val="00AC2964"/>
    <w:rsid w:val="00AC5505"/>
    <w:rsid w:val="00AC795B"/>
    <w:rsid w:val="00AC7EF2"/>
    <w:rsid w:val="00AD062B"/>
    <w:rsid w:val="00AD7DFF"/>
    <w:rsid w:val="00AE1C8B"/>
    <w:rsid w:val="00AE2118"/>
    <w:rsid w:val="00AE37C4"/>
    <w:rsid w:val="00AE6E69"/>
    <w:rsid w:val="00AE79D4"/>
    <w:rsid w:val="00AE7D82"/>
    <w:rsid w:val="00AF16BD"/>
    <w:rsid w:val="00AF24DA"/>
    <w:rsid w:val="00AF2DDB"/>
    <w:rsid w:val="00AF58A8"/>
    <w:rsid w:val="00AF59E0"/>
    <w:rsid w:val="00AF717A"/>
    <w:rsid w:val="00B004C4"/>
    <w:rsid w:val="00B03EA0"/>
    <w:rsid w:val="00B050A6"/>
    <w:rsid w:val="00B06A33"/>
    <w:rsid w:val="00B103F3"/>
    <w:rsid w:val="00B11AF3"/>
    <w:rsid w:val="00B12C9E"/>
    <w:rsid w:val="00B12EDA"/>
    <w:rsid w:val="00B130A7"/>
    <w:rsid w:val="00B13493"/>
    <w:rsid w:val="00B17945"/>
    <w:rsid w:val="00B17E32"/>
    <w:rsid w:val="00B20774"/>
    <w:rsid w:val="00B20957"/>
    <w:rsid w:val="00B231AE"/>
    <w:rsid w:val="00B24E78"/>
    <w:rsid w:val="00B25E17"/>
    <w:rsid w:val="00B26E44"/>
    <w:rsid w:val="00B27903"/>
    <w:rsid w:val="00B30154"/>
    <w:rsid w:val="00B332C2"/>
    <w:rsid w:val="00B33AE7"/>
    <w:rsid w:val="00B342CF"/>
    <w:rsid w:val="00B37CFB"/>
    <w:rsid w:val="00B44247"/>
    <w:rsid w:val="00B450FD"/>
    <w:rsid w:val="00B459CC"/>
    <w:rsid w:val="00B46EDF"/>
    <w:rsid w:val="00B477AF"/>
    <w:rsid w:val="00B51EA0"/>
    <w:rsid w:val="00B5276B"/>
    <w:rsid w:val="00B5417E"/>
    <w:rsid w:val="00B55BE0"/>
    <w:rsid w:val="00B55F79"/>
    <w:rsid w:val="00B60167"/>
    <w:rsid w:val="00B60AD1"/>
    <w:rsid w:val="00B61D67"/>
    <w:rsid w:val="00B62B27"/>
    <w:rsid w:val="00B63577"/>
    <w:rsid w:val="00B65A7B"/>
    <w:rsid w:val="00B65F51"/>
    <w:rsid w:val="00B67B48"/>
    <w:rsid w:val="00B740D6"/>
    <w:rsid w:val="00B74AE1"/>
    <w:rsid w:val="00B74CAC"/>
    <w:rsid w:val="00B76BCE"/>
    <w:rsid w:val="00B76C00"/>
    <w:rsid w:val="00B80E93"/>
    <w:rsid w:val="00B813CA"/>
    <w:rsid w:val="00B81DCA"/>
    <w:rsid w:val="00B82555"/>
    <w:rsid w:val="00B82E30"/>
    <w:rsid w:val="00B85347"/>
    <w:rsid w:val="00B873C9"/>
    <w:rsid w:val="00B90235"/>
    <w:rsid w:val="00B903E1"/>
    <w:rsid w:val="00B93843"/>
    <w:rsid w:val="00B94A10"/>
    <w:rsid w:val="00B95561"/>
    <w:rsid w:val="00B9588A"/>
    <w:rsid w:val="00B9591C"/>
    <w:rsid w:val="00B95CB5"/>
    <w:rsid w:val="00B96A3E"/>
    <w:rsid w:val="00BA0B33"/>
    <w:rsid w:val="00BA0D69"/>
    <w:rsid w:val="00BA11F2"/>
    <w:rsid w:val="00BA1BFB"/>
    <w:rsid w:val="00BA1D3C"/>
    <w:rsid w:val="00BA5385"/>
    <w:rsid w:val="00BA5DC2"/>
    <w:rsid w:val="00BA6AD4"/>
    <w:rsid w:val="00BA7BA1"/>
    <w:rsid w:val="00BB15FF"/>
    <w:rsid w:val="00BB1C2D"/>
    <w:rsid w:val="00BB4AEC"/>
    <w:rsid w:val="00BC023B"/>
    <w:rsid w:val="00BC25E5"/>
    <w:rsid w:val="00BC29C9"/>
    <w:rsid w:val="00BC3398"/>
    <w:rsid w:val="00BC36EC"/>
    <w:rsid w:val="00BC572A"/>
    <w:rsid w:val="00BC6013"/>
    <w:rsid w:val="00BC7E55"/>
    <w:rsid w:val="00BD707E"/>
    <w:rsid w:val="00BE1DB9"/>
    <w:rsid w:val="00BE3CBC"/>
    <w:rsid w:val="00BE4CC4"/>
    <w:rsid w:val="00BF0988"/>
    <w:rsid w:val="00BF0A36"/>
    <w:rsid w:val="00BF0C4C"/>
    <w:rsid w:val="00BF1E6C"/>
    <w:rsid w:val="00BF265E"/>
    <w:rsid w:val="00BF5311"/>
    <w:rsid w:val="00BF71DD"/>
    <w:rsid w:val="00BF75C2"/>
    <w:rsid w:val="00C00895"/>
    <w:rsid w:val="00C01448"/>
    <w:rsid w:val="00C024F2"/>
    <w:rsid w:val="00C02B6B"/>
    <w:rsid w:val="00C03251"/>
    <w:rsid w:val="00C07892"/>
    <w:rsid w:val="00C104EA"/>
    <w:rsid w:val="00C10A64"/>
    <w:rsid w:val="00C116A8"/>
    <w:rsid w:val="00C13E02"/>
    <w:rsid w:val="00C16628"/>
    <w:rsid w:val="00C20157"/>
    <w:rsid w:val="00C21C22"/>
    <w:rsid w:val="00C239CF"/>
    <w:rsid w:val="00C24EEE"/>
    <w:rsid w:val="00C260CE"/>
    <w:rsid w:val="00C3065F"/>
    <w:rsid w:val="00C31766"/>
    <w:rsid w:val="00C3299F"/>
    <w:rsid w:val="00C33776"/>
    <w:rsid w:val="00C349F7"/>
    <w:rsid w:val="00C3543A"/>
    <w:rsid w:val="00C3567F"/>
    <w:rsid w:val="00C35DF0"/>
    <w:rsid w:val="00C36FBC"/>
    <w:rsid w:val="00C4050A"/>
    <w:rsid w:val="00C434E3"/>
    <w:rsid w:val="00C44778"/>
    <w:rsid w:val="00C5270F"/>
    <w:rsid w:val="00C527B1"/>
    <w:rsid w:val="00C5299A"/>
    <w:rsid w:val="00C53ED0"/>
    <w:rsid w:val="00C544EC"/>
    <w:rsid w:val="00C566F8"/>
    <w:rsid w:val="00C614D8"/>
    <w:rsid w:val="00C6248A"/>
    <w:rsid w:val="00C63E1C"/>
    <w:rsid w:val="00C65508"/>
    <w:rsid w:val="00C674B0"/>
    <w:rsid w:val="00C70183"/>
    <w:rsid w:val="00C713D5"/>
    <w:rsid w:val="00C71802"/>
    <w:rsid w:val="00C72ABB"/>
    <w:rsid w:val="00C7363D"/>
    <w:rsid w:val="00C75309"/>
    <w:rsid w:val="00C75C2A"/>
    <w:rsid w:val="00C7606A"/>
    <w:rsid w:val="00C764CD"/>
    <w:rsid w:val="00C77A62"/>
    <w:rsid w:val="00C81949"/>
    <w:rsid w:val="00C84B82"/>
    <w:rsid w:val="00C85528"/>
    <w:rsid w:val="00C85F08"/>
    <w:rsid w:val="00C901A5"/>
    <w:rsid w:val="00C90B30"/>
    <w:rsid w:val="00C9181D"/>
    <w:rsid w:val="00C91C4E"/>
    <w:rsid w:val="00C924D7"/>
    <w:rsid w:val="00C930F1"/>
    <w:rsid w:val="00C93294"/>
    <w:rsid w:val="00C9403C"/>
    <w:rsid w:val="00CA0BC9"/>
    <w:rsid w:val="00CA1530"/>
    <w:rsid w:val="00CA1F8C"/>
    <w:rsid w:val="00CA27FA"/>
    <w:rsid w:val="00CA4352"/>
    <w:rsid w:val="00CB28B0"/>
    <w:rsid w:val="00CB2FA9"/>
    <w:rsid w:val="00CB338A"/>
    <w:rsid w:val="00CB3498"/>
    <w:rsid w:val="00CB4262"/>
    <w:rsid w:val="00CB61A7"/>
    <w:rsid w:val="00CB6FCC"/>
    <w:rsid w:val="00CB70B0"/>
    <w:rsid w:val="00CC09FA"/>
    <w:rsid w:val="00CC0D2A"/>
    <w:rsid w:val="00CC4814"/>
    <w:rsid w:val="00CC48FD"/>
    <w:rsid w:val="00CC544B"/>
    <w:rsid w:val="00CC68CC"/>
    <w:rsid w:val="00CC70FB"/>
    <w:rsid w:val="00CC73E2"/>
    <w:rsid w:val="00CD06AF"/>
    <w:rsid w:val="00CD0B79"/>
    <w:rsid w:val="00CD1793"/>
    <w:rsid w:val="00CD1A57"/>
    <w:rsid w:val="00CD1A7B"/>
    <w:rsid w:val="00CD1C33"/>
    <w:rsid w:val="00CD2BF9"/>
    <w:rsid w:val="00CD35F2"/>
    <w:rsid w:val="00CD3B89"/>
    <w:rsid w:val="00CD3EEB"/>
    <w:rsid w:val="00CE4D81"/>
    <w:rsid w:val="00CE57E6"/>
    <w:rsid w:val="00CE580C"/>
    <w:rsid w:val="00CE5A62"/>
    <w:rsid w:val="00CE7BB6"/>
    <w:rsid w:val="00CF79A0"/>
    <w:rsid w:val="00D00B5C"/>
    <w:rsid w:val="00D013C8"/>
    <w:rsid w:val="00D022D2"/>
    <w:rsid w:val="00D03439"/>
    <w:rsid w:val="00D04127"/>
    <w:rsid w:val="00D0463F"/>
    <w:rsid w:val="00D0738F"/>
    <w:rsid w:val="00D10559"/>
    <w:rsid w:val="00D15114"/>
    <w:rsid w:val="00D164FC"/>
    <w:rsid w:val="00D16828"/>
    <w:rsid w:val="00D16C60"/>
    <w:rsid w:val="00D16E1E"/>
    <w:rsid w:val="00D17725"/>
    <w:rsid w:val="00D20A82"/>
    <w:rsid w:val="00D22228"/>
    <w:rsid w:val="00D230DA"/>
    <w:rsid w:val="00D23EF1"/>
    <w:rsid w:val="00D24345"/>
    <w:rsid w:val="00D24BC4"/>
    <w:rsid w:val="00D262A7"/>
    <w:rsid w:val="00D266AF"/>
    <w:rsid w:val="00D2736F"/>
    <w:rsid w:val="00D3161A"/>
    <w:rsid w:val="00D31C91"/>
    <w:rsid w:val="00D3246B"/>
    <w:rsid w:val="00D332E0"/>
    <w:rsid w:val="00D33418"/>
    <w:rsid w:val="00D35129"/>
    <w:rsid w:val="00D35283"/>
    <w:rsid w:val="00D35981"/>
    <w:rsid w:val="00D365FC"/>
    <w:rsid w:val="00D405DC"/>
    <w:rsid w:val="00D40BED"/>
    <w:rsid w:val="00D42332"/>
    <w:rsid w:val="00D47A30"/>
    <w:rsid w:val="00D50791"/>
    <w:rsid w:val="00D508E5"/>
    <w:rsid w:val="00D52026"/>
    <w:rsid w:val="00D529D9"/>
    <w:rsid w:val="00D53E4C"/>
    <w:rsid w:val="00D54213"/>
    <w:rsid w:val="00D61273"/>
    <w:rsid w:val="00D631F9"/>
    <w:rsid w:val="00D640D6"/>
    <w:rsid w:val="00D65583"/>
    <w:rsid w:val="00D66923"/>
    <w:rsid w:val="00D66E7D"/>
    <w:rsid w:val="00D66FDC"/>
    <w:rsid w:val="00D67FB4"/>
    <w:rsid w:val="00D7019B"/>
    <w:rsid w:val="00D703E9"/>
    <w:rsid w:val="00D71F31"/>
    <w:rsid w:val="00D7221A"/>
    <w:rsid w:val="00D72257"/>
    <w:rsid w:val="00D7311D"/>
    <w:rsid w:val="00D73635"/>
    <w:rsid w:val="00D73B1A"/>
    <w:rsid w:val="00D75566"/>
    <w:rsid w:val="00D7557C"/>
    <w:rsid w:val="00D759FE"/>
    <w:rsid w:val="00D76B5B"/>
    <w:rsid w:val="00D76E49"/>
    <w:rsid w:val="00D77BEA"/>
    <w:rsid w:val="00D802BC"/>
    <w:rsid w:val="00D82EC8"/>
    <w:rsid w:val="00D833BA"/>
    <w:rsid w:val="00D8412B"/>
    <w:rsid w:val="00D8701D"/>
    <w:rsid w:val="00D873DC"/>
    <w:rsid w:val="00D879D3"/>
    <w:rsid w:val="00D9002E"/>
    <w:rsid w:val="00D909BD"/>
    <w:rsid w:val="00D94552"/>
    <w:rsid w:val="00D9548D"/>
    <w:rsid w:val="00D955BE"/>
    <w:rsid w:val="00D95ABE"/>
    <w:rsid w:val="00D96ADF"/>
    <w:rsid w:val="00DA2E8A"/>
    <w:rsid w:val="00DA796D"/>
    <w:rsid w:val="00DB0740"/>
    <w:rsid w:val="00DB0A83"/>
    <w:rsid w:val="00DB0ECD"/>
    <w:rsid w:val="00DB2C0C"/>
    <w:rsid w:val="00DB5DD3"/>
    <w:rsid w:val="00DC0B4A"/>
    <w:rsid w:val="00DC13F0"/>
    <w:rsid w:val="00DC3571"/>
    <w:rsid w:val="00DC3D13"/>
    <w:rsid w:val="00DC58A2"/>
    <w:rsid w:val="00DD133D"/>
    <w:rsid w:val="00DD36BB"/>
    <w:rsid w:val="00DD68FF"/>
    <w:rsid w:val="00DD7914"/>
    <w:rsid w:val="00DE2130"/>
    <w:rsid w:val="00DE2872"/>
    <w:rsid w:val="00DE3FEF"/>
    <w:rsid w:val="00DE4F66"/>
    <w:rsid w:val="00DE504F"/>
    <w:rsid w:val="00DF2D16"/>
    <w:rsid w:val="00DF2F76"/>
    <w:rsid w:val="00DF4D67"/>
    <w:rsid w:val="00DF4EF8"/>
    <w:rsid w:val="00DF4F24"/>
    <w:rsid w:val="00DF5AB9"/>
    <w:rsid w:val="00DF6299"/>
    <w:rsid w:val="00DF64BE"/>
    <w:rsid w:val="00DF6718"/>
    <w:rsid w:val="00DF753A"/>
    <w:rsid w:val="00DF7DBB"/>
    <w:rsid w:val="00E00E1B"/>
    <w:rsid w:val="00E01628"/>
    <w:rsid w:val="00E01F4E"/>
    <w:rsid w:val="00E1312D"/>
    <w:rsid w:val="00E15856"/>
    <w:rsid w:val="00E15E23"/>
    <w:rsid w:val="00E20441"/>
    <w:rsid w:val="00E219FC"/>
    <w:rsid w:val="00E21DE8"/>
    <w:rsid w:val="00E2223A"/>
    <w:rsid w:val="00E25E3B"/>
    <w:rsid w:val="00E25EF2"/>
    <w:rsid w:val="00E3223D"/>
    <w:rsid w:val="00E3230E"/>
    <w:rsid w:val="00E3251A"/>
    <w:rsid w:val="00E32AF4"/>
    <w:rsid w:val="00E365D6"/>
    <w:rsid w:val="00E36FB7"/>
    <w:rsid w:val="00E37DDF"/>
    <w:rsid w:val="00E4459D"/>
    <w:rsid w:val="00E44CF8"/>
    <w:rsid w:val="00E5040D"/>
    <w:rsid w:val="00E5067C"/>
    <w:rsid w:val="00E50CEC"/>
    <w:rsid w:val="00E51081"/>
    <w:rsid w:val="00E5110C"/>
    <w:rsid w:val="00E533A8"/>
    <w:rsid w:val="00E53C8A"/>
    <w:rsid w:val="00E55984"/>
    <w:rsid w:val="00E56251"/>
    <w:rsid w:val="00E56825"/>
    <w:rsid w:val="00E60638"/>
    <w:rsid w:val="00E60837"/>
    <w:rsid w:val="00E61A00"/>
    <w:rsid w:val="00E66BB5"/>
    <w:rsid w:val="00E6716A"/>
    <w:rsid w:val="00E70C66"/>
    <w:rsid w:val="00E70F83"/>
    <w:rsid w:val="00E71682"/>
    <w:rsid w:val="00E74534"/>
    <w:rsid w:val="00E74C8B"/>
    <w:rsid w:val="00E75478"/>
    <w:rsid w:val="00E76019"/>
    <w:rsid w:val="00E762DB"/>
    <w:rsid w:val="00E76E94"/>
    <w:rsid w:val="00E778BA"/>
    <w:rsid w:val="00E812CF"/>
    <w:rsid w:val="00E83240"/>
    <w:rsid w:val="00E87735"/>
    <w:rsid w:val="00E8799A"/>
    <w:rsid w:val="00E9002E"/>
    <w:rsid w:val="00E903E7"/>
    <w:rsid w:val="00E9224E"/>
    <w:rsid w:val="00E93828"/>
    <w:rsid w:val="00E94998"/>
    <w:rsid w:val="00E94C65"/>
    <w:rsid w:val="00E94F6F"/>
    <w:rsid w:val="00E96604"/>
    <w:rsid w:val="00EA018F"/>
    <w:rsid w:val="00EA0C33"/>
    <w:rsid w:val="00EA0F5B"/>
    <w:rsid w:val="00EA23C8"/>
    <w:rsid w:val="00EA390F"/>
    <w:rsid w:val="00EA6A3C"/>
    <w:rsid w:val="00EA7589"/>
    <w:rsid w:val="00EB0F97"/>
    <w:rsid w:val="00EB1871"/>
    <w:rsid w:val="00EB2077"/>
    <w:rsid w:val="00EB43C9"/>
    <w:rsid w:val="00EB51D6"/>
    <w:rsid w:val="00EB52B8"/>
    <w:rsid w:val="00EB54EC"/>
    <w:rsid w:val="00EB59EF"/>
    <w:rsid w:val="00EB6734"/>
    <w:rsid w:val="00EB6DDC"/>
    <w:rsid w:val="00EC038C"/>
    <w:rsid w:val="00EC2874"/>
    <w:rsid w:val="00EC2B17"/>
    <w:rsid w:val="00EC6409"/>
    <w:rsid w:val="00EC6F7D"/>
    <w:rsid w:val="00ED1167"/>
    <w:rsid w:val="00ED20C0"/>
    <w:rsid w:val="00ED22C9"/>
    <w:rsid w:val="00ED22FA"/>
    <w:rsid w:val="00ED3D86"/>
    <w:rsid w:val="00ED5C99"/>
    <w:rsid w:val="00ED77F6"/>
    <w:rsid w:val="00EE15AE"/>
    <w:rsid w:val="00EE29F8"/>
    <w:rsid w:val="00EE5200"/>
    <w:rsid w:val="00EE5E64"/>
    <w:rsid w:val="00EF0231"/>
    <w:rsid w:val="00EF1D55"/>
    <w:rsid w:val="00EF211D"/>
    <w:rsid w:val="00EF28B0"/>
    <w:rsid w:val="00EF4DFE"/>
    <w:rsid w:val="00EF6211"/>
    <w:rsid w:val="00EF6947"/>
    <w:rsid w:val="00EF7755"/>
    <w:rsid w:val="00F01BF1"/>
    <w:rsid w:val="00F0392D"/>
    <w:rsid w:val="00F0553B"/>
    <w:rsid w:val="00F075E6"/>
    <w:rsid w:val="00F1284A"/>
    <w:rsid w:val="00F140D5"/>
    <w:rsid w:val="00F15BAE"/>
    <w:rsid w:val="00F172BE"/>
    <w:rsid w:val="00F20820"/>
    <w:rsid w:val="00F22288"/>
    <w:rsid w:val="00F22DF7"/>
    <w:rsid w:val="00F238DB"/>
    <w:rsid w:val="00F328CF"/>
    <w:rsid w:val="00F358BF"/>
    <w:rsid w:val="00F35C8C"/>
    <w:rsid w:val="00F40203"/>
    <w:rsid w:val="00F40F52"/>
    <w:rsid w:val="00F42865"/>
    <w:rsid w:val="00F4421B"/>
    <w:rsid w:val="00F5005D"/>
    <w:rsid w:val="00F50107"/>
    <w:rsid w:val="00F512F2"/>
    <w:rsid w:val="00F52C8E"/>
    <w:rsid w:val="00F538FD"/>
    <w:rsid w:val="00F54400"/>
    <w:rsid w:val="00F55EFC"/>
    <w:rsid w:val="00F57807"/>
    <w:rsid w:val="00F6073B"/>
    <w:rsid w:val="00F60CFA"/>
    <w:rsid w:val="00F60FC5"/>
    <w:rsid w:val="00F6353A"/>
    <w:rsid w:val="00F64672"/>
    <w:rsid w:val="00F6791D"/>
    <w:rsid w:val="00F6794B"/>
    <w:rsid w:val="00F715EF"/>
    <w:rsid w:val="00F71643"/>
    <w:rsid w:val="00F7259F"/>
    <w:rsid w:val="00F73914"/>
    <w:rsid w:val="00F7520A"/>
    <w:rsid w:val="00F7694B"/>
    <w:rsid w:val="00F76A10"/>
    <w:rsid w:val="00F77DFA"/>
    <w:rsid w:val="00F8196F"/>
    <w:rsid w:val="00F84D43"/>
    <w:rsid w:val="00F86A87"/>
    <w:rsid w:val="00F870DC"/>
    <w:rsid w:val="00F873D1"/>
    <w:rsid w:val="00F906CB"/>
    <w:rsid w:val="00F93ABE"/>
    <w:rsid w:val="00F967C7"/>
    <w:rsid w:val="00F97D48"/>
    <w:rsid w:val="00FA0B85"/>
    <w:rsid w:val="00FA1206"/>
    <w:rsid w:val="00FA54F4"/>
    <w:rsid w:val="00FA7B77"/>
    <w:rsid w:val="00FB056F"/>
    <w:rsid w:val="00FB33A5"/>
    <w:rsid w:val="00FB362B"/>
    <w:rsid w:val="00FB3700"/>
    <w:rsid w:val="00FB3D41"/>
    <w:rsid w:val="00FB4311"/>
    <w:rsid w:val="00FB697E"/>
    <w:rsid w:val="00FB795E"/>
    <w:rsid w:val="00FC23FB"/>
    <w:rsid w:val="00FC3BAA"/>
    <w:rsid w:val="00FC4189"/>
    <w:rsid w:val="00FC52B8"/>
    <w:rsid w:val="00FD0B9C"/>
    <w:rsid w:val="00FD277B"/>
    <w:rsid w:val="00FD4547"/>
    <w:rsid w:val="00FD51A3"/>
    <w:rsid w:val="00FD5EC4"/>
    <w:rsid w:val="00FD5F31"/>
    <w:rsid w:val="00FD600D"/>
    <w:rsid w:val="00FE273E"/>
    <w:rsid w:val="00FE2C9A"/>
    <w:rsid w:val="00FE322B"/>
    <w:rsid w:val="00FE3F12"/>
    <w:rsid w:val="00FE4DBA"/>
    <w:rsid w:val="00FE75B5"/>
    <w:rsid w:val="00FF1362"/>
    <w:rsid w:val="00FF1686"/>
    <w:rsid w:val="00FF2828"/>
    <w:rsid w:val="00FF3509"/>
    <w:rsid w:val="00FF5CE6"/>
    <w:rsid w:val="00FF690A"/>
    <w:rsid w:val="0108647F"/>
    <w:rsid w:val="01242B97"/>
    <w:rsid w:val="01443004"/>
    <w:rsid w:val="017964A9"/>
    <w:rsid w:val="01996FC1"/>
    <w:rsid w:val="02013B5B"/>
    <w:rsid w:val="021D656C"/>
    <w:rsid w:val="024D768C"/>
    <w:rsid w:val="026815E4"/>
    <w:rsid w:val="02817194"/>
    <w:rsid w:val="02B51262"/>
    <w:rsid w:val="02C910D6"/>
    <w:rsid w:val="02E33A9D"/>
    <w:rsid w:val="02F472CF"/>
    <w:rsid w:val="03A83FB4"/>
    <w:rsid w:val="03BD361F"/>
    <w:rsid w:val="03E944AB"/>
    <w:rsid w:val="045734E9"/>
    <w:rsid w:val="048B3E14"/>
    <w:rsid w:val="04A859D9"/>
    <w:rsid w:val="04CC765A"/>
    <w:rsid w:val="04D11DD0"/>
    <w:rsid w:val="051D27ED"/>
    <w:rsid w:val="051E0EED"/>
    <w:rsid w:val="05541983"/>
    <w:rsid w:val="055E5928"/>
    <w:rsid w:val="058F5787"/>
    <w:rsid w:val="05C65AF1"/>
    <w:rsid w:val="05F84F04"/>
    <w:rsid w:val="05FC3ECD"/>
    <w:rsid w:val="0627678C"/>
    <w:rsid w:val="06525A6F"/>
    <w:rsid w:val="066820CF"/>
    <w:rsid w:val="06A85C49"/>
    <w:rsid w:val="06DB4EFA"/>
    <w:rsid w:val="071B239F"/>
    <w:rsid w:val="079314E2"/>
    <w:rsid w:val="0797412C"/>
    <w:rsid w:val="081B1CFB"/>
    <w:rsid w:val="086F5437"/>
    <w:rsid w:val="089D188E"/>
    <w:rsid w:val="08E36401"/>
    <w:rsid w:val="090C68E1"/>
    <w:rsid w:val="09200547"/>
    <w:rsid w:val="09296AB4"/>
    <w:rsid w:val="09F3797E"/>
    <w:rsid w:val="0A1E0336"/>
    <w:rsid w:val="0A6B43FA"/>
    <w:rsid w:val="0A7D73CF"/>
    <w:rsid w:val="0B5A2860"/>
    <w:rsid w:val="0B7C1DFC"/>
    <w:rsid w:val="0B80619A"/>
    <w:rsid w:val="0BA66A88"/>
    <w:rsid w:val="0BCA3809"/>
    <w:rsid w:val="0BDE2C73"/>
    <w:rsid w:val="0C764F66"/>
    <w:rsid w:val="0D1F2AC7"/>
    <w:rsid w:val="0D4161D6"/>
    <w:rsid w:val="0D5F0C35"/>
    <w:rsid w:val="0D651073"/>
    <w:rsid w:val="0DA73B86"/>
    <w:rsid w:val="0DD84583"/>
    <w:rsid w:val="0E036F7D"/>
    <w:rsid w:val="0E1D2431"/>
    <w:rsid w:val="0ED5398D"/>
    <w:rsid w:val="0EDC4477"/>
    <w:rsid w:val="0F1F63BF"/>
    <w:rsid w:val="0F390336"/>
    <w:rsid w:val="0F520A09"/>
    <w:rsid w:val="0FD359B9"/>
    <w:rsid w:val="0FF4582F"/>
    <w:rsid w:val="102449F6"/>
    <w:rsid w:val="102F2633"/>
    <w:rsid w:val="10EB59A7"/>
    <w:rsid w:val="112137E7"/>
    <w:rsid w:val="1154496C"/>
    <w:rsid w:val="11667AAD"/>
    <w:rsid w:val="11B84B36"/>
    <w:rsid w:val="11F2404A"/>
    <w:rsid w:val="122F0942"/>
    <w:rsid w:val="129D4DE6"/>
    <w:rsid w:val="12E80F52"/>
    <w:rsid w:val="139871D0"/>
    <w:rsid w:val="13F43368"/>
    <w:rsid w:val="141A2D35"/>
    <w:rsid w:val="14432EB8"/>
    <w:rsid w:val="149916E5"/>
    <w:rsid w:val="151F2E24"/>
    <w:rsid w:val="15460BDD"/>
    <w:rsid w:val="158B35E9"/>
    <w:rsid w:val="15A63561"/>
    <w:rsid w:val="15B53B9F"/>
    <w:rsid w:val="15BE7CAB"/>
    <w:rsid w:val="15F905BA"/>
    <w:rsid w:val="16BC62B8"/>
    <w:rsid w:val="171D1F4E"/>
    <w:rsid w:val="17286204"/>
    <w:rsid w:val="1771724D"/>
    <w:rsid w:val="17935A31"/>
    <w:rsid w:val="17993FD1"/>
    <w:rsid w:val="17C64A09"/>
    <w:rsid w:val="17DB2EE0"/>
    <w:rsid w:val="181548D3"/>
    <w:rsid w:val="18435EB9"/>
    <w:rsid w:val="18826DA1"/>
    <w:rsid w:val="18A53C62"/>
    <w:rsid w:val="18B175CE"/>
    <w:rsid w:val="19251DDD"/>
    <w:rsid w:val="19717A60"/>
    <w:rsid w:val="197B3D12"/>
    <w:rsid w:val="198928A5"/>
    <w:rsid w:val="19D91D07"/>
    <w:rsid w:val="1A3C0102"/>
    <w:rsid w:val="1A66238D"/>
    <w:rsid w:val="1A7C5346"/>
    <w:rsid w:val="1A893033"/>
    <w:rsid w:val="1B9A0095"/>
    <w:rsid w:val="1B9D5AAC"/>
    <w:rsid w:val="1BA66F4F"/>
    <w:rsid w:val="1C9112ED"/>
    <w:rsid w:val="1D010E4D"/>
    <w:rsid w:val="1D5948A7"/>
    <w:rsid w:val="1D6C768D"/>
    <w:rsid w:val="1D846F1C"/>
    <w:rsid w:val="1DD25EBA"/>
    <w:rsid w:val="1DF203AA"/>
    <w:rsid w:val="1E234579"/>
    <w:rsid w:val="1EDB3B74"/>
    <w:rsid w:val="1EF04B90"/>
    <w:rsid w:val="1F095979"/>
    <w:rsid w:val="1F0C0B3D"/>
    <w:rsid w:val="1F1C5A02"/>
    <w:rsid w:val="1F3B7BA0"/>
    <w:rsid w:val="1F63167A"/>
    <w:rsid w:val="1F6D3C9A"/>
    <w:rsid w:val="1FCD69F4"/>
    <w:rsid w:val="2003785A"/>
    <w:rsid w:val="200F1565"/>
    <w:rsid w:val="20530D3C"/>
    <w:rsid w:val="2064519B"/>
    <w:rsid w:val="20652A60"/>
    <w:rsid w:val="20B131D7"/>
    <w:rsid w:val="20CE3120"/>
    <w:rsid w:val="214E21E3"/>
    <w:rsid w:val="2172148D"/>
    <w:rsid w:val="21736C7D"/>
    <w:rsid w:val="220F7598"/>
    <w:rsid w:val="221A73D8"/>
    <w:rsid w:val="223E7B56"/>
    <w:rsid w:val="2276215C"/>
    <w:rsid w:val="2278728D"/>
    <w:rsid w:val="22BB44AB"/>
    <w:rsid w:val="23085487"/>
    <w:rsid w:val="230D060F"/>
    <w:rsid w:val="234B5C81"/>
    <w:rsid w:val="236E1D10"/>
    <w:rsid w:val="23AF2A51"/>
    <w:rsid w:val="23EE429C"/>
    <w:rsid w:val="2425528C"/>
    <w:rsid w:val="249069DD"/>
    <w:rsid w:val="24AC5A62"/>
    <w:rsid w:val="25324209"/>
    <w:rsid w:val="2533439A"/>
    <w:rsid w:val="255F2922"/>
    <w:rsid w:val="25782608"/>
    <w:rsid w:val="259F3C60"/>
    <w:rsid w:val="25A80FC7"/>
    <w:rsid w:val="25BD376F"/>
    <w:rsid w:val="26B25E5A"/>
    <w:rsid w:val="26C84387"/>
    <w:rsid w:val="27384EB5"/>
    <w:rsid w:val="275D65F5"/>
    <w:rsid w:val="2788244C"/>
    <w:rsid w:val="27973E78"/>
    <w:rsid w:val="283A05DC"/>
    <w:rsid w:val="28636BC2"/>
    <w:rsid w:val="28A626AF"/>
    <w:rsid w:val="28D863A4"/>
    <w:rsid w:val="292F7E41"/>
    <w:rsid w:val="2935068F"/>
    <w:rsid w:val="29491CBA"/>
    <w:rsid w:val="29D67C37"/>
    <w:rsid w:val="2A0F6CDF"/>
    <w:rsid w:val="2A265EBF"/>
    <w:rsid w:val="2A5912F4"/>
    <w:rsid w:val="2A7D1B82"/>
    <w:rsid w:val="2A963093"/>
    <w:rsid w:val="2B513F18"/>
    <w:rsid w:val="2B5D62B7"/>
    <w:rsid w:val="2B650E1B"/>
    <w:rsid w:val="2BEC15D5"/>
    <w:rsid w:val="2C652437"/>
    <w:rsid w:val="2C6D00A1"/>
    <w:rsid w:val="2C6F2844"/>
    <w:rsid w:val="2C8B79F5"/>
    <w:rsid w:val="2C8C5DDC"/>
    <w:rsid w:val="2D167838"/>
    <w:rsid w:val="2E293828"/>
    <w:rsid w:val="2E2F5EBB"/>
    <w:rsid w:val="2E3F5109"/>
    <w:rsid w:val="2E566088"/>
    <w:rsid w:val="2E644886"/>
    <w:rsid w:val="2EE00CD2"/>
    <w:rsid w:val="2F044FB5"/>
    <w:rsid w:val="2F0B239A"/>
    <w:rsid w:val="2F1A7CA8"/>
    <w:rsid w:val="2F2D6512"/>
    <w:rsid w:val="2F55409B"/>
    <w:rsid w:val="2F77649C"/>
    <w:rsid w:val="2FB456E1"/>
    <w:rsid w:val="2FBE30D4"/>
    <w:rsid w:val="2FC75150"/>
    <w:rsid w:val="2FE40AA5"/>
    <w:rsid w:val="303A1144"/>
    <w:rsid w:val="30613682"/>
    <w:rsid w:val="30645027"/>
    <w:rsid w:val="309504AE"/>
    <w:rsid w:val="30F51292"/>
    <w:rsid w:val="312507CD"/>
    <w:rsid w:val="319240D6"/>
    <w:rsid w:val="31F5587C"/>
    <w:rsid w:val="32182BCD"/>
    <w:rsid w:val="321B42B4"/>
    <w:rsid w:val="32A65EC0"/>
    <w:rsid w:val="333663FF"/>
    <w:rsid w:val="3342213D"/>
    <w:rsid w:val="336F2358"/>
    <w:rsid w:val="33FF3035"/>
    <w:rsid w:val="340163F7"/>
    <w:rsid w:val="34544B80"/>
    <w:rsid w:val="34996D25"/>
    <w:rsid w:val="34F00DF2"/>
    <w:rsid w:val="34F81B04"/>
    <w:rsid w:val="357D6614"/>
    <w:rsid w:val="35B37939"/>
    <w:rsid w:val="361356F4"/>
    <w:rsid w:val="362E2A50"/>
    <w:rsid w:val="36B93617"/>
    <w:rsid w:val="374C0007"/>
    <w:rsid w:val="37734F87"/>
    <w:rsid w:val="37746BED"/>
    <w:rsid w:val="37B4685D"/>
    <w:rsid w:val="383226D8"/>
    <w:rsid w:val="38AB10AC"/>
    <w:rsid w:val="39115E2E"/>
    <w:rsid w:val="39263607"/>
    <w:rsid w:val="396D7809"/>
    <w:rsid w:val="3A4654B4"/>
    <w:rsid w:val="3A515D38"/>
    <w:rsid w:val="3A6E5E84"/>
    <w:rsid w:val="3A7B0D81"/>
    <w:rsid w:val="3A890429"/>
    <w:rsid w:val="3ACB21A9"/>
    <w:rsid w:val="3B7B0C90"/>
    <w:rsid w:val="3B8F13C5"/>
    <w:rsid w:val="3BA13B63"/>
    <w:rsid w:val="3BA44C35"/>
    <w:rsid w:val="3C4A6363"/>
    <w:rsid w:val="3C6F7B5F"/>
    <w:rsid w:val="3C986C47"/>
    <w:rsid w:val="3C9E041C"/>
    <w:rsid w:val="3CE02FD0"/>
    <w:rsid w:val="3CEE3501"/>
    <w:rsid w:val="3D650222"/>
    <w:rsid w:val="3DF54F6F"/>
    <w:rsid w:val="3E0F5BA0"/>
    <w:rsid w:val="3E165F5C"/>
    <w:rsid w:val="3E2B57AD"/>
    <w:rsid w:val="3E3D1D75"/>
    <w:rsid w:val="3E6D2C01"/>
    <w:rsid w:val="3EAE56C8"/>
    <w:rsid w:val="3ED32005"/>
    <w:rsid w:val="3EED6ED0"/>
    <w:rsid w:val="3F120BFC"/>
    <w:rsid w:val="3F764CB6"/>
    <w:rsid w:val="40120871"/>
    <w:rsid w:val="404B6889"/>
    <w:rsid w:val="405A511F"/>
    <w:rsid w:val="41484EBE"/>
    <w:rsid w:val="414B75DE"/>
    <w:rsid w:val="417018D6"/>
    <w:rsid w:val="424726FF"/>
    <w:rsid w:val="42BF6859"/>
    <w:rsid w:val="43450646"/>
    <w:rsid w:val="435430F2"/>
    <w:rsid w:val="43905F10"/>
    <w:rsid w:val="44005F72"/>
    <w:rsid w:val="444D5F18"/>
    <w:rsid w:val="447C4D4B"/>
    <w:rsid w:val="449D0C1F"/>
    <w:rsid w:val="45105F55"/>
    <w:rsid w:val="45460F7F"/>
    <w:rsid w:val="456B68A5"/>
    <w:rsid w:val="4573790E"/>
    <w:rsid w:val="45900604"/>
    <w:rsid w:val="45A57AEF"/>
    <w:rsid w:val="45A81CAF"/>
    <w:rsid w:val="45C75579"/>
    <w:rsid w:val="45F136BB"/>
    <w:rsid w:val="46261F0D"/>
    <w:rsid w:val="46387F31"/>
    <w:rsid w:val="46892F02"/>
    <w:rsid w:val="46A6276B"/>
    <w:rsid w:val="46B73D2A"/>
    <w:rsid w:val="471127B2"/>
    <w:rsid w:val="47544795"/>
    <w:rsid w:val="47672FDB"/>
    <w:rsid w:val="479C3F79"/>
    <w:rsid w:val="47B01B8B"/>
    <w:rsid w:val="47FB7786"/>
    <w:rsid w:val="484720BC"/>
    <w:rsid w:val="48542476"/>
    <w:rsid w:val="485955DD"/>
    <w:rsid w:val="48D879FA"/>
    <w:rsid w:val="49056F88"/>
    <w:rsid w:val="49336CD8"/>
    <w:rsid w:val="49355605"/>
    <w:rsid w:val="49B4639F"/>
    <w:rsid w:val="4A1E1F41"/>
    <w:rsid w:val="4A217D5E"/>
    <w:rsid w:val="4A296E9E"/>
    <w:rsid w:val="4A7C4CE6"/>
    <w:rsid w:val="4B2748B2"/>
    <w:rsid w:val="4B401565"/>
    <w:rsid w:val="4B502687"/>
    <w:rsid w:val="4B581065"/>
    <w:rsid w:val="4B6A3BDA"/>
    <w:rsid w:val="4B9C5A05"/>
    <w:rsid w:val="4BD407DF"/>
    <w:rsid w:val="4C3E5050"/>
    <w:rsid w:val="4C8244E4"/>
    <w:rsid w:val="4C9E1769"/>
    <w:rsid w:val="4CE72B7B"/>
    <w:rsid w:val="4CFF4AA3"/>
    <w:rsid w:val="4D64646D"/>
    <w:rsid w:val="4DA442DB"/>
    <w:rsid w:val="4E6F77EF"/>
    <w:rsid w:val="4EB73374"/>
    <w:rsid w:val="4ED409F0"/>
    <w:rsid w:val="4EE60914"/>
    <w:rsid w:val="4F387A7A"/>
    <w:rsid w:val="4F6E28F0"/>
    <w:rsid w:val="4F7B6984"/>
    <w:rsid w:val="4FC46069"/>
    <w:rsid w:val="4FD005AE"/>
    <w:rsid w:val="50323347"/>
    <w:rsid w:val="50837E02"/>
    <w:rsid w:val="509C7642"/>
    <w:rsid w:val="50A070F7"/>
    <w:rsid w:val="50AC659C"/>
    <w:rsid w:val="51704DEF"/>
    <w:rsid w:val="51B0761D"/>
    <w:rsid w:val="51F11C10"/>
    <w:rsid w:val="52213D07"/>
    <w:rsid w:val="5238649A"/>
    <w:rsid w:val="528536D3"/>
    <w:rsid w:val="52A77DA4"/>
    <w:rsid w:val="53662852"/>
    <w:rsid w:val="536C0FFE"/>
    <w:rsid w:val="538F661B"/>
    <w:rsid w:val="53A056AF"/>
    <w:rsid w:val="53B04CEA"/>
    <w:rsid w:val="53B41457"/>
    <w:rsid w:val="53D56DDB"/>
    <w:rsid w:val="54177F1E"/>
    <w:rsid w:val="541A6B7B"/>
    <w:rsid w:val="54296180"/>
    <w:rsid w:val="54477234"/>
    <w:rsid w:val="54671F32"/>
    <w:rsid w:val="54CC1E57"/>
    <w:rsid w:val="54E3627C"/>
    <w:rsid w:val="54F626A4"/>
    <w:rsid w:val="551E374A"/>
    <w:rsid w:val="551F0799"/>
    <w:rsid w:val="558B4E93"/>
    <w:rsid w:val="55944FA1"/>
    <w:rsid w:val="55CE55CB"/>
    <w:rsid w:val="55FB03CD"/>
    <w:rsid w:val="56145C30"/>
    <w:rsid w:val="5645084B"/>
    <w:rsid w:val="57145535"/>
    <w:rsid w:val="57C322BB"/>
    <w:rsid w:val="58105F17"/>
    <w:rsid w:val="58BF26CD"/>
    <w:rsid w:val="58C567CC"/>
    <w:rsid w:val="58ED46B0"/>
    <w:rsid w:val="58FD2305"/>
    <w:rsid w:val="59393C4A"/>
    <w:rsid w:val="59D27A0C"/>
    <w:rsid w:val="59E40202"/>
    <w:rsid w:val="59F04EF4"/>
    <w:rsid w:val="5A0435C3"/>
    <w:rsid w:val="5A394FC1"/>
    <w:rsid w:val="5A516620"/>
    <w:rsid w:val="5B021E37"/>
    <w:rsid w:val="5B7F5251"/>
    <w:rsid w:val="5BB73DD6"/>
    <w:rsid w:val="5BBB7739"/>
    <w:rsid w:val="5BBD4EF8"/>
    <w:rsid w:val="5BC03CD5"/>
    <w:rsid w:val="5BC62D16"/>
    <w:rsid w:val="5C1D21E6"/>
    <w:rsid w:val="5C7130A4"/>
    <w:rsid w:val="5C7C6F1B"/>
    <w:rsid w:val="5C844AAD"/>
    <w:rsid w:val="5C925AD2"/>
    <w:rsid w:val="5D1B1B06"/>
    <w:rsid w:val="5D3775F3"/>
    <w:rsid w:val="5DD27ECB"/>
    <w:rsid w:val="5F1B37BA"/>
    <w:rsid w:val="5F3F2C3C"/>
    <w:rsid w:val="602A0E6D"/>
    <w:rsid w:val="60624606"/>
    <w:rsid w:val="609F35F2"/>
    <w:rsid w:val="61494D95"/>
    <w:rsid w:val="6155111F"/>
    <w:rsid w:val="625006EB"/>
    <w:rsid w:val="62571012"/>
    <w:rsid w:val="62ED47EA"/>
    <w:rsid w:val="62F967CA"/>
    <w:rsid w:val="634A6B57"/>
    <w:rsid w:val="63F91DD1"/>
    <w:rsid w:val="64315EF0"/>
    <w:rsid w:val="643D666B"/>
    <w:rsid w:val="656216CE"/>
    <w:rsid w:val="65CC36C6"/>
    <w:rsid w:val="669127E3"/>
    <w:rsid w:val="669F584F"/>
    <w:rsid w:val="66A020CF"/>
    <w:rsid w:val="66AD3E3A"/>
    <w:rsid w:val="66E922DE"/>
    <w:rsid w:val="6758166F"/>
    <w:rsid w:val="67A03992"/>
    <w:rsid w:val="67A92F96"/>
    <w:rsid w:val="67DC74F1"/>
    <w:rsid w:val="67DD542C"/>
    <w:rsid w:val="68122BF4"/>
    <w:rsid w:val="68E23561"/>
    <w:rsid w:val="68EC13C4"/>
    <w:rsid w:val="6957719D"/>
    <w:rsid w:val="695A7016"/>
    <w:rsid w:val="696F202C"/>
    <w:rsid w:val="6AD54CC1"/>
    <w:rsid w:val="6ADE270F"/>
    <w:rsid w:val="6AFC42BE"/>
    <w:rsid w:val="6B141F0F"/>
    <w:rsid w:val="6B2E23D2"/>
    <w:rsid w:val="6B653230"/>
    <w:rsid w:val="6B806A43"/>
    <w:rsid w:val="6BA52C19"/>
    <w:rsid w:val="6BBE33C1"/>
    <w:rsid w:val="6C815485"/>
    <w:rsid w:val="6CCC213B"/>
    <w:rsid w:val="6CE834AF"/>
    <w:rsid w:val="6CEA401C"/>
    <w:rsid w:val="6CED13A1"/>
    <w:rsid w:val="6D032A2B"/>
    <w:rsid w:val="6D417174"/>
    <w:rsid w:val="6D6A7564"/>
    <w:rsid w:val="6DA9438E"/>
    <w:rsid w:val="6DC37FB5"/>
    <w:rsid w:val="6ECA12D3"/>
    <w:rsid w:val="6ED709A0"/>
    <w:rsid w:val="6ED754F5"/>
    <w:rsid w:val="6EE25A4E"/>
    <w:rsid w:val="6EFC63FB"/>
    <w:rsid w:val="6FAC2527"/>
    <w:rsid w:val="6FF01A2A"/>
    <w:rsid w:val="70074091"/>
    <w:rsid w:val="704B62D2"/>
    <w:rsid w:val="70AA0BCC"/>
    <w:rsid w:val="70EF636C"/>
    <w:rsid w:val="717331B6"/>
    <w:rsid w:val="71C91228"/>
    <w:rsid w:val="71D14840"/>
    <w:rsid w:val="72016658"/>
    <w:rsid w:val="72283B36"/>
    <w:rsid w:val="72780975"/>
    <w:rsid w:val="72832AB8"/>
    <w:rsid w:val="728A4468"/>
    <w:rsid w:val="72B102DA"/>
    <w:rsid w:val="72B4351B"/>
    <w:rsid w:val="72B901BD"/>
    <w:rsid w:val="72D22768"/>
    <w:rsid w:val="72D45F66"/>
    <w:rsid w:val="72F25CAF"/>
    <w:rsid w:val="732A3862"/>
    <w:rsid w:val="73804EDA"/>
    <w:rsid w:val="73D9513D"/>
    <w:rsid w:val="73F25289"/>
    <w:rsid w:val="741527F4"/>
    <w:rsid w:val="7485580D"/>
    <w:rsid w:val="749470B9"/>
    <w:rsid w:val="74DA2F09"/>
    <w:rsid w:val="75091547"/>
    <w:rsid w:val="751C0CC1"/>
    <w:rsid w:val="753D327B"/>
    <w:rsid w:val="757C086D"/>
    <w:rsid w:val="75804A36"/>
    <w:rsid w:val="75A5486A"/>
    <w:rsid w:val="75B87975"/>
    <w:rsid w:val="76217D3F"/>
    <w:rsid w:val="762D6C3F"/>
    <w:rsid w:val="76956BE2"/>
    <w:rsid w:val="76B86C49"/>
    <w:rsid w:val="76CE1B13"/>
    <w:rsid w:val="772B10B5"/>
    <w:rsid w:val="77AD185B"/>
    <w:rsid w:val="77D73095"/>
    <w:rsid w:val="78041330"/>
    <w:rsid w:val="781F67B1"/>
    <w:rsid w:val="783B110F"/>
    <w:rsid w:val="783F0F53"/>
    <w:rsid w:val="785638C1"/>
    <w:rsid w:val="787A3A58"/>
    <w:rsid w:val="787F1F88"/>
    <w:rsid w:val="7896056D"/>
    <w:rsid w:val="789C500B"/>
    <w:rsid w:val="78A44AF9"/>
    <w:rsid w:val="78F1608B"/>
    <w:rsid w:val="79761A69"/>
    <w:rsid w:val="7A05268C"/>
    <w:rsid w:val="7A227EB8"/>
    <w:rsid w:val="7A6B6119"/>
    <w:rsid w:val="7A7E0950"/>
    <w:rsid w:val="7B0737B3"/>
    <w:rsid w:val="7B3602D6"/>
    <w:rsid w:val="7BF77374"/>
    <w:rsid w:val="7C293142"/>
    <w:rsid w:val="7C5E23BD"/>
    <w:rsid w:val="7CA949A1"/>
    <w:rsid w:val="7CCF2D25"/>
    <w:rsid w:val="7D2E4372"/>
    <w:rsid w:val="7E335DA5"/>
    <w:rsid w:val="7E805DB3"/>
    <w:rsid w:val="7E932601"/>
    <w:rsid w:val="7E9A13E9"/>
    <w:rsid w:val="7ED03FDC"/>
    <w:rsid w:val="7EF56519"/>
    <w:rsid w:val="7F465986"/>
    <w:rsid w:val="7FFB0EA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uiPriority="99" w:name="Date" w:locked="1"/>
    <w:lsdException w:qFormat="1" w:unhideWhenUsed="0" w:uiPriority="99" w:semiHidden="0" w:name="Body Text First Indent"/>
    <w:lsdException w:qFormat="1" w:unhideWhenUsed="0" w:uiPriority="99" w:semiHidden="0" w:name="Body Text First Indent 2"/>
    <w:lsdException w:uiPriority="99" w:name="Note Heading" w:locked="1"/>
    <w:lsdException w:uiPriority="99" w:name="Body Text 2" w:locked="1"/>
    <w:lsdException w:uiPriority="99" w:name="Body Text 3" w:locked="1"/>
    <w:lsdException w:qFormat="1" w:unhideWhenUsed="0" w:uiPriority="99" w:semiHidden="0" w:name="Body Text Indent 2"/>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20" w:semiHidden="0" w:name="Emphasis" w:locked="1"/>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5"/>
    <w:qFormat/>
    <w:uiPriority w:val="99"/>
    <w:pPr>
      <w:keepNext/>
      <w:keepLines/>
      <w:spacing w:before="340" w:after="330" w:line="578" w:lineRule="auto"/>
      <w:outlineLvl w:val="0"/>
    </w:pPr>
    <w:rPr>
      <w:rFonts w:eastAsia="黑体"/>
      <w:b/>
      <w:bCs/>
      <w:kern w:val="44"/>
      <w:sz w:val="32"/>
      <w:szCs w:val="32"/>
    </w:rPr>
  </w:style>
  <w:style w:type="paragraph" w:styleId="3">
    <w:name w:val="heading 2"/>
    <w:basedOn w:val="1"/>
    <w:next w:val="1"/>
    <w:link w:val="26"/>
    <w:qFormat/>
    <w:uiPriority w:val="99"/>
    <w:pPr>
      <w:keepNext/>
      <w:keepLines/>
      <w:spacing w:before="260" w:after="260" w:line="416" w:lineRule="auto"/>
      <w:outlineLvl w:val="1"/>
    </w:pPr>
    <w:rPr>
      <w:rFonts w:ascii="Cambria" w:hAnsi="Cambria" w:cs="Cambria"/>
      <w:b/>
      <w:bCs/>
      <w:sz w:val="28"/>
      <w:szCs w:val="28"/>
    </w:rPr>
  </w:style>
  <w:style w:type="paragraph" w:styleId="4">
    <w:name w:val="heading 3"/>
    <w:basedOn w:val="1"/>
    <w:next w:val="1"/>
    <w:link w:val="27"/>
    <w:qFormat/>
    <w:uiPriority w:val="99"/>
    <w:pPr>
      <w:keepNext/>
      <w:keepLines/>
      <w:spacing w:before="260" w:after="260" w:line="416" w:lineRule="auto"/>
      <w:outlineLvl w:val="2"/>
    </w:pPr>
    <w:rPr>
      <w:b/>
      <w:bCs/>
      <w:sz w:val="32"/>
      <w:szCs w:val="32"/>
    </w:rPr>
  </w:style>
  <w:style w:type="paragraph" w:styleId="5">
    <w:name w:val="heading 4"/>
    <w:basedOn w:val="1"/>
    <w:next w:val="1"/>
    <w:link w:val="28"/>
    <w:qFormat/>
    <w:locked/>
    <w:uiPriority w:val="99"/>
    <w:pPr>
      <w:keepNext/>
      <w:keepLines/>
      <w:spacing w:before="280" w:after="290" w:line="376" w:lineRule="auto"/>
      <w:outlineLvl w:val="3"/>
    </w:pPr>
    <w:rPr>
      <w:rFonts w:ascii="Arial" w:hAnsi="Arial" w:eastAsia="黑体" w:cs="Arial"/>
      <w:b/>
      <w:bCs/>
      <w:sz w:val="28"/>
      <w:szCs w:val="28"/>
    </w:rPr>
  </w:style>
  <w:style w:type="character" w:default="1" w:styleId="22">
    <w:name w:val="Default Paragraph Font"/>
    <w:semiHidden/>
    <w:qFormat/>
    <w:uiPriority w:val="99"/>
  </w:style>
  <w:style w:type="table" w:default="1" w:styleId="21">
    <w:name w:val="Normal Table"/>
    <w:semiHidden/>
    <w:unhideWhenUsed/>
    <w:qFormat/>
    <w:uiPriority w:val="99"/>
    <w:tblPr>
      <w:tblLayout w:type="fixed"/>
      <w:tblCellMar>
        <w:top w:w="0" w:type="dxa"/>
        <w:left w:w="108" w:type="dxa"/>
        <w:bottom w:w="0" w:type="dxa"/>
        <w:right w:w="108" w:type="dxa"/>
      </w:tblCellMar>
    </w:tblPr>
  </w:style>
  <w:style w:type="paragraph" w:styleId="6">
    <w:name w:val="Document Map"/>
    <w:basedOn w:val="1"/>
    <w:link w:val="31"/>
    <w:semiHidden/>
    <w:qFormat/>
    <w:uiPriority w:val="99"/>
    <w:pPr>
      <w:shd w:val="clear" w:color="auto" w:fill="000080"/>
    </w:pPr>
  </w:style>
  <w:style w:type="paragraph" w:styleId="7">
    <w:name w:val="Body Text"/>
    <w:basedOn w:val="1"/>
    <w:link w:val="29"/>
    <w:qFormat/>
    <w:uiPriority w:val="99"/>
    <w:pPr>
      <w:spacing w:after="120"/>
    </w:pPr>
  </w:style>
  <w:style w:type="paragraph" w:styleId="8">
    <w:name w:val="Body Text Indent"/>
    <w:basedOn w:val="1"/>
    <w:link w:val="32"/>
    <w:qFormat/>
    <w:uiPriority w:val="99"/>
    <w:pPr>
      <w:spacing w:after="120"/>
      <w:ind w:left="420" w:leftChars="200"/>
    </w:pPr>
  </w:style>
  <w:style w:type="paragraph" w:styleId="9">
    <w:name w:val="toc 3"/>
    <w:basedOn w:val="1"/>
    <w:next w:val="1"/>
    <w:semiHidden/>
    <w:qFormat/>
    <w:uiPriority w:val="99"/>
    <w:pPr>
      <w:tabs>
        <w:tab w:val="right" w:leader="dot" w:pos="8494"/>
      </w:tabs>
      <w:ind w:left="840" w:leftChars="400"/>
    </w:pPr>
    <w:rPr>
      <w:b/>
      <w:bCs/>
      <w:kern w:val="0"/>
      <w:sz w:val="30"/>
      <w:szCs w:val="30"/>
    </w:rPr>
  </w:style>
  <w:style w:type="paragraph" w:styleId="10">
    <w:name w:val="Plain Text"/>
    <w:basedOn w:val="1"/>
    <w:link w:val="33"/>
    <w:qFormat/>
    <w:uiPriority w:val="99"/>
    <w:rPr>
      <w:rFonts w:ascii="宋体" w:hAnsi="Courier New" w:cs="宋体"/>
    </w:rPr>
  </w:style>
  <w:style w:type="paragraph" w:styleId="11">
    <w:name w:val="Body Text Indent 2"/>
    <w:basedOn w:val="1"/>
    <w:link w:val="34"/>
    <w:qFormat/>
    <w:uiPriority w:val="99"/>
    <w:pPr>
      <w:spacing w:after="120" w:line="480" w:lineRule="auto"/>
      <w:ind w:left="420" w:leftChars="200"/>
    </w:pPr>
  </w:style>
  <w:style w:type="paragraph" w:styleId="12">
    <w:name w:val="Balloon Text"/>
    <w:basedOn w:val="1"/>
    <w:link w:val="35"/>
    <w:semiHidden/>
    <w:qFormat/>
    <w:uiPriority w:val="99"/>
    <w:rPr>
      <w:kern w:val="0"/>
      <w:sz w:val="18"/>
      <w:szCs w:val="18"/>
    </w:rPr>
  </w:style>
  <w:style w:type="paragraph" w:styleId="13">
    <w:name w:val="footer"/>
    <w:basedOn w:val="1"/>
    <w:link w:val="36"/>
    <w:qFormat/>
    <w:uiPriority w:val="99"/>
    <w:pPr>
      <w:tabs>
        <w:tab w:val="center" w:pos="4153"/>
        <w:tab w:val="right" w:pos="8306"/>
      </w:tabs>
      <w:snapToGrid w:val="0"/>
      <w:jc w:val="left"/>
    </w:pPr>
    <w:rPr>
      <w:kern w:val="0"/>
      <w:sz w:val="18"/>
      <w:szCs w:val="18"/>
    </w:rPr>
  </w:style>
  <w:style w:type="paragraph" w:styleId="14">
    <w:name w:val="header"/>
    <w:basedOn w:val="1"/>
    <w:link w:val="38"/>
    <w:qFormat/>
    <w:uiPriority w:val="99"/>
    <w:pPr>
      <w:pBdr>
        <w:bottom w:val="single" w:color="auto" w:sz="6" w:space="1"/>
      </w:pBdr>
      <w:tabs>
        <w:tab w:val="center" w:pos="4153"/>
        <w:tab w:val="right" w:pos="8306"/>
      </w:tabs>
      <w:snapToGrid w:val="0"/>
      <w:jc w:val="center"/>
    </w:pPr>
    <w:rPr>
      <w:kern w:val="0"/>
      <w:sz w:val="18"/>
      <w:szCs w:val="18"/>
    </w:rPr>
  </w:style>
  <w:style w:type="paragraph" w:styleId="15">
    <w:name w:val="toc 1"/>
    <w:basedOn w:val="1"/>
    <w:next w:val="1"/>
    <w:semiHidden/>
    <w:qFormat/>
    <w:uiPriority w:val="99"/>
    <w:pPr>
      <w:tabs>
        <w:tab w:val="right" w:leader="dot" w:pos="9170"/>
      </w:tabs>
      <w:spacing w:before="120" w:after="120"/>
      <w:jc w:val="left"/>
    </w:pPr>
    <w:rPr>
      <w:rFonts w:ascii="宋体" w:hAnsi="宋体" w:cs="宋体"/>
      <w:b/>
      <w:bCs/>
      <w:caps/>
      <w:sz w:val="24"/>
      <w:szCs w:val="24"/>
    </w:rPr>
  </w:style>
  <w:style w:type="paragraph" w:styleId="16">
    <w:name w:val="Subtitle"/>
    <w:basedOn w:val="1"/>
    <w:next w:val="1"/>
    <w:link w:val="39"/>
    <w:qFormat/>
    <w:uiPriority w:val="99"/>
    <w:pPr>
      <w:spacing w:before="240" w:after="60" w:line="312" w:lineRule="auto"/>
      <w:jc w:val="center"/>
      <w:outlineLvl w:val="1"/>
    </w:pPr>
    <w:rPr>
      <w:rFonts w:ascii="Cambria" w:hAnsi="Cambria" w:cs="Cambria"/>
      <w:b/>
      <w:bCs/>
      <w:kern w:val="28"/>
      <w:sz w:val="32"/>
      <w:szCs w:val="32"/>
    </w:rPr>
  </w:style>
  <w:style w:type="paragraph" w:styleId="17">
    <w:name w:val="toc 2"/>
    <w:basedOn w:val="1"/>
    <w:next w:val="1"/>
    <w:semiHidden/>
    <w:qFormat/>
    <w:uiPriority w:val="99"/>
    <w:pPr>
      <w:tabs>
        <w:tab w:val="right" w:leader="dot" w:pos="9170"/>
      </w:tabs>
      <w:spacing w:line="360" w:lineRule="auto"/>
      <w:ind w:left="210"/>
      <w:jc w:val="left"/>
    </w:pPr>
    <w:rPr>
      <w:rFonts w:ascii="宋体" w:hAnsi="宋体" w:cs="宋体"/>
      <w:b/>
      <w:bCs/>
      <w:smallCaps/>
      <w:color w:val="000000"/>
      <w:kern w:val="0"/>
      <w:sz w:val="30"/>
      <w:szCs w:val="30"/>
    </w:rPr>
  </w:style>
  <w:style w:type="paragraph" w:styleId="18">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9">
    <w:name w:val="Body Text First Indent"/>
    <w:basedOn w:val="7"/>
    <w:link w:val="30"/>
    <w:qFormat/>
    <w:uiPriority w:val="99"/>
    <w:pPr>
      <w:ind w:firstLine="420" w:firstLineChars="100"/>
    </w:pPr>
  </w:style>
  <w:style w:type="paragraph" w:styleId="20">
    <w:name w:val="Body Text First Indent 2"/>
    <w:basedOn w:val="8"/>
    <w:link w:val="37"/>
    <w:qFormat/>
    <w:uiPriority w:val="99"/>
    <w:pPr>
      <w:ind w:firstLine="420" w:firstLineChars="200"/>
    </w:pPr>
  </w:style>
  <w:style w:type="character" w:styleId="23">
    <w:name w:val="Strong"/>
    <w:basedOn w:val="22"/>
    <w:qFormat/>
    <w:uiPriority w:val="99"/>
    <w:rPr>
      <w:b/>
      <w:bCs/>
    </w:rPr>
  </w:style>
  <w:style w:type="character" w:styleId="24">
    <w:name w:val="Hyperlink"/>
    <w:basedOn w:val="22"/>
    <w:qFormat/>
    <w:uiPriority w:val="99"/>
    <w:rPr>
      <w:color w:val="0000FF"/>
      <w:u w:val="single"/>
    </w:rPr>
  </w:style>
  <w:style w:type="character" w:customStyle="1" w:styleId="25">
    <w:name w:val="Heading 1 Char"/>
    <w:basedOn w:val="22"/>
    <w:link w:val="2"/>
    <w:qFormat/>
    <w:locked/>
    <w:uiPriority w:val="99"/>
    <w:rPr>
      <w:rFonts w:eastAsia="黑体"/>
      <w:b/>
      <w:bCs/>
      <w:kern w:val="44"/>
      <w:sz w:val="44"/>
      <w:szCs w:val="44"/>
    </w:rPr>
  </w:style>
  <w:style w:type="character" w:customStyle="1" w:styleId="26">
    <w:name w:val="Heading 2 Char"/>
    <w:basedOn w:val="22"/>
    <w:link w:val="3"/>
    <w:qFormat/>
    <w:locked/>
    <w:uiPriority w:val="99"/>
    <w:rPr>
      <w:rFonts w:ascii="Cambria" w:hAnsi="Cambria" w:cs="Cambria"/>
      <w:b/>
      <w:bCs/>
      <w:kern w:val="2"/>
      <w:sz w:val="32"/>
      <w:szCs w:val="32"/>
    </w:rPr>
  </w:style>
  <w:style w:type="character" w:customStyle="1" w:styleId="27">
    <w:name w:val="Heading 3 Char"/>
    <w:basedOn w:val="22"/>
    <w:link w:val="4"/>
    <w:semiHidden/>
    <w:qFormat/>
    <w:locked/>
    <w:uiPriority w:val="99"/>
    <w:rPr>
      <w:b/>
      <w:bCs/>
      <w:sz w:val="32"/>
      <w:szCs w:val="32"/>
    </w:rPr>
  </w:style>
  <w:style w:type="character" w:customStyle="1" w:styleId="28">
    <w:name w:val="Heading 4 Char"/>
    <w:basedOn w:val="22"/>
    <w:link w:val="5"/>
    <w:semiHidden/>
    <w:qFormat/>
    <w:locked/>
    <w:uiPriority w:val="99"/>
    <w:rPr>
      <w:rFonts w:ascii="Cambria" w:hAnsi="Cambria" w:eastAsia="宋体" w:cs="Cambria"/>
      <w:b/>
      <w:bCs/>
      <w:sz w:val="28"/>
      <w:szCs w:val="28"/>
    </w:rPr>
  </w:style>
  <w:style w:type="character" w:customStyle="1" w:styleId="29">
    <w:name w:val="Body Text Char"/>
    <w:basedOn w:val="22"/>
    <w:link w:val="7"/>
    <w:semiHidden/>
    <w:qFormat/>
    <w:locked/>
    <w:uiPriority w:val="99"/>
    <w:rPr>
      <w:sz w:val="21"/>
      <w:szCs w:val="21"/>
    </w:rPr>
  </w:style>
  <w:style w:type="character" w:customStyle="1" w:styleId="30">
    <w:name w:val="Body Text First Indent Char"/>
    <w:basedOn w:val="29"/>
    <w:link w:val="19"/>
    <w:semiHidden/>
    <w:qFormat/>
    <w:locked/>
    <w:uiPriority w:val="99"/>
  </w:style>
  <w:style w:type="character" w:customStyle="1" w:styleId="31">
    <w:name w:val="Document Map Char"/>
    <w:basedOn w:val="22"/>
    <w:link w:val="6"/>
    <w:semiHidden/>
    <w:qFormat/>
    <w:locked/>
    <w:uiPriority w:val="99"/>
    <w:rPr>
      <w:rFonts w:ascii="Times New Roman" w:hAnsi="Times New Roman" w:cs="Times New Roman"/>
      <w:sz w:val="2"/>
      <w:szCs w:val="2"/>
    </w:rPr>
  </w:style>
  <w:style w:type="character" w:customStyle="1" w:styleId="32">
    <w:name w:val="Body Text Indent Char"/>
    <w:basedOn w:val="22"/>
    <w:link w:val="8"/>
    <w:semiHidden/>
    <w:qFormat/>
    <w:locked/>
    <w:uiPriority w:val="99"/>
    <w:rPr>
      <w:sz w:val="21"/>
      <w:szCs w:val="21"/>
    </w:rPr>
  </w:style>
  <w:style w:type="character" w:customStyle="1" w:styleId="33">
    <w:name w:val="Plain Text Char"/>
    <w:basedOn w:val="22"/>
    <w:link w:val="10"/>
    <w:semiHidden/>
    <w:qFormat/>
    <w:locked/>
    <w:uiPriority w:val="99"/>
    <w:rPr>
      <w:rFonts w:ascii="宋体" w:hAnsi="Courier New" w:cs="宋体"/>
      <w:sz w:val="21"/>
      <w:szCs w:val="21"/>
    </w:rPr>
  </w:style>
  <w:style w:type="character" w:customStyle="1" w:styleId="34">
    <w:name w:val="Body Text Indent 2 Char"/>
    <w:basedOn w:val="22"/>
    <w:link w:val="11"/>
    <w:semiHidden/>
    <w:qFormat/>
    <w:locked/>
    <w:uiPriority w:val="99"/>
    <w:rPr>
      <w:sz w:val="21"/>
      <w:szCs w:val="21"/>
    </w:rPr>
  </w:style>
  <w:style w:type="character" w:customStyle="1" w:styleId="35">
    <w:name w:val="Balloon Text Char"/>
    <w:basedOn w:val="22"/>
    <w:link w:val="12"/>
    <w:semiHidden/>
    <w:qFormat/>
    <w:locked/>
    <w:uiPriority w:val="99"/>
    <w:rPr>
      <w:sz w:val="18"/>
      <w:szCs w:val="18"/>
    </w:rPr>
  </w:style>
  <w:style w:type="character" w:customStyle="1" w:styleId="36">
    <w:name w:val="Footer Char"/>
    <w:basedOn w:val="22"/>
    <w:link w:val="13"/>
    <w:qFormat/>
    <w:locked/>
    <w:uiPriority w:val="99"/>
    <w:rPr>
      <w:sz w:val="18"/>
      <w:szCs w:val="18"/>
    </w:rPr>
  </w:style>
  <w:style w:type="character" w:customStyle="1" w:styleId="37">
    <w:name w:val="Body Text First Indent 2 Char"/>
    <w:basedOn w:val="32"/>
    <w:link w:val="20"/>
    <w:semiHidden/>
    <w:qFormat/>
    <w:locked/>
    <w:uiPriority w:val="99"/>
  </w:style>
  <w:style w:type="character" w:customStyle="1" w:styleId="38">
    <w:name w:val="Header Char"/>
    <w:basedOn w:val="22"/>
    <w:link w:val="14"/>
    <w:qFormat/>
    <w:locked/>
    <w:uiPriority w:val="99"/>
    <w:rPr>
      <w:sz w:val="18"/>
      <w:szCs w:val="18"/>
    </w:rPr>
  </w:style>
  <w:style w:type="character" w:customStyle="1" w:styleId="39">
    <w:name w:val="Subtitle Char"/>
    <w:basedOn w:val="22"/>
    <w:link w:val="16"/>
    <w:qFormat/>
    <w:locked/>
    <w:uiPriority w:val="99"/>
    <w:rPr>
      <w:rFonts w:ascii="Cambria" w:hAnsi="Cambria" w:cs="Cambria"/>
      <w:b/>
      <w:bCs/>
      <w:kern w:val="28"/>
      <w:sz w:val="32"/>
      <w:szCs w:val="32"/>
    </w:rPr>
  </w:style>
  <w:style w:type="paragraph" w:customStyle="1" w:styleId="40">
    <w:name w:val="Char Char Char"/>
    <w:basedOn w:val="1"/>
    <w:qFormat/>
    <w:uiPriority w:val="99"/>
    <w:pPr>
      <w:widowControl/>
      <w:spacing w:after="160" w:line="240" w:lineRule="exact"/>
      <w:jc w:val="left"/>
    </w:pPr>
    <w:rPr>
      <w:rFonts w:ascii="Verdana" w:hAnsi="Verdana" w:cs="Verdana"/>
      <w:kern w:val="0"/>
      <w:sz w:val="20"/>
      <w:szCs w:val="20"/>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7"/>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china</Company>
  <Pages>43</Pages>
  <Words>3683</Words>
  <Characters>20998</Characters>
  <Lines>0</Lines>
  <Paragraphs>0</Paragraphs>
  <TotalTime>1</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2019-02-28T07:46:00Z</dcterms:created>
  <dc:creator>AutoBVT</dc:creator>
  <cp:lastModifiedBy>Administrator</cp:lastModifiedBy>
  <dcterms:modified xsi:type="dcterms:W3CDTF">2019-04-19T03:22:25Z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