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21" w:rsidRDefault="0014013A">
      <w:r>
        <w:rPr>
          <w:noProof/>
        </w:rP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D6021" w:rsidRDefault="00CD1794">
      <w:pPr>
        <w:outlineLvl w:val="0"/>
        <w:rPr>
          <w:rFonts w:ascii="黑体" w:eastAsia="黑体" w:hAnsi="宋体" w:cs="Arial"/>
          <w:b/>
          <w:bCs/>
          <w:kern w:val="0"/>
          <w:sz w:val="30"/>
          <w:szCs w:val="30"/>
        </w:rPr>
      </w:pPr>
      <w:r w:rsidRPr="00CD1794">
        <w:pict>
          <v:shapetype id="_x0000_t202" coordsize="21600,21600" o:spt="202" path="m,l,21600r21600,l21600,xe">
            <v:stroke joinstyle="miter"/>
            <v:path gradientshapeok="t" o:connecttype="rect"/>
          </v:shapetype>
          <v:shape id="文本框 2" o:sp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w:txbxContent>
                <w:p w:rsidR="00F27D6D" w:rsidRDefault="00F27D6D">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F27D6D" w:rsidRDefault="00F27D6D">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F27D6D" w:rsidRDefault="00F27D6D">
                  <w:pPr>
                    <w:jc w:val="left"/>
                  </w:pPr>
                </w:p>
              </w:txbxContent>
            </v:textbox>
          </v:shape>
        </w:pict>
      </w:r>
      <w:r w:rsidRPr="00CD1794">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w:txbxContent>
                <w:p w:rsidR="00F27D6D" w:rsidRDefault="00F27D6D">
                  <w:pPr>
                    <w:pStyle w:val="1"/>
                    <w:jc w:val="center"/>
                    <w:rPr>
                      <w:kern w:val="2"/>
                    </w:rPr>
                  </w:pPr>
                  <w:bookmarkStart w:id="0" w:name="_Toc485828984"/>
                  <w:bookmarkStart w:id="1" w:name="_Toc4160077"/>
                  <w:r>
                    <w:rPr>
                      <w:rFonts w:hint="eastAsia"/>
                      <w:kern w:val="2"/>
                    </w:rPr>
                    <w:t>2019.</w:t>
                  </w:r>
                  <w:bookmarkEnd w:id="0"/>
                  <w:r>
                    <w:rPr>
                      <w:rFonts w:hint="eastAsia"/>
                      <w:kern w:val="2"/>
                    </w:rPr>
                    <w:t>3.22</w:t>
                  </w:r>
                  <w:bookmarkEnd w:id="1"/>
                </w:p>
                <w:p w:rsidR="00F27D6D" w:rsidRDefault="00F27D6D"/>
              </w:txbxContent>
            </v:textbox>
          </v:shape>
        </w:pict>
      </w:r>
      <w:r w:rsidR="0014013A">
        <w:br w:type="page"/>
      </w:r>
      <w:bookmarkStart w:id="2" w:name="_Toc485828985"/>
      <w:r w:rsidRPr="00CD1794">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w:txbxContent>
                <w:p w:rsidR="00F27D6D" w:rsidRDefault="00F27D6D">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F27D6D" w:rsidRDefault="00F27D6D">
                  <w:pPr>
                    <w:pStyle w:val="10"/>
                    <w:rPr>
                      <w:rFonts w:asciiTheme="minorHAnsi" w:eastAsiaTheme="minorEastAsia" w:hAnsiTheme="minorHAnsi" w:cstheme="minorBidi"/>
                      <w:b w:val="0"/>
                      <w:bCs w:val="0"/>
                      <w:caps w:val="0"/>
                      <w:noProof/>
                      <w:color w:val="auto"/>
                      <w:sz w:val="21"/>
                      <w:szCs w:val="22"/>
                    </w:rPr>
                  </w:pPr>
                  <w:r w:rsidRPr="00CD1794">
                    <w:rPr>
                      <w:sz w:val="20"/>
                    </w:rPr>
                    <w:fldChar w:fldCharType="begin"/>
                  </w:r>
                  <w:r>
                    <w:rPr>
                      <w:sz w:val="20"/>
                    </w:rPr>
                    <w:instrText xml:space="preserve"> TOC \o "1-3" \h \z \u </w:instrText>
                  </w:r>
                  <w:r w:rsidRPr="00CD1794">
                    <w:rPr>
                      <w:sz w:val="20"/>
                    </w:rPr>
                    <w:fldChar w:fldCharType="separate"/>
                  </w:r>
                  <w:hyperlink r:id="rId10" w:anchor="_Toc4160077" w:history="1">
                    <w:r w:rsidRPr="007069A4">
                      <w:rPr>
                        <w:rStyle w:val="ae"/>
                        <w:noProof/>
                      </w:rPr>
                      <w:t>2019.3.22</w:t>
                    </w:r>
                    <w:r>
                      <w:rPr>
                        <w:noProof/>
                        <w:webHidden/>
                      </w:rPr>
                      <w:tab/>
                    </w:r>
                    <w:r>
                      <w:rPr>
                        <w:noProof/>
                        <w:webHidden/>
                      </w:rPr>
                      <w:fldChar w:fldCharType="begin"/>
                    </w:r>
                    <w:r>
                      <w:rPr>
                        <w:noProof/>
                        <w:webHidden/>
                      </w:rPr>
                      <w:instrText xml:space="preserve"> PAGEREF _Toc4160077 \h </w:instrText>
                    </w:r>
                    <w:r>
                      <w:rPr>
                        <w:noProof/>
                        <w:webHidden/>
                      </w:rPr>
                    </w:r>
                    <w:r>
                      <w:rPr>
                        <w:noProof/>
                        <w:webHidden/>
                      </w:rPr>
                      <w:fldChar w:fldCharType="separate"/>
                    </w:r>
                    <w:r>
                      <w:rPr>
                        <w:noProof/>
                        <w:webHidden/>
                      </w:rPr>
                      <w:t>1</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78" w:history="1">
                    <w:r w:rsidRPr="007069A4">
                      <w:rPr>
                        <w:rStyle w:val="ae"/>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_Toc4160078 \h </w:instrText>
                    </w:r>
                    <w:r>
                      <w:rPr>
                        <w:noProof/>
                        <w:webHidden/>
                      </w:rPr>
                    </w:r>
                    <w:r>
                      <w:rPr>
                        <w:noProof/>
                        <w:webHidden/>
                      </w:rPr>
                      <w:fldChar w:fldCharType="separate"/>
                    </w:r>
                    <w:r>
                      <w:rPr>
                        <w:noProof/>
                        <w:webHidden/>
                      </w:rPr>
                      <w:t>3</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79" w:history="1">
                    <w:r w:rsidRPr="007069A4">
                      <w:rPr>
                        <w:rStyle w:val="ae"/>
                        <w:rFonts w:ascii="黑体" w:eastAsia="黑体" w:cs="Arial"/>
                        <w:noProof/>
                        <w:kern w:val="0"/>
                      </w:rPr>
                      <w:t>(</w:t>
                    </w:r>
                    <w:r w:rsidRPr="007069A4">
                      <w:rPr>
                        <w:rStyle w:val="ae"/>
                        <w:rFonts w:ascii="黑体" w:eastAsia="黑体" w:cs="Arial" w:hint="eastAsia"/>
                        <w:noProof/>
                        <w:kern w:val="0"/>
                      </w:rPr>
                      <w:t>一</w:t>
                    </w:r>
                    <w:r w:rsidRPr="007069A4">
                      <w:rPr>
                        <w:rStyle w:val="ae"/>
                        <w:rFonts w:ascii="黑体" w:eastAsia="黑体" w:cs="Arial"/>
                        <w:noProof/>
                        <w:kern w:val="0"/>
                      </w:rPr>
                      <w:t>)</w:t>
                    </w:r>
                    <w:r w:rsidRPr="007069A4">
                      <w:rPr>
                        <w:rStyle w:val="ae"/>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_Toc4160079 \h </w:instrText>
                    </w:r>
                    <w:r>
                      <w:rPr>
                        <w:noProof/>
                        <w:webHidden/>
                      </w:rPr>
                    </w:r>
                    <w:r>
                      <w:rPr>
                        <w:noProof/>
                        <w:webHidden/>
                      </w:rPr>
                      <w:fldChar w:fldCharType="separate"/>
                    </w:r>
                    <w:r>
                      <w:rPr>
                        <w:noProof/>
                        <w:webHidden/>
                      </w:rPr>
                      <w:t>3</w:t>
                    </w:r>
                    <w:r>
                      <w:rPr>
                        <w:noProof/>
                        <w:webHidden/>
                      </w:rPr>
                      <w:fldChar w:fldCharType="end"/>
                    </w:r>
                  </w:hyperlink>
                </w:p>
                <w:p w:rsidR="00F27D6D" w:rsidRDefault="00F27D6D">
                  <w:pPr>
                    <w:pStyle w:val="21"/>
                    <w:tabs>
                      <w:tab w:val="left" w:pos="840"/>
                    </w:tabs>
                    <w:rPr>
                      <w:rFonts w:asciiTheme="minorHAnsi" w:eastAsiaTheme="minorEastAsia" w:hAnsiTheme="minorHAnsi" w:cstheme="minorBidi"/>
                      <w:b w:val="0"/>
                      <w:smallCaps w:val="0"/>
                      <w:noProof/>
                      <w:color w:val="auto"/>
                      <w:sz w:val="21"/>
                      <w:szCs w:val="22"/>
                    </w:rPr>
                  </w:pPr>
                  <w:hyperlink w:anchor="_Toc4160080" w:history="1">
                    <w:r w:rsidRPr="007069A4">
                      <w:rPr>
                        <w:rStyle w:val="ae"/>
                        <w:rFonts w:cs="Arial"/>
                        <w:noProof/>
                        <w:kern w:val="0"/>
                      </w:rPr>
                      <w:t>1.</w:t>
                    </w:r>
                    <w:r>
                      <w:rPr>
                        <w:rFonts w:asciiTheme="minorHAnsi" w:eastAsiaTheme="minorEastAsia" w:hAnsiTheme="minorHAnsi" w:cstheme="minorBidi"/>
                        <w:b w:val="0"/>
                        <w:smallCaps w:val="0"/>
                        <w:noProof/>
                        <w:color w:val="auto"/>
                        <w:sz w:val="21"/>
                        <w:szCs w:val="22"/>
                      </w:rPr>
                      <w:tab/>
                    </w:r>
                    <w:r w:rsidRPr="007069A4">
                      <w:rPr>
                        <w:rStyle w:val="ae"/>
                        <w:rFonts w:cs="Arial" w:hint="eastAsia"/>
                        <w:noProof/>
                        <w:kern w:val="0"/>
                      </w:rPr>
                      <w:t>国际原油收盘价涨跌情况（单位：美元</w:t>
                    </w:r>
                    <w:r w:rsidRPr="007069A4">
                      <w:rPr>
                        <w:rStyle w:val="ae"/>
                        <w:rFonts w:cs="Arial"/>
                        <w:noProof/>
                        <w:kern w:val="0"/>
                      </w:rPr>
                      <w:t>/</w:t>
                    </w:r>
                    <w:r w:rsidRPr="007069A4">
                      <w:rPr>
                        <w:rStyle w:val="ae"/>
                        <w:rFonts w:cs="Arial" w:hint="eastAsia"/>
                        <w:noProof/>
                        <w:kern w:val="0"/>
                      </w:rPr>
                      <w:t>桶）</w:t>
                    </w:r>
                    <w:r>
                      <w:rPr>
                        <w:noProof/>
                        <w:webHidden/>
                      </w:rPr>
                      <w:tab/>
                    </w:r>
                    <w:r>
                      <w:rPr>
                        <w:noProof/>
                        <w:webHidden/>
                      </w:rPr>
                      <w:fldChar w:fldCharType="begin"/>
                    </w:r>
                    <w:r>
                      <w:rPr>
                        <w:noProof/>
                        <w:webHidden/>
                      </w:rPr>
                      <w:instrText xml:space="preserve"> PAGEREF _Toc4160080 \h </w:instrText>
                    </w:r>
                    <w:r>
                      <w:rPr>
                        <w:noProof/>
                        <w:webHidden/>
                      </w:rPr>
                    </w:r>
                    <w:r>
                      <w:rPr>
                        <w:noProof/>
                        <w:webHidden/>
                      </w:rPr>
                      <w:fldChar w:fldCharType="separate"/>
                    </w:r>
                    <w:r>
                      <w:rPr>
                        <w:noProof/>
                        <w:webHidden/>
                      </w:rPr>
                      <w:t>3</w:t>
                    </w:r>
                    <w:r>
                      <w:rPr>
                        <w:noProof/>
                        <w:webHidden/>
                      </w:rPr>
                      <w:fldChar w:fldCharType="end"/>
                    </w:r>
                  </w:hyperlink>
                </w:p>
                <w:p w:rsidR="00F27D6D" w:rsidRDefault="00F27D6D">
                  <w:pPr>
                    <w:pStyle w:val="21"/>
                    <w:rPr>
                      <w:rFonts w:asciiTheme="minorHAnsi" w:eastAsiaTheme="minorEastAsia" w:hAnsiTheme="minorHAnsi" w:cstheme="minorBidi"/>
                      <w:b w:val="0"/>
                      <w:smallCaps w:val="0"/>
                      <w:noProof/>
                      <w:color w:val="auto"/>
                      <w:sz w:val="21"/>
                      <w:szCs w:val="22"/>
                    </w:rPr>
                  </w:pPr>
                  <w:hyperlink w:anchor="_Toc4160081" w:history="1">
                    <w:r w:rsidRPr="007069A4">
                      <w:rPr>
                        <w:rStyle w:val="ae"/>
                        <w:rFonts w:cs="Arial"/>
                        <w:noProof/>
                        <w:kern w:val="0"/>
                      </w:rPr>
                      <w:t>2.2019</w:t>
                    </w:r>
                    <w:r w:rsidRPr="007069A4">
                      <w:rPr>
                        <w:rStyle w:val="ae"/>
                        <w:rFonts w:cs="Arial" w:hint="eastAsia"/>
                        <w:noProof/>
                        <w:kern w:val="0"/>
                      </w:rPr>
                      <w:t>年国际原油价格走势图</w:t>
                    </w:r>
                    <w:r>
                      <w:rPr>
                        <w:noProof/>
                        <w:webHidden/>
                      </w:rPr>
                      <w:tab/>
                    </w:r>
                    <w:r>
                      <w:rPr>
                        <w:noProof/>
                        <w:webHidden/>
                      </w:rPr>
                      <w:fldChar w:fldCharType="begin"/>
                    </w:r>
                    <w:r>
                      <w:rPr>
                        <w:noProof/>
                        <w:webHidden/>
                      </w:rPr>
                      <w:instrText xml:space="preserve"> PAGEREF _Toc4160081 \h </w:instrText>
                    </w:r>
                    <w:r>
                      <w:rPr>
                        <w:noProof/>
                        <w:webHidden/>
                      </w:rPr>
                    </w:r>
                    <w:r>
                      <w:rPr>
                        <w:noProof/>
                        <w:webHidden/>
                      </w:rPr>
                      <w:fldChar w:fldCharType="separate"/>
                    </w:r>
                    <w:r>
                      <w:rPr>
                        <w:noProof/>
                        <w:webHidden/>
                      </w:rPr>
                      <w:t>3</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82" w:history="1">
                    <w:r w:rsidRPr="007069A4">
                      <w:rPr>
                        <w:rStyle w:val="ae"/>
                        <w:rFonts w:ascii="黑体" w:eastAsia="黑体"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_Toc4160082 \h </w:instrText>
                    </w:r>
                    <w:r>
                      <w:rPr>
                        <w:noProof/>
                        <w:webHidden/>
                      </w:rPr>
                    </w:r>
                    <w:r>
                      <w:rPr>
                        <w:noProof/>
                        <w:webHidden/>
                      </w:rPr>
                      <w:fldChar w:fldCharType="separate"/>
                    </w:r>
                    <w:r>
                      <w:rPr>
                        <w:noProof/>
                        <w:webHidden/>
                      </w:rPr>
                      <w:t>4</w:t>
                    </w:r>
                    <w:r>
                      <w:rPr>
                        <w:noProof/>
                        <w:webHidden/>
                      </w:rPr>
                      <w:fldChar w:fldCharType="end"/>
                    </w:r>
                  </w:hyperlink>
                </w:p>
                <w:p w:rsidR="00F27D6D" w:rsidRDefault="00F27D6D">
                  <w:pPr>
                    <w:pStyle w:val="21"/>
                    <w:rPr>
                      <w:rFonts w:asciiTheme="minorHAnsi" w:eastAsiaTheme="minorEastAsia" w:hAnsiTheme="minorHAnsi" w:cstheme="minorBidi"/>
                      <w:b w:val="0"/>
                      <w:smallCaps w:val="0"/>
                      <w:noProof/>
                      <w:color w:val="auto"/>
                      <w:sz w:val="21"/>
                      <w:szCs w:val="22"/>
                    </w:rPr>
                  </w:pPr>
                  <w:hyperlink w:anchor="_Toc4160083" w:history="1">
                    <w:r w:rsidRPr="007069A4">
                      <w:rPr>
                        <w:rStyle w:val="ae"/>
                        <w:rFonts w:ascii="黑体" w:eastAsia="黑体"/>
                        <w:noProof/>
                      </w:rPr>
                      <w:t>1.</w:t>
                    </w:r>
                    <w:r w:rsidRPr="007069A4">
                      <w:rPr>
                        <w:rStyle w:val="ae"/>
                        <w:rFonts w:ascii="黑体" w:eastAsia="黑体" w:hint="eastAsia"/>
                        <w:noProof/>
                      </w:rPr>
                      <w:t>美国原油库存情况</w:t>
                    </w:r>
                    <w:r>
                      <w:rPr>
                        <w:noProof/>
                        <w:webHidden/>
                      </w:rPr>
                      <w:tab/>
                    </w:r>
                    <w:r>
                      <w:rPr>
                        <w:noProof/>
                        <w:webHidden/>
                      </w:rPr>
                      <w:fldChar w:fldCharType="begin"/>
                    </w:r>
                    <w:r>
                      <w:rPr>
                        <w:noProof/>
                        <w:webHidden/>
                      </w:rPr>
                      <w:instrText xml:space="preserve"> PAGEREF _Toc4160083 \h </w:instrText>
                    </w:r>
                    <w:r>
                      <w:rPr>
                        <w:noProof/>
                        <w:webHidden/>
                      </w:rPr>
                    </w:r>
                    <w:r>
                      <w:rPr>
                        <w:noProof/>
                        <w:webHidden/>
                      </w:rPr>
                      <w:fldChar w:fldCharType="separate"/>
                    </w:r>
                    <w:r>
                      <w:rPr>
                        <w:noProof/>
                        <w:webHidden/>
                      </w:rPr>
                      <w:t>4</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84" w:history="1">
                    <w:r w:rsidRPr="007069A4">
                      <w:rPr>
                        <w:rStyle w:val="ae"/>
                        <w:rFonts w:ascii="黑体" w:eastAsia="黑体" w:cs="Arial"/>
                        <w:noProof/>
                        <w:kern w:val="0"/>
                      </w:rPr>
                      <w:t>(</w:t>
                    </w:r>
                    <w:r w:rsidRPr="007069A4">
                      <w:rPr>
                        <w:rStyle w:val="ae"/>
                        <w:rFonts w:ascii="黑体" w:eastAsia="黑体" w:cs="Arial" w:hint="eastAsia"/>
                        <w:noProof/>
                        <w:kern w:val="0"/>
                      </w:rPr>
                      <w:t>三</w:t>
                    </w:r>
                    <w:r w:rsidRPr="007069A4">
                      <w:rPr>
                        <w:rStyle w:val="ae"/>
                        <w:rFonts w:ascii="黑体" w:eastAsia="黑体" w:cs="Arial"/>
                        <w:noProof/>
                        <w:kern w:val="0"/>
                      </w:rPr>
                      <w:t>)</w:t>
                    </w:r>
                    <w:r w:rsidRPr="007069A4">
                      <w:rPr>
                        <w:rStyle w:val="ae"/>
                        <w:rFonts w:ascii="黑体" w:eastAsia="黑体" w:cs="Arial" w:hint="eastAsia"/>
                        <w:noProof/>
                        <w:kern w:val="0"/>
                      </w:rPr>
                      <w:t>、</w:t>
                    </w:r>
                    <w:r w:rsidRPr="007069A4">
                      <w:rPr>
                        <w:rStyle w:val="ae"/>
                        <w:rFonts w:ascii="黑体" w:eastAsia="黑体" w:cs="Arial"/>
                        <w:noProof/>
                        <w:kern w:val="0"/>
                      </w:rPr>
                      <w:t>2018</w:t>
                    </w:r>
                    <w:r w:rsidRPr="007069A4">
                      <w:rPr>
                        <w:rStyle w:val="ae"/>
                        <w:rFonts w:ascii="黑体" w:eastAsia="黑体" w:cs="Arial" w:hint="eastAsia"/>
                        <w:noProof/>
                        <w:kern w:val="0"/>
                      </w:rPr>
                      <w:t>年</w:t>
                    </w:r>
                    <w:r w:rsidRPr="007069A4">
                      <w:rPr>
                        <w:rStyle w:val="ae"/>
                        <w:rFonts w:ascii="黑体" w:eastAsia="黑体" w:cs="Arial"/>
                        <w:noProof/>
                        <w:kern w:val="0"/>
                      </w:rPr>
                      <w:t>11</w:t>
                    </w:r>
                    <w:r w:rsidRPr="007069A4">
                      <w:rPr>
                        <w:rStyle w:val="ae"/>
                        <w:rFonts w:ascii="黑体" w:eastAsia="黑体"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_Toc4160084 \h </w:instrText>
                    </w:r>
                    <w:r>
                      <w:rPr>
                        <w:noProof/>
                        <w:webHidden/>
                      </w:rPr>
                    </w:r>
                    <w:r>
                      <w:rPr>
                        <w:noProof/>
                        <w:webHidden/>
                      </w:rPr>
                      <w:fldChar w:fldCharType="separate"/>
                    </w:r>
                    <w:r>
                      <w:rPr>
                        <w:noProof/>
                        <w:webHidden/>
                      </w:rPr>
                      <w:t>10</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85" w:history="1">
                    <w:r w:rsidRPr="007069A4">
                      <w:rPr>
                        <w:rStyle w:val="ae"/>
                        <w:rFonts w:ascii="黑体" w:eastAsia="黑体" w:cs="Arial"/>
                        <w:noProof/>
                        <w:kern w:val="0"/>
                      </w:rPr>
                      <w:t>(</w:t>
                    </w:r>
                    <w:r w:rsidRPr="007069A4">
                      <w:rPr>
                        <w:rStyle w:val="ae"/>
                        <w:rFonts w:ascii="黑体" w:eastAsia="黑体" w:cs="Arial" w:hint="eastAsia"/>
                        <w:noProof/>
                        <w:kern w:val="0"/>
                      </w:rPr>
                      <w:t>四</w:t>
                    </w:r>
                    <w:r w:rsidRPr="007069A4">
                      <w:rPr>
                        <w:rStyle w:val="ae"/>
                        <w:rFonts w:ascii="黑体" w:eastAsia="黑体" w:cs="Arial"/>
                        <w:noProof/>
                        <w:kern w:val="0"/>
                      </w:rPr>
                      <w:t>)</w:t>
                    </w:r>
                    <w:r w:rsidRPr="007069A4">
                      <w:rPr>
                        <w:rStyle w:val="ae"/>
                        <w:rFonts w:ascii="黑体" w:eastAsia="黑体" w:cs="Arial" w:hint="eastAsia"/>
                        <w:noProof/>
                        <w:kern w:val="0"/>
                      </w:rPr>
                      <w:t>、后市预测</w:t>
                    </w:r>
                    <w:r>
                      <w:rPr>
                        <w:noProof/>
                        <w:webHidden/>
                      </w:rPr>
                      <w:tab/>
                    </w:r>
                    <w:r>
                      <w:rPr>
                        <w:noProof/>
                        <w:webHidden/>
                      </w:rPr>
                      <w:fldChar w:fldCharType="begin"/>
                    </w:r>
                    <w:r>
                      <w:rPr>
                        <w:noProof/>
                        <w:webHidden/>
                      </w:rPr>
                      <w:instrText xml:space="preserve"> PAGEREF _Toc4160085 \h </w:instrText>
                    </w:r>
                    <w:r>
                      <w:rPr>
                        <w:noProof/>
                        <w:webHidden/>
                      </w:rPr>
                    </w:r>
                    <w:r>
                      <w:rPr>
                        <w:noProof/>
                        <w:webHidden/>
                      </w:rPr>
                      <w:fldChar w:fldCharType="separate"/>
                    </w:r>
                    <w:r>
                      <w:rPr>
                        <w:noProof/>
                        <w:webHidden/>
                      </w:rPr>
                      <w:t>16</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86" w:history="1">
                    <w:r w:rsidRPr="007069A4">
                      <w:rPr>
                        <w:rStyle w:val="ae"/>
                        <w:rFonts w:ascii="黑体" w:eastAsia="黑体" w:hint="eastAsia"/>
                        <w:noProof/>
                      </w:rPr>
                      <w:t>二、</w:t>
                    </w:r>
                    <w:r w:rsidRPr="007069A4">
                      <w:rPr>
                        <w:rStyle w:val="ae"/>
                        <w:rFonts w:ascii="黑体" w:eastAsia="黑体"/>
                        <w:noProof/>
                      </w:rPr>
                      <w:t xml:space="preserve"> </w:t>
                    </w:r>
                    <w:r w:rsidRPr="007069A4">
                      <w:rPr>
                        <w:rStyle w:val="ae"/>
                        <w:rFonts w:ascii="黑体" w:eastAsia="黑体" w:hint="eastAsia"/>
                        <w:noProof/>
                      </w:rPr>
                      <w:t>石脑油</w:t>
                    </w:r>
                    <w:r>
                      <w:rPr>
                        <w:noProof/>
                        <w:webHidden/>
                      </w:rPr>
                      <w:tab/>
                    </w:r>
                    <w:r>
                      <w:rPr>
                        <w:noProof/>
                        <w:webHidden/>
                      </w:rPr>
                      <w:fldChar w:fldCharType="begin"/>
                    </w:r>
                    <w:r>
                      <w:rPr>
                        <w:noProof/>
                        <w:webHidden/>
                      </w:rPr>
                      <w:instrText xml:space="preserve"> PAGEREF _Toc4160086 \h </w:instrText>
                    </w:r>
                    <w:r>
                      <w:rPr>
                        <w:noProof/>
                        <w:webHidden/>
                      </w:rPr>
                    </w:r>
                    <w:r>
                      <w:rPr>
                        <w:noProof/>
                        <w:webHidden/>
                      </w:rPr>
                      <w:fldChar w:fldCharType="separate"/>
                    </w:r>
                    <w:r>
                      <w:rPr>
                        <w:noProof/>
                        <w:webHidden/>
                      </w:rPr>
                      <w:t>18</w:t>
                    </w:r>
                    <w:r>
                      <w:rPr>
                        <w:noProof/>
                        <w:webHidden/>
                      </w:rPr>
                      <w:fldChar w:fldCharType="end"/>
                    </w:r>
                  </w:hyperlink>
                </w:p>
                <w:p w:rsidR="00F27D6D" w:rsidRDefault="00F27D6D">
                  <w:pPr>
                    <w:pStyle w:val="21"/>
                    <w:rPr>
                      <w:rFonts w:asciiTheme="minorHAnsi" w:eastAsiaTheme="minorEastAsia" w:hAnsiTheme="minorHAnsi" w:cstheme="minorBidi"/>
                      <w:b w:val="0"/>
                      <w:smallCaps w:val="0"/>
                      <w:noProof/>
                      <w:color w:val="auto"/>
                      <w:sz w:val="21"/>
                      <w:szCs w:val="22"/>
                    </w:rPr>
                  </w:pPr>
                  <w:hyperlink w:anchor="_Toc4160087" w:history="1">
                    <w:r w:rsidRPr="007069A4">
                      <w:rPr>
                        <w:rStyle w:val="ae"/>
                        <w:noProof/>
                      </w:rPr>
                      <w:t>2. 1</w:t>
                    </w:r>
                    <w:r w:rsidRPr="007069A4">
                      <w:rPr>
                        <w:rStyle w:val="ae"/>
                        <w:rFonts w:hint="eastAsia"/>
                        <w:noProof/>
                        <w:kern w:val="0"/>
                      </w:rPr>
                      <w:t>国际石脑油市场价格</w:t>
                    </w:r>
                    <w:r>
                      <w:rPr>
                        <w:noProof/>
                        <w:webHidden/>
                      </w:rPr>
                      <w:tab/>
                    </w:r>
                    <w:r>
                      <w:rPr>
                        <w:noProof/>
                        <w:webHidden/>
                      </w:rPr>
                      <w:fldChar w:fldCharType="begin"/>
                    </w:r>
                    <w:r>
                      <w:rPr>
                        <w:noProof/>
                        <w:webHidden/>
                      </w:rPr>
                      <w:instrText xml:space="preserve"> PAGEREF _Toc4160087 \h </w:instrText>
                    </w:r>
                    <w:r>
                      <w:rPr>
                        <w:noProof/>
                        <w:webHidden/>
                      </w:rPr>
                    </w:r>
                    <w:r>
                      <w:rPr>
                        <w:noProof/>
                        <w:webHidden/>
                      </w:rPr>
                      <w:fldChar w:fldCharType="separate"/>
                    </w:r>
                    <w:r>
                      <w:rPr>
                        <w:noProof/>
                        <w:webHidden/>
                      </w:rPr>
                      <w:t>18</w:t>
                    </w:r>
                    <w:r>
                      <w:rPr>
                        <w:noProof/>
                        <w:webHidden/>
                      </w:rPr>
                      <w:fldChar w:fldCharType="end"/>
                    </w:r>
                  </w:hyperlink>
                </w:p>
                <w:p w:rsidR="00F27D6D" w:rsidRDefault="00F27D6D">
                  <w:pPr>
                    <w:pStyle w:val="21"/>
                    <w:rPr>
                      <w:rFonts w:asciiTheme="minorHAnsi" w:eastAsiaTheme="minorEastAsia" w:hAnsiTheme="minorHAnsi" w:cstheme="minorBidi"/>
                      <w:b w:val="0"/>
                      <w:smallCaps w:val="0"/>
                      <w:noProof/>
                      <w:color w:val="auto"/>
                      <w:sz w:val="21"/>
                      <w:szCs w:val="22"/>
                    </w:rPr>
                  </w:pPr>
                  <w:hyperlink w:anchor="_Toc4160088" w:history="1">
                    <w:r w:rsidRPr="007069A4">
                      <w:rPr>
                        <w:rStyle w:val="ae"/>
                        <w:rFonts w:asciiTheme="minorEastAsia" w:hAnsiTheme="minorEastAsia"/>
                        <w:noProof/>
                      </w:rPr>
                      <w:t>2.2</w:t>
                    </w:r>
                    <w:r w:rsidRPr="007069A4">
                      <w:rPr>
                        <w:rStyle w:val="ae"/>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_Toc4160088 \h </w:instrText>
                    </w:r>
                    <w:r>
                      <w:rPr>
                        <w:noProof/>
                        <w:webHidden/>
                      </w:rPr>
                    </w:r>
                    <w:r>
                      <w:rPr>
                        <w:noProof/>
                        <w:webHidden/>
                      </w:rPr>
                      <w:fldChar w:fldCharType="separate"/>
                    </w:r>
                    <w:r>
                      <w:rPr>
                        <w:noProof/>
                        <w:webHidden/>
                      </w:rPr>
                      <w:t>19</w:t>
                    </w:r>
                    <w:r>
                      <w:rPr>
                        <w:noProof/>
                        <w:webHidden/>
                      </w:rPr>
                      <w:fldChar w:fldCharType="end"/>
                    </w:r>
                  </w:hyperlink>
                </w:p>
                <w:p w:rsidR="00F27D6D" w:rsidRDefault="00F27D6D">
                  <w:pPr>
                    <w:pStyle w:val="21"/>
                    <w:rPr>
                      <w:rFonts w:asciiTheme="minorHAnsi" w:eastAsiaTheme="minorEastAsia" w:hAnsiTheme="minorHAnsi" w:cstheme="minorBidi"/>
                      <w:b w:val="0"/>
                      <w:smallCaps w:val="0"/>
                      <w:noProof/>
                      <w:color w:val="auto"/>
                      <w:sz w:val="21"/>
                      <w:szCs w:val="22"/>
                    </w:rPr>
                  </w:pPr>
                  <w:hyperlink w:anchor="_Toc4160089" w:history="1">
                    <w:r w:rsidRPr="007069A4">
                      <w:rPr>
                        <w:rStyle w:val="ae"/>
                        <w:rFonts w:asciiTheme="minorEastAsia" w:hAnsiTheme="minorEastAsia"/>
                        <w:noProof/>
                      </w:rPr>
                      <w:t>2.3</w:t>
                    </w:r>
                    <w:r w:rsidRPr="007069A4">
                      <w:rPr>
                        <w:rStyle w:val="ae"/>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_Toc4160089 \h </w:instrText>
                    </w:r>
                    <w:r>
                      <w:rPr>
                        <w:noProof/>
                        <w:webHidden/>
                      </w:rPr>
                    </w:r>
                    <w:r>
                      <w:rPr>
                        <w:noProof/>
                        <w:webHidden/>
                      </w:rPr>
                      <w:fldChar w:fldCharType="separate"/>
                    </w:r>
                    <w:r>
                      <w:rPr>
                        <w:noProof/>
                        <w:webHidden/>
                      </w:rPr>
                      <w:t>20</w:t>
                    </w:r>
                    <w:r>
                      <w:rPr>
                        <w:noProof/>
                        <w:webHidden/>
                      </w:rPr>
                      <w:fldChar w:fldCharType="end"/>
                    </w:r>
                  </w:hyperlink>
                </w:p>
                <w:p w:rsidR="00F27D6D" w:rsidRDefault="00F27D6D">
                  <w:pPr>
                    <w:pStyle w:val="21"/>
                    <w:rPr>
                      <w:rFonts w:asciiTheme="minorHAnsi" w:eastAsiaTheme="minorEastAsia" w:hAnsiTheme="minorHAnsi" w:cstheme="minorBidi"/>
                      <w:b w:val="0"/>
                      <w:smallCaps w:val="0"/>
                      <w:noProof/>
                      <w:color w:val="auto"/>
                      <w:sz w:val="21"/>
                      <w:szCs w:val="22"/>
                    </w:rPr>
                  </w:pPr>
                  <w:hyperlink w:anchor="_Toc4160090" w:history="1">
                    <w:r w:rsidRPr="007069A4">
                      <w:rPr>
                        <w:rStyle w:val="ae"/>
                        <w:rFonts w:asciiTheme="minorEastAsia" w:hAnsiTheme="minorEastAsia"/>
                        <w:noProof/>
                      </w:rPr>
                      <w:t>2.4</w:t>
                    </w:r>
                    <w:r w:rsidRPr="007069A4">
                      <w:rPr>
                        <w:rStyle w:val="ae"/>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_Toc4160090 \h </w:instrText>
                    </w:r>
                    <w:r>
                      <w:rPr>
                        <w:noProof/>
                        <w:webHidden/>
                      </w:rPr>
                    </w:r>
                    <w:r>
                      <w:rPr>
                        <w:noProof/>
                        <w:webHidden/>
                      </w:rPr>
                      <w:fldChar w:fldCharType="separate"/>
                    </w:r>
                    <w:r>
                      <w:rPr>
                        <w:noProof/>
                        <w:webHidden/>
                      </w:rPr>
                      <w:t>22</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91" w:history="1">
                    <w:r w:rsidRPr="007069A4">
                      <w:rPr>
                        <w:rStyle w:val="ae"/>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_Toc4160091 \h </w:instrText>
                    </w:r>
                    <w:r>
                      <w:rPr>
                        <w:noProof/>
                        <w:webHidden/>
                      </w:rPr>
                    </w:r>
                    <w:r>
                      <w:rPr>
                        <w:noProof/>
                        <w:webHidden/>
                      </w:rPr>
                      <w:fldChar w:fldCharType="separate"/>
                    </w:r>
                    <w:r>
                      <w:rPr>
                        <w:noProof/>
                        <w:webHidden/>
                      </w:rPr>
                      <w:t>22</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92" w:history="1">
                    <w:r w:rsidRPr="007069A4">
                      <w:rPr>
                        <w:rStyle w:val="ae"/>
                        <w:rFonts w:asciiTheme="minorEastAsia" w:hAnsiTheme="minorEastAsia"/>
                        <w:noProof/>
                      </w:rPr>
                      <w:t>3</w:t>
                    </w:r>
                    <w:r w:rsidRPr="007069A4">
                      <w:rPr>
                        <w:rStyle w:val="ae"/>
                        <w:rFonts w:asciiTheme="minorEastAsia" w:hAnsiTheme="minorEastAsia" w:hint="eastAsia"/>
                        <w:noProof/>
                      </w:rPr>
                      <w:t>．</w:t>
                    </w:r>
                    <w:r w:rsidRPr="007069A4">
                      <w:rPr>
                        <w:rStyle w:val="ae"/>
                        <w:rFonts w:asciiTheme="minorEastAsia" w:hAnsiTheme="minorEastAsia"/>
                        <w:noProof/>
                      </w:rPr>
                      <w:t xml:space="preserve">1  </w:t>
                    </w:r>
                    <w:r w:rsidRPr="007069A4">
                      <w:rPr>
                        <w:rStyle w:val="ae"/>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_Toc4160092 \h </w:instrText>
                    </w:r>
                    <w:r>
                      <w:rPr>
                        <w:noProof/>
                        <w:webHidden/>
                      </w:rPr>
                    </w:r>
                    <w:r>
                      <w:rPr>
                        <w:noProof/>
                        <w:webHidden/>
                      </w:rPr>
                      <w:fldChar w:fldCharType="separate"/>
                    </w:r>
                    <w:r>
                      <w:rPr>
                        <w:noProof/>
                        <w:webHidden/>
                      </w:rPr>
                      <w:t>23</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93" w:history="1">
                    <w:r w:rsidRPr="007069A4">
                      <w:rPr>
                        <w:rStyle w:val="ae"/>
                        <w:rFonts w:ascii="黑体" w:hint="eastAsia"/>
                        <w:noProof/>
                      </w:rPr>
                      <w:t>六、</w:t>
                    </w:r>
                    <w:r w:rsidRPr="007069A4">
                      <w:rPr>
                        <w:rStyle w:val="ae"/>
                        <w:rFonts w:ascii="黑体"/>
                        <w:noProof/>
                      </w:rPr>
                      <w:t>D</w:t>
                    </w:r>
                    <w:r w:rsidRPr="007069A4">
                      <w:rPr>
                        <w:rStyle w:val="ae"/>
                        <w:rFonts w:ascii="黑体" w:hint="eastAsia"/>
                        <w:noProof/>
                      </w:rPr>
                      <w:t>系列特种溶剂油</w:t>
                    </w:r>
                    <w:r>
                      <w:rPr>
                        <w:noProof/>
                        <w:webHidden/>
                      </w:rPr>
                      <w:tab/>
                    </w:r>
                    <w:r>
                      <w:rPr>
                        <w:noProof/>
                        <w:webHidden/>
                      </w:rPr>
                      <w:fldChar w:fldCharType="begin"/>
                    </w:r>
                    <w:r>
                      <w:rPr>
                        <w:noProof/>
                        <w:webHidden/>
                      </w:rPr>
                      <w:instrText xml:space="preserve"> PAGEREF _Toc4160093 \h </w:instrText>
                    </w:r>
                    <w:r>
                      <w:rPr>
                        <w:noProof/>
                        <w:webHidden/>
                      </w:rPr>
                    </w:r>
                    <w:r>
                      <w:rPr>
                        <w:noProof/>
                        <w:webHidden/>
                      </w:rPr>
                      <w:fldChar w:fldCharType="separate"/>
                    </w:r>
                    <w:r>
                      <w:rPr>
                        <w:noProof/>
                        <w:webHidden/>
                      </w:rPr>
                      <w:t>33</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94" w:history="1">
                    <w:r w:rsidRPr="007069A4">
                      <w:rPr>
                        <w:rStyle w:val="ae"/>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_Toc4160094 \h </w:instrText>
                    </w:r>
                    <w:r>
                      <w:rPr>
                        <w:noProof/>
                        <w:webHidden/>
                      </w:rPr>
                    </w:r>
                    <w:r>
                      <w:rPr>
                        <w:noProof/>
                        <w:webHidden/>
                      </w:rPr>
                      <w:fldChar w:fldCharType="separate"/>
                    </w:r>
                    <w:r>
                      <w:rPr>
                        <w:noProof/>
                        <w:webHidden/>
                      </w:rPr>
                      <w:t>35</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95" w:history="1">
                    <w:r w:rsidRPr="007069A4">
                      <w:rPr>
                        <w:rStyle w:val="ae"/>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_Toc4160095 \h </w:instrText>
                    </w:r>
                    <w:r>
                      <w:rPr>
                        <w:noProof/>
                        <w:webHidden/>
                      </w:rPr>
                    </w:r>
                    <w:r>
                      <w:rPr>
                        <w:noProof/>
                        <w:webHidden/>
                      </w:rPr>
                      <w:fldChar w:fldCharType="separate"/>
                    </w:r>
                    <w:r>
                      <w:rPr>
                        <w:noProof/>
                        <w:webHidden/>
                      </w:rPr>
                      <w:t>40</w:t>
                    </w:r>
                    <w:r>
                      <w:rPr>
                        <w:noProof/>
                        <w:webHidden/>
                      </w:rPr>
                      <w:fldChar w:fldCharType="end"/>
                    </w:r>
                  </w:hyperlink>
                </w:p>
                <w:p w:rsidR="00F27D6D" w:rsidRDefault="00F27D6D">
                  <w:pPr>
                    <w:pStyle w:val="10"/>
                    <w:rPr>
                      <w:rFonts w:asciiTheme="minorHAnsi" w:eastAsiaTheme="minorEastAsia" w:hAnsiTheme="minorHAnsi" w:cstheme="minorBidi"/>
                      <w:b w:val="0"/>
                      <w:bCs w:val="0"/>
                      <w:caps w:val="0"/>
                      <w:noProof/>
                      <w:color w:val="auto"/>
                      <w:sz w:val="21"/>
                      <w:szCs w:val="22"/>
                    </w:rPr>
                  </w:pPr>
                  <w:hyperlink w:anchor="_Toc4160096" w:history="1">
                    <w:r w:rsidRPr="007069A4">
                      <w:rPr>
                        <w:rStyle w:val="ae"/>
                        <w:rFonts w:ascii="华文仿宋" w:eastAsia="华文仿宋" w:hAnsi="华文仿宋" w:hint="eastAsia"/>
                        <w:noProof/>
                      </w:rPr>
                      <w:t>九、</w:t>
                    </w:r>
                    <w:r w:rsidRPr="007069A4">
                      <w:rPr>
                        <w:rStyle w:val="ae"/>
                        <w:rFonts w:ascii="华文仿宋" w:eastAsia="华文仿宋" w:hAnsi="华文仿宋"/>
                        <w:noProof/>
                      </w:rPr>
                      <w:t>2018</w:t>
                    </w:r>
                    <w:r w:rsidRPr="007069A4">
                      <w:rPr>
                        <w:rStyle w:val="ae"/>
                        <w:rFonts w:ascii="华文仿宋" w:eastAsia="华文仿宋" w:hAnsi="华文仿宋" w:hint="eastAsia"/>
                        <w:noProof/>
                      </w:rPr>
                      <w:t>年</w:t>
                    </w:r>
                    <w:r w:rsidRPr="007069A4">
                      <w:rPr>
                        <w:rStyle w:val="ae"/>
                        <w:rFonts w:ascii="华文仿宋" w:eastAsia="华文仿宋" w:hAnsi="华文仿宋"/>
                        <w:noProof/>
                      </w:rPr>
                      <w:t>11</w:t>
                    </w:r>
                    <w:r w:rsidRPr="007069A4">
                      <w:rPr>
                        <w:rStyle w:val="ae"/>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_Toc4160096 \h </w:instrText>
                    </w:r>
                    <w:r>
                      <w:rPr>
                        <w:noProof/>
                        <w:webHidden/>
                      </w:rPr>
                    </w:r>
                    <w:r>
                      <w:rPr>
                        <w:noProof/>
                        <w:webHidden/>
                      </w:rPr>
                      <w:fldChar w:fldCharType="separate"/>
                    </w:r>
                    <w:r>
                      <w:rPr>
                        <w:noProof/>
                        <w:webHidden/>
                      </w:rPr>
                      <w:t>41</w:t>
                    </w:r>
                    <w:r>
                      <w:rPr>
                        <w:noProof/>
                        <w:webHidden/>
                      </w:rPr>
                      <w:fldChar w:fldCharType="end"/>
                    </w:r>
                  </w:hyperlink>
                </w:p>
                <w:p w:rsidR="00F27D6D" w:rsidRDefault="00F27D6D">
                  <w:r>
                    <w:rPr>
                      <w:rFonts w:ascii="宋体" w:hAnsi="宋体"/>
                    </w:rPr>
                    <w:fldChar w:fldCharType="end"/>
                  </w:r>
                </w:p>
              </w:txbxContent>
            </v:textbox>
          </v:shape>
        </w:pict>
      </w:r>
      <w:r w:rsidR="0014013A">
        <w:br w:type="page"/>
      </w:r>
      <w:bookmarkStart w:id="3" w:name="_Toc505349997"/>
      <w:bookmarkStart w:id="4" w:name="_Toc460250399"/>
      <w:bookmarkStart w:id="5" w:name="_Toc536797002"/>
      <w:bookmarkStart w:id="6" w:name="_Toc1736575"/>
      <w:bookmarkStart w:id="7" w:name="_Toc2934017"/>
      <w:bookmarkStart w:id="8" w:name="_Toc2934038"/>
      <w:bookmarkStart w:id="9" w:name="_Toc4160078"/>
      <w:bookmarkEnd w:id="2"/>
      <w:r w:rsidR="0014013A">
        <w:rPr>
          <w:rFonts w:ascii="黑体" w:eastAsia="黑体" w:hAnsi="宋体" w:cs="Arial" w:hint="eastAsia"/>
          <w:b/>
          <w:bCs/>
          <w:kern w:val="0"/>
          <w:sz w:val="30"/>
          <w:szCs w:val="30"/>
        </w:rPr>
        <w:lastRenderedPageBreak/>
        <w:t>一、国际原油</w:t>
      </w:r>
      <w:bookmarkEnd w:id="3"/>
      <w:bookmarkEnd w:id="4"/>
      <w:bookmarkEnd w:id="5"/>
      <w:bookmarkEnd w:id="6"/>
      <w:bookmarkEnd w:id="7"/>
      <w:bookmarkEnd w:id="8"/>
      <w:bookmarkEnd w:id="9"/>
    </w:p>
    <w:p w:rsidR="00E141C3" w:rsidRDefault="00E141C3" w:rsidP="00E141C3">
      <w:pPr>
        <w:outlineLvl w:val="0"/>
        <w:rPr>
          <w:rFonts w:ascii="黑体" w:eastAsia="黑体" w:hAnsi="宋体" w:cs="Arial"/>
          <w:b/>
          <w:bCs/>
          <w:kern w:val="0"/>
          <w:sz w:val="30"/>
          <w:szCs w:val="30"/>
        </w:rPr>
      </w:pPr>
      <w:bookmarkStart w:id="10" w:name="_Toc504051935"/>
      <w:bookmarkStart w:id="11" w:name="_Toc1736576"/>
      <w:bookmarkStart w:id="12" w:name="_Toc2934018"/>
      <w:bookmarkStart w:id="13" w:name="_Toc2934039"/>
      <w:bookmarkStart w:id="14" w:name="_Toc4160079"/>
      <w:bookmarkStart w:id="15" w:name="_Toc505350007"/>
      <w:bookmarkStart w:id="16" w:name="_Toc536797012"/>
      <w:bookmarkStart w:id="17" w:name="_Toc296600809"/>
      <w:bookmarkStart w:id="18" w:name="_Toc281568199"/>
      <w:bookmarkStart w:id="19" w:name="_Toc158203127"/>
      <w:bookmarkStart w:id="20" w:name="_Toc239847712"/>
      <w:r>
        <w:rPr>
          <w:rFonts w:ascii="黑体" w:eastAsia="黑体" w:hAnsi="宋体" w:cs="Arial" w:hint="eastAsia"/>
          <w:b/>
          <w:bCs/>
          <w:kern w:val="0"/>
          <w:sz w:val="30"/>
          <w:szCs w:val="30"/>
        </w:rPr>
        <w:t>(一)、国际原油市场回顾</w:t>
      </w:r>
      <w:bookmarkEnd w:id="10"/>
      <w:bookmarkEnd w:id="11"/>
      <w:bookmarkEnd w:id="12"/>
      <w:bookmarkEnd w:id="13"/>
      <w:bookmarkEnd w:id="14"/>
      <w:r>
        <w:rPr>
          <w:rFonts w:ascii="宋体" w:eastAsia="黑体" w:hAnsi="宋体" w:cs="Arial" w:hint="eastAsia"/>
          <w:b/>
          <w:bCs/>
          <w:kern w:val="0"/>
          <w:sz w:val="30"/>
          <w:szCs w:val="30"/>
        </w:rPr>
        <w:t> </w:t>
      </w:r>
    </w:p>
    <w:p w:rsidR="00E141C3" w:rsidRDefault="00E141C3" w:rsidP="00E141C3">
      <w:pPr>
        <w:ind w:left="420"/>
        <w:outlineLvl w:val="0"/>
        <w:rPr>
          <w:rFonts w:ascii="黑体" w:eastAsia="黑体" w:hAnsi="宋体" w:cs="Arial"/>
          <w:b/>
          <w:bCs/>
          <w:kern w:val="0"/>
          <w:sz w:val="30"/>
          <w:szCs w:val="30"/>
        </w:rPr>
      </w:pPr>
    </w:p>
    <w:p w:rsidR="003A236C" w:rsidRDefault="003A236C" w:rsidP="003A236C">
      <w:pPr>
        <w:widowControl/>
        <w:numPr>
          <w:ilvl w:val="0"/>
          <w:numId w:val="3"/>
        </w:numPr>
        <w:wordWrap w:val="0"/>
        <w:spacing w:after="90" w:line="288" w:lineRule="auto"/>
        <w:ind w:firstLine="238"/>
        <w:jc w:val="left"/>
        <w:outlineLvl w:val="1"/>
        <w:rPr>
          <w:rFonts w:ascii="宋体" w:hAnsi="宋体" w:cs="Arial"/>
          <w:b/>
          <w:kern w:val="0"/>
          <w:sz w:val="30"/>
          <w:szCs w:val="30"/>
        </w:rPr>
      </w:pPr>
      <w:bookmarkStart w:id="21" w:name="_Toc504051936"/>
      <w:bookmarkStart w:id="22" w:name="_Toc4160080"/>
      <w:r>
        <w:rPr>
          <w:rFonts w:ascii="宋体" w:hAnsi="宋体" w:cs="Arial" w:hint="eastAsia"/>
          <w:b/>
          <w:kern w:val="0"/>
          <w:sz w:val="30"/>
          <w:szCs w:val="30"/>
        </w:rPr>
        <w:t>国际原油收盘价涨跌情况（单位：美元/桶）</w:t>
      </w:r>
      <w:bookmarkEnd w:id="21"/>
      <w:bookmarkEnd w:id="22"/>
    </w:p>
    <w:tbl>
      <w:tblPr>
        <w:tblW w:w="8662" w:type="dxa"/>
        <w:tblLayout w:type="fixed"/>
        <w:tblCellMar>
          <w:top w:w="15" w:type="dxa"/>
          <w:left w:w="15" w:type="dxa"/>
          <w:bottom w:w="15" w:type="dxa"/>
          <w:right w:w="15" w:type="dxa"/>
        </w:tblCellMar>
        <w:tblLook w:val="0000"/>
      </w:tblPr>
      <w:tblGrid>
        <w:gridCol w:w="1291"/>
        <w:gridCol w:w="709"/>
        <w:gridCol w:w="691"/>
        <w:gridCol w:w="5971"/>
      </w:tblGrid>
      <w:tr w:rsidR="003A236C" w:rsidTr="003A236C">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A236C" w:rsidRDefault="003A236C" w:rsidP="003A236C">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A236C" w:rsidRDefault="003A236C" w:rsidP="003A236C">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A236C" w:rsidRDefault="003A236C" w:rsidP="003A236C">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597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A236C" w:rsidRDefault="003A236C" w:rsidP="003A236C">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3A236C" w:rsidTr="003A236C">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36C" w:rsidRDefault="003A236C" w:rsidP="003A236C">
            <w:pPr>
              <w:jc w:val="center"/>
              <w:rPr>
                <w:rFonts w:ascii="华文仿宋" w:eastAsia="华文仿宋" w:hAnsi="华文仿宋"/>
                <w:color w:val="000000"/>
                <w:sz w:val="28"/>
                <w:szCs w:val="28"/>
              </w:rPr>
            </w:pPr>
          </w:p>
          <w:p w:rsidR="003A236C" w:rsidRDefault="003A236C" w:rsidP="003A236C">
            <w:pPr>
              <w:jc w:val="center"/>
              <w:rPr>
                <w:rFonts w:ascii="华文仿宋" w:eastAsia="华文仿宋" w:hAnsi="华文仿宋"/>
                <w:color w:val="000000"/>
                <w:sz w:val="28"/>
                <w:szCs w:val="28"/>
              </w:rPr>
            </w:pPr>
          </w:p>
          <w:p w:rsidR="003A236C" w:rsidRPr="00C52BD0" w:rsidRDefault="003A236C" w:rsidP="003A236C">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2019/3/</w:t>
            </w:r>
            <w:r>
              <w:rPr>
                <w:rFonts w:ascii="华文仿宋" w:eastAsia="华文仿宋" w:hAnsi="华文仿宋" w:hint="eastAsia"/>
                <w:color w:val="000000"/>
                <w:sz w:val="28"/>
                <w:szCs w:val="28"/>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59.83</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68.5</w:t>
            </w:r>
          </w:p>
        </w:tc>
        <w:tc>
          <w:tcPr>
            <w:tcW w:w="5971" w:type="dxa"/>
            <w:tcBorders>
              <w:top w:val="single" w:sz="4" w:space="0" w:color="000000"/>
              <w:left w:val="single" w:sz="4" w:space="0" w:color="000000"/>
              <w:bottom w:val="single" w:sz="4" w:space="0" w:color="000000"/>
              <w:right w:val="single" w:sz="4" w:space="0" w:color="000000"/>
            </w:tcBorders>
            <w:vAlign w:val="center"/>
          </w:tcPr>
          <w:p w:rsidR="003A236C" w:rsidRPr="00C52BD0" w:rsidRDefault="003A236C" w:rsidP="003A236C">
            <w:pPr>
              <w:jc w:val="left"/>
              <w:rPr>
                <w:rFonts w:ascii="华文仿宋" w:eastAsia="华文仿宋" w:hAnsi="华文仿宋" w:cs="宋体"/>
                <w:color w:val="000000"/>
                <w:sz w:val="28"/>
                <w:szCs w:val="28"/>
              </w:rPr>
            </w:pPr>
            <w:r w:rsidRPr="00A62292">
              <w:rPr>
                <w:rFonts w:ascii="华文仿宋" w:eastAsia="华文仿宋" w:hAnsi="华文仿宋" w:hint="eastAsia"/>
                <w:color w:val="000000"/>
                <w:sz w:val="28"/>
                <w:szCs w:val="28"/>
              </w:rPr>
              <w:t>上周美国原油库存创2018年7月来最大单周降幅，同时汽油、精炼油以及库欣库存也全线下降，为油价带来强力支撑</w:t>
            </w:r>
            <w:r w:rsidRPr="00622D25">
              <w:rPr>
                <w:rFonts w:ascii="华文仿宋" w:eastAsia="华文仿宋" w:hAnsi="华文仿宋" w:hint="eastAsia"/>
                <w:color w:val="000000"/>
                <w:sz w:val="28"/>
                <w:szCs w:val="28"/>
              </w:rPr>
              <w:t>。</w:t>
            </w:r>
          </w:p>
        </w:tc>
      </w:tr>
      <w:tr w:rsidR="003A236C" w:rsidTr="003A236C">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C52BD0" w:rsidRDefault="003A236C" w:rsidP="003A236C">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2019/3/</w:t>
            </w:r>
            <w:r>
              <w:rPr>
                <w:rFonts w:ascii="华文仿宋" w:eastAsia="华文仿宋" w:hAnsi="华文仿宋" w:hint="eastAsia"/>
                <w:color w:val="000000"/>
                <w:sz w:val="28"/>
                <w:szCs w:val="28"/>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59.03</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67.61</w:t>
            </w:r>
          </w:p>
        </w:tc>
        <w:tc>
          <w:tcPr>
            <w:tcW w:w="5971" w:type="dxa"/>
            <w:tcBorders>
              <w:top w:val="single" w:sz="4" w:space="0" w:color="000000"/>
              <w:left w:val="single" w:sz="4" w:space="0" w:color="000000"/>
              <w:bottom w:val="single" w:sz="4" w:space="0" w:color="000000"/>
              <w:right w:val="single" w:sz="4" w:space="0" w:color="000000"/>
            </w:tcBorders>
            <w:vAlign w:val="center"/>
          </w:tcPr>
          <w:p w:rsidR="003A236C" w:rsidRPr="00C52BD0" w:rsidRDefault="003A236C" w:rsidP="003A236C">
            <w:pPr>
              <w:rPr>
                <w:rFonts w:ascii="华文仿宋" w:eastAsia="华文仿宋" w:hAnsi="华文仿宋" w:cs="宋体"/>
                <w:color w:val="000000"/>
                <w:sz w:val="28"/>
                <w:szCs w:val="28"/>
              </w:rPr>
            </w:pPr>
            <w:r w:rsidRPr="00A62292">
              <w:rPr>
                <w:rFonts w:ascii="华文仿宋" w:eastAsia="华文仿宋" w:hAnsi="华文仿宋" w:hint="eastAsia"/>
                <w:color w:val="000000"/>
                <w:sz w:val="28"/>
                <w:szCs w:val="28"/>
              </w:rPr>
              <w:t>虽然减产行动依然为油价提供支撑，但市场在美国库存报告公布前保持谨慎。</w:t>
            </w:r>
          </w:p>
        </w:tc>
      </w:tr>
      <w:tr w:rsidR="003A236C" w:rsidTr="003A236C">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C52BD0" w:rsidRDefault="003A236C" w:rsidP="003A236C">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2019/3/</w:t>
            </w:r>
            <w:r>
              <w:rPr>
                <w:rFonts w:ascii="华文仿宋" w:eastAsia="华文仿宋" w:hAnsi="华文仿宋" w:hint="eastAsia"/>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59.09</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67.54</w:t>
            </w:r>
          </w:p>
        </w:tc>
        <w:tc>
          <w:tcPr>
            <w:tcW w:w="5971" w:type="dxa"/>
            <w:tcBorders>
              <w:top w:val="single" w:sz="4" w:space="0" w:color="000000"/>
              <w:left w:val="single" w:sz="4" w:space="0" w:color="000000"/>
              <w:bottom w:val="single" w:sz="4" w:space="0" w:color="000000"/>
              <w:right w:val="single" w:sz="4" w:space="0" w:color="000000"/>
            </w:tcBorders>
            <w:vAlign w:val="center"/>
          </w:tcPr>
          <w:p w:rsidR="003A236C" w:rsidRPr="005A63CE" w:rsidRDefault="003A236C" w:rsidP="003A236C">
            <w:pP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沙特领头的OPEC+委员会重申坚持减产承诺，市场认为减产行动将会延长至今年年底，从而为油价提供有效支撑。</w:t>
            </w:r>
          </w:p>
        </w:tc>
      </w:tr>
      <w:tr w:rsidR="003A236C" w:rsidTr="003A236C">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C52BD0" w:rsidRDefault="003A236C" w:rsidP="003A236C">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2019/3/</w:t>
            </w:r>
            <w:r>
              <w:rPr>
                <w:rFonts w:ascii="华文仿宋" w:eastAsia="华文仿宋" w:hAnsi="华文仿宋" w:hint="eastAsia"/>
                <w:color w:val="000000"/>
                <w:sz w:val="28"/>
                <w:szCs w:val="28"/>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58.52</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67.16</w:t>
            </w:r>
          </w:p>
        </w:tc>
        <w:tc>
          <w:tcPr>
            <w:tcW w:w="5971" w:type="dxa"/>
            <w:tcBorders>
              <w:top w:val="single" w:sz="4" w:space="0" w:color="000000"/>
              <w:left w:val="single" w:sz="4" w:space="0" w:color="000000"/>
              <w:bottom w:val="single" w:sz="4" w:space="0" w:color="000000"/>
              <w:right w:val="single" w:sz="4" w:space="0" w:color="000000"/>
            </w:tcBorders>
            <w:vAlign w:val="center"/>
          </w:tcPr>
          <w:p w:rsidR="003A236C" w:rsidRPr="005A63CE" w:rsidRDefault="003A236C" w:rsidP="003A236C">
            <w:pP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美国经济数据不佳令市场对经济放缓的担忧情绪进一步加重，导致原油承压下滑。</w:t>
            </w:r>
          </w:p>
        </w:tc>
      </w:tr>
      <w:tr w:rsidR="003A236C" w:rsidTr="003A236C">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C52BD0" w:rsidRDefault="003A236C" w:rsidP="003A236C">
            <w:pPr>
              <w:jc w:val="center"/>
              <w:rPr>
                <w:rFonts w:ascii="华文仿宋" w:eastAsia="华文仿宋" w:hAnsi="华文仿宋" w:cs="宋体"/>
                <w:color w:val="000000"/>
                <w:sz w:val="28"/>
                <w:szCs w:val="28"/>
              </w:rPr>
            </w:pPr>
            <w:r w:rsidRPr="00C52BD0">
              <w:rPr>
                <w:rFonts w:ascii="华文仿宋" w:eastAsia="华文仿宋" w:hAnsi="华文仿宋" w:hint="eastAsia"/>
                <w:color w:val="000000"/>
                <w:sz w:val="28"/>
                <w:szCs w:val="28"/>
              </w:rPr>
              <w:t>2019/2/</w:t>
            </w:r>
            <w:r>
              <w:rPr>
                <w:rFonts w:ascii="华文仿宋" w:eastAsia="华文仿宋" w:hAnsi="华文仿宋" w:hint="eastAsia"/>
                <w:color w:val="000000"/>
                <w:sz w:val="28"/>
                <w:szCs w:val="28"/>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58.61</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A236C" w:rsidRPr="005A63CE" w:rsidRDefault="003A236C" w:rsidP="003A236C">
            <w:pPr>
              <w:jc w:val="center"/>
              <w:rPr>
                <w:rFonts w:ascii="华文仿宋" w:eastAsia="华文仿宋" w:hAnsi="华文仿宋"/>
                <w:color w:val="000000"/>
                <w:sz w:val="28"/>
                <w:szCs w:val="28"/>
              </w:rPr>
            </w:pPr>
            <w:r w:rsidRPr="005A63CE">
              <w:rPr>
                <w:rFonts w:ascii="华文仿宋" w:eastAsia="华文仿宋" w:hAnsi="华文仿宋" w:hint="eastAsia"/>
                <w:color w:val="000000"/>
                <w:sz w:val="28"/>
                <w:szCs w:val="28"/>
              </w:rPr>
              <w:t>67.23</w:t>
            </w:r>
          </w:p>
        </w:tc>
        <w:tc>
          <w:tcPr>
            <w:tcW w:w="5971" w:type="dxa"/>
            <w:tcBorders>
              <w:top w:val="single" w:sz="4" w:space="0" w:color="000000"/>
              <w:left w:val="single" w:sz="4" w:space="0" w:color="000000"/>
              <w:bottom w:val="single" w:sz="4" w:space="0" w:color="000000"/>
              <w:right w:val="single" w:sz="4" w:space="0" w:color="000000"/>
            </w:tcBorders>
            <w:vAlign w:val="center"/>
          </w:tcPr>
          <w:p w:rsidR="003A236C" w:rsidRPr="00C52BD0" w:rsidRDefault="003A236C" w:rsidP="003A236C">
            <w:pPr>
              <w:rPr>
                <w:rFonts w:ascii="华文仿宋" w:eastAsia="华文仿宋" w:hAnsi="华文仿宋" w:cs="宋体"/>
                <w:color w:val="000000"/>
                <w:sz w:val="28"/>
                <w:szCs w:val="28"/>
              </w:rPr>
            </w:pPr>
            <w:r w:rsidRPr="005A63CE">
              <w:rPr>
                <w:rFonts w:ascii="华文仿宋" w:eastAsia="华文仿宋" w:hAnsi="华文仿宋" w:hint="eastAsia"/>
                <w:color w:val="000000"/>
                <w:sz w:val="28"/>
                <w:szCs w:val="28"/>
              </w:rPr>
              <w:t>当前全球经济放缓迹象仍在加重，拖累原油需求面表现，抵消了石油输出国组织(OPEC)减产行动带来的利好影响。</w:t>
            </w:r>
          </w:p>
        </w:tc>
      </w:tr>
    </w:tbl>
    <w:p w:rsidR="003A236C" w:rsidRDefault="003A236C" w:rsidP="003A236C">
      <w:pPr>
        <w:widowControl/>
        <w:wordWrap w:val="0"/>
        <w:spacing w:after="90" w:line="288" w:lineRule="auto"/>
        <w:ind w:left="238"/>
        <w:jc w:val="left"/>
        <w:outlineLvl w:val="1"/>
        <w:rPr>
          <w:rFonts w:ascii="宋体" w:hAnsi="宋体" w:cs="Arial"/>
          <w:b/>
          <w:kern w:val="0"/>
          <w:sz w:val="30"/>
          <w:szCs w:val="30"/>
        </w:rPr>
      </w:pPr>
    </w:p>
    <w:p w:rsidR="003A236C" w:rsidRDefault="003A236C" w:rsidP="003A236C">
      <w:pPr>
        <w:rPr>
          <w:rFonts w:ascii="宋体" w:hAnsi="宋体" w:cs="Arial"/>
          <w:kern w:val="0"/>
          <w:szCs w:val="21"/>
        </w:rPr>
      </w:pPr>
    </w:p>
    <w:p w:rsidR="003A236C" w:rsidRDefault="003A236C" w:rsidP="003A236C">
      <w:pPr>
        <w:widowControl/>
        <w:wordWrap w:val="0"/>
        <w:spacing w:after="90" w:line="288" w:lineRule="auto"/>
        <w:ind w:firstLine="238"/>
        <w:jc w:val="left"/>
        <w:outlineLvl w:val="1"/>
        <w:rPr>
          <w:rFonts w:ascii="宋体" w:hAnsi="宋体" w:cs="Arial"/>
          <w:b/>
          <w:kern w:val="0"/>
          <w:sz w:val="30"/>
          <w:szCs w:val="30"/>
        </w:rPr>
      </w:pPr>
      <w:bookmarkStart w:id="23" w:name="_Toc504051937"/>
      <w:bookmarkStart w:id="24" w:name="_Toc4160081"/>
      <w:r>
        <w:rPr>
          <w:rFonts w:ascii="宋体" w:hAnsi="宋体" w:cs="Arial"/>
          <w:b/>
          <w:kern w:val="0"/>
          <w:sz w:val="30"/>
          <w:szCs w:val="30"/>
        </w:rPr>
        <w:t>2.201</w:t>
      </w:r>
      <w:r>
        <w:rPr>
          <w:rFonts w:ascii="宋体" w:hAnsi="宋体" w:cs="Arial" w:hint="eastAsia"/>
          <w:b/>
          <w:kern w:val="0"/>
          <w:sz w:val="30"/>
          <w:szCs w:val="30"/>
        </w:rPr>
        <w:t>9</w:t>
      </w:r>
      <w:r>
        <w:rPr>
          <w:rFonts w:ascii="宋体" w:hAnsi="宋体" w:cs="Arial"/>
          <w:b/>
          <w:kern w:val="0"/>
          <w:sz w:val="30"/>
          <w:szCs w:val="30"/>
        </w:rPr>
        <w:t>年</w:t>
      </w:r>
      <w:r>
        <w:rPr>
          <w:rFonts w:ascii="宋体" w:hAnsi="宋体" w:cs="Arial" w:hint="eastAsia"/>
          <w:b/>
          <w:kern w:val="0"/>
          <w:sz w:val="30"/>
          <w:szCs w:val="30"/>
        </w:rPr>
        <w:t>国际</w:t>
      </w:r>
      <w:r>
        <w:rPr>
          <w:rFonts w:ascii="宋体" w:hAnsi="宋体" w:cs="Arial"/>
          <w:b/>
          <w:kern w:val="0"/>
          <w:sz w:val="30"/>
          <w:szCs w:val="30"/>
        </w:rPr>
        <w:t>原油价格走势图</w:t>
      </w:r>
      <w:bookmarkEnd w:id="23"/>
      <w:bookmarkEnd w:id="24"/>
    </w:p>
    <w:p w:rsidR="003A236C" w:rsidRDefault="003A236C" w:rsidP="003A236C">
      <w:pPr>
        <w:widowControl/>
        <w:wordWrap w:val="0"/>
        <w:spacing w:after="90" w:line="288" w:lineRule="auto"/>
        <w:ind w:firstLine="238"/>
        <w:jc w:val="left"/>
        <w:outlineLvl w:val="1"/>
        <w:rPr>
          <w:rFonts w:ascii="宋体" w:hAnsi="宋体" w:cs="Arial"/>
          <w:b/>
          <w:kern w:val="0"/>
          <w:sz w:val="30"/>
          <w:szCs w:val="30"/>
        </w:rPr>
      </w:pPr>
      <w:r>
        <w:rPr>
          <w:rFonts w:ascii="宋体" w:hAnsi="宋体" w:cs="Arial"/>
          <w:b/>
          <w:noProof/>
          <w:kern w:val="0"/>
          <w:sz w:val="30"/>
          <w:szCs w:val="30"/>
        </w:rPr>
        <w:lastRenderedPageBreak/>
        <w:drawing>
          <wp:inline distT="0" distB="0" distL="0" distR="0">
            <wp:extent cx="5410200" cy="3495675"/>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236C" w:rsidRDefault="003A236C" w:rsidP="003A236C">
      <w:pPr>
        <w:outlineLvl w:val="0"/>
      </w:pPr>
      <w:bookmarkStart w:id="25" w:name="_Toc504051938"/>
    </w:p>
    <w:p w:rsidR="003A236C" w:rsidRPr="003A236C" w:rsidRDefault="003A236C" w:rsidP="003A236C">
      <w:pPr>
        <w:outlineLvl w:val="0"/>
        <w:rPr>
          <w:rFonts w:ascii="黑体" w:eastAsia="黑体" w:hAnsi="宋体" w:cs="Arial"/>
          <w:b/>
          <w:bCs/>
          <w:kern w:val="0"/>
          <w:sz w:val="30"/>
          <w:szCs w:val="30"/>
        </w:rPr>
      </w:pPr>
      <w:bookmarkStart w:id="26" w:name="_Toc4160082"/>
      <w:r w:rsidRPr="003A236C">
        <w:rPr>
          <w:rFonts w:ascii="黑体" w:eastAsia="黑体" w:hAnsi="宋体" w:cs="Arial" w:hint="eastAsia"/>
          <w:b/>
          <w:bCs/>
          <w:kern w:val="0"/>
          <w:sz w:val="30"/>
          <w:szCs w:val="30"/>
        </w:rPr>
        <w:t>（二）、</w:t>
      </w:r>
      <w:r w:rsidRPr="003A236C">
        <w:rPr>
          <w:rFonts w:ascii="黑体" w:eastAsia="黑体" w:hAnsi="宋体" w:cs="Arial"/>
          <w:b/>
          <w:bCs/>
          <w:kern w:val="0"/>
          <w:sz w:val="30"/>
          <w:szCs w:val="30"/>
        </w:rPr>
        <w:t>近期影响国际原油市场的主要因素</w:t>
      </w:r>
      <w:bookmarkEnd w:id="25"/>
      <w:bookmarkEnd w:id="26"/>
    </w:p>
    <w:p w:rsidR="003A236C" w:rsidRDefault="003A236C" w:rsidP="003A236C">
      <w:pPr>
        <w:ind w:firstLineChars="200" w:firstLine="562"/>
        <w:rPr>
          <w:rFonts w:ascii="黑体" w:eastAsia="黑体" w:hAnsi="宋体"/>
          <w:b/>
          <w:sz w:val="28"/>
          <w:szCs w:val="28"/>
        </w:rPr>
      </w:pPr>
    </w:p>
    <w:p w:rsidR="003A236C" w:rsidRDefault="003A236C" w:rsidP="003A236C">
      <w:pPr>
        <w:ind w:firstLineChars="196" w:firstLine="551"/>
        <w:outlineLvl w:val="1"/>
        <w:rPr>
          <w:rFonts w:ascii="黑体" w:eastAsia="黑体" w:hAnsi="宋体"/>
          <w:b/>
          <w:color w:val="000000"/>
          <w:sz w:val="28"/>
          <w:szCs w:val="28"/>
        </w:rPr>
      </w:pPr>
      <w:bookmarkStart w:id="27" w:name="_Toc504051939"/>
      <w:bookmarkStart w:id="28" w:name="_Toc4160083"/>
      <w:r>
        <w:rPr>
          <w:rFonts w:ascii="黑体" w:eastAsia="黑体" w:hAnsi="宋体" w:hint="eastAsia"/>
          <w:b/>
          <w:color w:val="000000"/>
          <w:sz w:val="28"/>
          <w:szCs w:val="28"/>
        </w:rPr>
        <w:t>1.</w:t>
      </w:r>
      <w:r w:rsidRPr="00F62FC4">
        <w:rPr>
          <w:rFonts w:ascii="黑体" w:eastAsia="黑体" w:hAnsi="宋体" w:hint="eastAsia"/>
          <w:b/>
          <w:color w:val="000000"/>
          <w:sz w:val="28"/>
          <w:szCs w:val="28"/>
        </w:rPr>
        <w:t>美国原油库存情况</w:t>
      </w:r>
      <w:bookmarkStart w:id="29" w:name="_Toc504051940"/>
      <w:bookmarkEnd w:id="27"/>
      <w:bookmarkEnd w:id="28"/>
      <w:r>
        <w:rPr>
          <w:rFonts w:ascii="黑体" w:eastAsia="黑体" w:hAnsi="宋体" w:hint="eastAsia"/>
          <w:b/>
          <w:color w:val="000000"/>
          <w:sz w:val="28"/>
          <w:szCs w:val="28"/>
        </w:rPr>
        <w:t xml:space="preserve"> </w:t>
      </w:r>
    </w:p>
    <w:p w:rsidR="003A236C" w:rsidRPr="005A63CE" w:rsidRDefault="003A236C" w:rsidP="003A236C">
      <w:pPr>
        <w:pStyle w:val="aa"/>
        <w:ind w:firstLineChars="200" w:firstLine="560"/>
        <w:rPr>
          <w:rFonts w:ascii="华文仿宋" w:eastAsia="华文仿宋" w:hAnsi="华文仿宋"/>
          <w:sz w:val="28"/>
          <w:szCs w:val="28"/>
        </w:rPr>
      </w:pPr>
      <w:r w:rsidRPr="005A63CE">
        <w:rPr>
          <w:rFonts w:ascii="华文仿宋" w:eastAsia="华文仿宋" w:hAnsi="华文仿宋"/>
          <w:sz w:val="28"/>
          <w:szCs w:val="28"/>
        </w:rPr>
        <w:t>美国能源信息署(EIA)周三(3月13日)公布报告显示，截至3月8日当周，美国原油库存减少386.2万桶至4.491亿桶，市场预估为增加265.5万桶。更多数据显示，上周俄克拉荷马州库欣原油库存减少67.2万桶，连续3周录得增长后再度录得下滑。虽然美国精炼油库存增加38.3万桶，连续3周录得下滑后再度录得增长，市场预估为减少185.8万桶，但美国汽油库存减少462.4万桶，连续4周录得下滑，且创2018年10月26日当周(20周)以来最大降幅，市场预估为减少253.2万桶。美国3月15日当周API原油库存-213万桶，分析师预期+30.9万桶，前值-258万桶。美国3月15日当周API库欣地区原油库存-31.7万桶，前值-110万桶。</w:t>
      </w:r>
      <w:r w:rsidRPr="005A63CE">
        <w:rPr>
          <w:rFonts w:ascii="华文仿宋" w:eastAsia="华文仿宋" w:hAnsi="华文仿宋"/>
          <w:sz w:val="28"/>
          <w:szCs w:val="28"/>
        </w:rPr>
        <w:lastRenderedPageBreak/>
        <w:t>美国3月15日当周API汽油库存-279万桶，前值-585万桶。美国3月15日当周API精炼油库存-161万桶，前值+19.5万桶。</w:t>
      </w:r>
    </w:p>
    <w:p w:rsidR="003A236C" w:rsidRDefault="003A236C" w:rsidP="003A236C">
      <w:pPr>
        <w:pStyle w:val="aa"/>
        <w:ind w:firstLineChars="200" w:firstLine="562"/>
        <w:rPr>
          <w:rFonts w:ascii="黑体" w:eastAsia="黑体"/>
          <w:b/>
          <w:sz w:val="28"/>
          <w:szCs w:val="28"/>
        </w:rPr>
      </w:pPr>
      <w:r>
        <w:rPr>
          <w:rFonts w:ascii="黑体" w:eastAsia="黑体" w:hint="eastAsia"/>
          <w:b/>
          <w:sz w:val="28"/>
          <w:szCs w:val="28"/>
        </w:rPr>
        <w:t>2.美国经济形势</w:t>
      </w:r>
      <w:bookmarkEnd w:id="29"/>
    </w:p>
    <w:p w:rsidR="003A236C" w:rsidRPr="00622D25" w:rsidRDefault="003A236C" w:rsidP="003A236C">
      <w:pPr>
        <w:pStyle w:val="aa"/>
        <w:ind w:firstLineChars="200" w:firstLine="560"/>
        <w:rPr>
          <w:rFonts w:ascii="华文仿宋" w:eastAsia="华文仿宋" w:hAnsi="华文仿宋"/>
          <w:sz w:val="28"/>
          <w:szCs w:val="28"/>
        </w:rPr>
      </w:pPr>
      <w:r>
        <w:rPr>
          <w:rFonts w:ascii="华文仿宋" w:eastAsia="华文仿宋" w:hAnsi="华文仿宋" w:hint="eastAsia"/>
          <w:sz w:val="28"/>
          <w:szCs w:val="28"/>
        </w:rPr>
        <w:t>本周</w:t>
      </w:r>
      <w:r w:rsidRPr="00622D25">
        <w:rPr>
          <w:rFonts w:ascii="华文仿宋" w:eastAsia="华文仿宋" w:hAnsi="华文仿宋" w:hint="eastAsia"/>
          <w:sz w:val="28"/>
          <w:szCs w:val="28"/>
        </w:rPr>
        <w:t>北京时间21日凌晨，美股周三收盘涨跌不一，道指收跌逾140点，银行股领跌。美联储维持利率不变，下调GDP预期，并暗示今年不再加息。美联储主席鲍威尔重申谨慎的货币政策立场。</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美东时间3月20日16：00（北京时间3月21日04：00），道指跌141.71点，或0.55%，报25745.67点；标普500指数跌8.34点，或0.29%，报2824.23点；纳指涨5.02点，或0.07%，报7728.97点。</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银行板块普遍下跌。美联储声明暗示今年不再加息、明年加息一次。声明公布后，美国国债收益率下降，使高盛（GS）、JP摩根大通（JPM）与美国运通（AXP）等金融股承压。</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英国ThinkMarkets公司首席市场分析师NaeemAslam表示，在美联储声明发布后，“可以肯定地说情况明朗化了，美联储发出了鸽派讯息，符合市场预期。”</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在结束为期两天的货币政策会议后，美联储在美东时间周三下午2点公布了货币政策会议声明。联邦公开市场委员会（FOMC）维持利率在2.25%-2.5%不变，称经济增长放缓，符合市场预期。</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美联储还表示将放缓缩表操作，预计在9月底停止。</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lastRenderedPageBreak/>
        <w:t>在此次会议上，美联储不仅决定不加息，还暗示今年不会再加息。</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与3个月前的政策预测相比，美联储政策决策机构FOMC明显转向鸽派。在去年12月，FOMC曾预计2018年加息4次、2019年再加息2次是合适的，但除非情况发生重大变化，否则FOMC目前似乎不太可能加息。</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FOMC在会后声明中表示，在采取任何进一步加息措施之前，它将保持“耐心”。</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美联储目前将联邦基金基准利率维持在2.25%至2.5%的区间。这一利率被用来决定大多数浮动利率消费债务利息，比如信用卡和房屋净值贷款等。</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美联储的GDP与通胀预期均有所下降，失业率预期有所上升。目前美联储官员预计今年美国经济仅增长2.1%，低于去年12月预测的2.3%，通胀率将达到1.8%，降幅为0.1个百分点，预计今年的失业率预计为3.7%，比去年12月上升0.2个百分点。</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就在不久前，美联储还致力于将政策从金融危机时期的宽松水平正常化，本周会议的进展代表着方向的显著转变。</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在长达7年的时间内，美联储一直将基准利率维持在接近零的水平，以刺激房地产市场和整体经济活动。美联储的低利率计划与历史上最长的股市牛市同步。</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不过，美联储主席鲍威尔与前主席珍妮特-耶伦（JanetYellen）一直在寻求让政策回到一个水平，以便美联储在经济再次明显下滑时仍有行动空间。</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lastRenderedPageBreak/>
        <w:t>伴随着历史性的低利率，美联储出台了三轮债券购买计划，为金融市场提供了流动性。该计划将美联储的资产负债表推高至4.5万亿美元，美联储试图通过允许债券收益每月滚动的计划来降低资产负债表规模。</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在金融市场要求美联储在经济不确定性高企之际停止紧缩政策，在这种背景下，美联储决定于今年9月底结束缩减资产负债表的计划。</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从FOMC的预期加息路径“点阵图”来看，下调利率预期已大幅降低。“点阵图”描绘的是17名FOMC委员对未来加息路径的预期。</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在上次预测中，只有两名委员预计不会加息。在今天的点阵图表明：预计不加息的委员数量达到11人。12月会议时，11名FOMC成员认为两次加息是合适的，而这次仅有2名委员这么认为。</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FOMC在解释其决定的声明中说，尽管2月份非农就业人数增长2万人，但就业市场依然强劲，同时经济活动有所“放缓”。</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美联储主席鲍威尔在随后举行的新闻发布会上表示：“美联储的首要目标是维持经济增长和就业，目前通货膨胀率仍然接近2%的目标。美国经济状态良好，希望保持这种状态。预计2019年经济将保持稳健增速。”</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他称：“我们将在评估任何政策变化时保持耐心。”</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鲍威尔表示，去年9月后的数据显示经济增速进一步放缓，欧洲经济增长出现实质性放缓，英国脱欧和贸易谈判对经济前景构成一定风险。</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lastRenderedPageBreak/>
        <w:t>在美联储公布利率声明前，瑞士信贷分析师表示：“今天的美联储会议受到万众瞩目。投资者密切关注美联储会不会重申鸽派立场——正是这种立场帮助全球股市从年初一直上涨到现在。”</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此前据接受彭博调查的经济学家预测，联邦公开市场委员会（FOMC）可能会预测今年加息一次（少于12月时预测的两次），2020年再加息一次。</w:t>
      </w:r>
    </w:p>
    <w:p w:rsidR="003A236C" w:rsidRPr="00622D25" w:rsidRDefault="003A236C" w:rsidP="003A236C">
      <w:pPr>
        <w:pStyle w:val="aa"/>
        <w:ind w:firstLineChars="200" w:firstLine="561"/>
        <w:rPr>
          <w:rFonts w:ascii="华文仿宋" w:eastAsia="华文仿宋" w:hAnsi="华文仿宋"/>
          <w:sz w:val="28"/>
          <w:szCs w:val="28"/>
        </w:rPr>
      </w:pPr>
      <w:r w:rsidRPr="00622D25">
        <w:rPr>
          <w:rFonts w:ascii="华文仿宋" w:eastAsia="华文仿宋" w:hAnsi="华文仿宋" w:hint="eastAsia"/>
          <w:b/>
          <w:bCs/>
          <w:sz w:val="28"/>
          <w:szCs w:val="28"/>
        </w:rPr>
        <w:t>其他市场表现</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纽约商品交易所4月交割的西德州中质原油（WTI）期货价格上涨80美分，涨幅1.4%，收于59.83美元/桶，创11月以来新高。</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hint="eastAsia"/>
          <w:sz w:val="28"/>
          <w:szCs w:val="28"/>
        </w:rPr>
        <w:t>5月WTI期货上涨94美分，涨幅1.6%，收于60.23美元/桶。</w:t>
      </w:r>
    </w:p>
    <w:p w:rsidR="003A236C" w:rsidRPr="00622D25" w:rsidRDefault="003A236C" w:rsidP="003A236C">
      <w:pPr>
        <w:pStyle w:val="aa"/>
        <w:ind w:firstLineChars="200" w:firstLine="560"/>
        <w:rPr>
          <w:rFonts w:ascii="华文仿宋" w:eastAsia="华文仿宋" w:hAnsi="华文仿宋"/>
          <w:sz w:val="28"/>
          <w:szCs w:val="28"/>
        </w:rPr>
      </w:pPr>
    </w:p>
    <w:p w:rsidR="003A236C" w:rsidRDefault="003A236C" w:rsidP="003A236C">
      <w:pPr>
        <w:pStyle w:val="aa"/>
        <w:rPr>
          <w:rFonts w:cs="Arial"/>
          <w:b/>
          <w:bCs/>
          <w:sz w:val="32"/>
          <w:szCs w:val="32"/>
        </w:rPr>
      </w:pPr>
      <w:bookmarkStart w:id="30" w:name="_Toc504051941"/>
      <w:r>
        <w:rPr>
          <w:rFonts w:cs="Arial" w:hint="eastAsia"/>
          <w:b/>
          <w:bCs/>
          <w:sz w:val="32"/>
          <w:szCs w:val="32"/>
        </w:rPr>
        <w:t>3.世界经济形势</w:t>
      </w:r>
      <w:bookmarkEnd w:id="30"/>
    </w:p>
    <w:p w:rsidR="003A236C" w:rsidRPr="00622D25" w:rsidRDefault="003A236C" w:rsidP="003A236C">
      <w:pPr>
        <w:pStyle w:val="aa"/>
        <w:ind w:firstLineChars="200" w:firstLine="420"/>
        <w:rPr>
          <w:rFonts w:ascii="华文仿宋" w:eastAsia="华文仿宋" w:hAnsi="华文仿宋"/>
          <w:sz w:val="28"/>
          <w:szCs w:val="28"/>
        </w:rPr>
      </w:pPr>
      <w:bookmarkStart w:id="31" w:name="_Toc504051942"/>
      <w:r>
        <w:rPr>
          <w:sz w:val="21"/>
          <w:szCs w:val="21"/>
        </w:rPr>
        <w:t xml:space="preserve">　</w:t>
      </w:r>
      <w:r w:rsidRPr="00622D25">
        <w:rPr>
          <w:rFonts w:ascii="华文仿宋" w:eastAsia="华文仿宋" w:hAnsi="华文仿宋"/>
          <w:sz w:val="28"/>
          <w:szCs w:val="28"/>
        </w:rPr>
        <w:t>从快递、汽车到金融，三家各自行业的巨头最近不约而同警告，全球经济和商业环境不佳。</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t>美东时间20日周三，德国汽车制造巨头宝马公布业绩预警，称今年公司的税前利润将远低于去年，较去年至少下降10%以上。今年汽车制造的利润率约为6%-8%，也明显低于8%到10%的长期目标水平。</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lastRenderedPageBreak/>
        <w:t>宝马的年度报告称，“欧洲地区政治和经济形势变化的不确定性还在增加”，并特别提到，英国脱欧和美国与中欧之间贸易关系紧张的“影响无法预测”。</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t>宝马指出，如果英国最终未能与欧盟达成协议就脱欧，可能将旗下品牌Mini的生产线从牛津转移到欧洲其他地方。其还提到，特朗普威胁要对美国进口的欧洲制造汽车征关税。</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t>宝马警告后，美国三大汽车商股价走低，截至收盘，福特和菲亚特克莱斯勒均跌超2%，通用汽车跌超3%。德国上市的宝马股价收跌接近5%。</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t>同在周三，瑞银CEO Sergio Ermotti在伦敦的会议上表示，瑞银要将今年成本削减3亿美元，预计今年一季度的调整后股本回报率将在5%左右，远低于去年的12.9%和该行的2019到2021年目标水平：15%。</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t>Ermotti称，虽然这种预期显然不符合瑞银的长期愿景，但他认为，如果考虑到今年一季度的投资银行环境在近些年同期之中最为糟糕、尤其是美国以外地区，这种结果是可以接受的。</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t>此前稍早，本周二盘后联邦快递(FedEx)发布了每股收益(EPS)和营业收入双双逊于市场预期的四季度财报，同时公布的今年EPS指引区间也低于市场预期。联邦快递还第二次下调了今年全年的盈利预期。</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lastRenderedPageBreak/>
        <w:t>联邦快递首次财务官、执行副总Alan B. Graf Jr.表示，正如本公司国际市场营业收入年同比增长下滑所体现的，国际宏观经济环境放缓、全球贸易增长趋势继续走软。</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t>另外，也是在本周三，国际评级机构惠誉下调了全球经济增长预期，称自去年12月公布预期以来，“全球增长前景已经显著恶化”，因此将今年的预期增速从3.1%降至2.8%，明年的从2.9%降至2.8%。</w:t>
      </w:r>
    </w:p>
    <w:p w:rsidR="003A236C" w:rsidRPr="00622D25" w:rsidRDefault="003A236C" w:rsidP="003A236C">
      <w:pPr>
        <w:pStyle w:val="aa"/>
        <w:ind w:firstLineChars="200" w:firstLine="560"/>
        <w:rPr>
          <w:rFonts w:ascii="华文仿宋" w:eastAsia="华文仿宋" w:hAnsi="华文仿宋"/>
          <w:sz w:val="28"/>
          <w:szCs w:val="28"/>
        </w:rPr>
      </w:pPr>
      <w:r w:rsidRPr="00622D25">
        <w:rPr>
          <w:rFonts w:ascii="华文仿宋" w:eastAsia="华文仿宋" w:hAnsi="华文仿宋"/>
          <w:sz w:val="28"/>
          <w:szCs w:val="28"/>
        </w:rPr>
        <w:t>惠誉下调预期基于欧元区明显疲软、中国等新兴市场的放缓迹象、主要源于东西方贸易关系的全球贸易恶化，以及新兴市场需求更疲软。不过，惠誉预计不会出现全球性经济衰退。其指出，最近欧洲的疲软可能是短期因素所致，中国已经采取有助提振增长的措施。</w:t>
      </w:r>
    </w:p>
    <w:p w:rsidR="003A236C" w:rsidRPr="004502E5" w:rsidRDefault="003A236C" w:rsidP="003A236C">
      <w:pPr>
        <w:pStyle w:val="aa"/>
        <w:rPr>
          <w:rFonts w:ascii="华文仿宋" w:eastAsia="华文仿宋" w:hAnsi="华文仿宋" w:cs="华文仿宋"/>
          <w:sz w:val="28"/>
          <w:szCs w:val="28"/>
        </w:rPr>
      </w:pPr>
    </w:p>
    <w:p w:rsidR="003A236C" w:rsidRPr="003A236C" w:rsidRDefault="003A236C" w:rsidP="003A236C">
      <w:pPr>
        <w:outlineLvl w:val="0"/>
        <w:rPr>
          <w:rFonts w:ascii="黑体" w:eastAsia="黑体" w:hAnsi="宋体" w:cs="Arial"/>
          <w:b/>
          <w:bCs/>
          <w:kern w:val="0"/>
          <w:sz w:val="30"/>
          <w:szCs w:val="30"/>
        </w:rPr>
      </w:pPr>
      <w:bookmarkStart w:id="32" w:name="_Toc4160084"/>
      <w:r w:rsidRPr="003A236C">
        <w:rPr>
          <w:rFonts w:ascii="黑体" w:eastAsia="黑体" w:hAnsi="宋体" w:cs="Arial" w:hint="eastAsia"/>
          <w:b/>
          <w:bCs/>
          <w:kern w:val="0"/>
          <w:sz w:val="30"/>
          <w:szCs w:val="30"/>
        </w:rPr>
        <w:t>(三)、2018年11月份全国原油进出口统计数据</w:t>
      </w:r>
      <w:bookmarkEnd w:id="31"/>
      <w:r w:rsidRPr="003A236C">
        <w:rPr>
          <w:rFonts w:ascii="黑体" w:eastAsia="黑体" w:hAnsi="宋体" w:cs="Arial" w:hint="eastAsia"/>
          <w:b/>
          <w:bCs/>
          <w:kern w:val="0"/>
          <w:sz w:val="30"/>
          <w:szCs w:val="30"/>
        </w:rPr>
        <w:t>（产销国）</w:t>
      </w:r>
      <w:bookmarkEnd w:id="32"/>
    </w:p>
    <w:p w:rsidR="003A236C" w:rsidRDefault="003A236C" w:rsidP="003A236C">
      <w:pPr>
        <w:jc w:val="right"/>
        <w:rPr>
          <w:rFonts w:ascii="宋体" w:hAnsi="宋体"/>
        </w:rPr>
      </w:pPr>
    </w:p>
    <w:p w:rsidR="003A236C" w:rsidRDefault="003A236C" w:rsidP="003A236C">
      <w:pPr>
        <w:jc w:val="right"/>
        <w:rPr>
          <w:rFonts w:ascii="宋体" w:hAnsi="宋体"/>
        </w:rPr>
      </w:pPr>
    </w:p>
    <w:tbl>
      <w:tblPr>
        <w:tblW w:w="0" w:type="auto"/>
        <w:shd w:val="clear" w:color="auto" w:fill="FFFFFF"/>
        <w:tblLayout w:type="fixed"/>
        <w:tblCellMar>
          <w:left w:w="0" w:type="dxa"/>
          <w:right w:w="0" w:type="dxa"/>
        </w:tblCellMar>
        <w:tblLook w:val="0000"/>
      </w:tblPr>
      <w:tblGrid>
        <w:gridCol w:w="1167"/>
        <w:gridCol w:w="536"/>
        <w:gridCol w:w="343"/>
        <w:gridCol w:w="454"/>
        <w:gridCol w:w="1388"/>
        <w:gridCol w:w="1783"/>
        <w:gridCol w:w="1125"/>
        <w:gridCol w:w="1520"/>
      </w:tblGrid>
      <w:tr w:rsidR="003A236C" w:rsidTr="003A236C">
        <w:trPr>
          <w:trHeight w:val="270"/>
        </w:trPr>
        <w:tc>
          <w:tcPr>
            <w:tcW w:w="1167" w:type="dxa"/>
            <w:tcBorders>
              <w:top w:val="single" w:sz="4" w:space="0" w:color="333333"/>
              <w:left w:val="single" w:sz="4" w:space="0" w:color="333333"/>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产品</w:t>
            </w:r>
          </w:p>
        </w:tc>
        <w:tc>
          <w:tcPr>
            <w:tcW w:w="536"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年度</w:t>
            </w:r>
          </w:p>
        </w:tc>
        <w:tc>
          <w:tcPr>
            <w:tcW w:w="343"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月份</w:t>
            </w:r>
          </w:p>
        </w:tc>
        <w:tc>
          <w:tcPr>
            <w:tcW w:w="454"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333333"/>
                <w:kern w:val="0"/>
                <w:sz w:val="28"/>
                <w:szCs w:val="28"/>
              </w:rPr>
              <w:t>产销国</w:t>
            </w:r>
          </w:p>
        </w:tc>
        <w:tc>
          <w:tcPr>
            <w:tcW w:w="1388"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进口数量/吨</w:t>
            </w:r>
          </w:p>
        </w:tc>
        <w:tc>
          <w:tcPr>
            <w:tcW w:w="1783"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进口金额/美元</w:t>
            </w:r>
          </w:p>
        </w:tc>
        <w:tc>
          <w:tcPr>
            <w:tcW w:w="1125"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出口数量/吨</w:t>
            </w:r>
          </w:p>
        </w:tc>
        <w:tc>
          <w:tcPr>
            <w:tcW w:w="1520" w:type="dxa"/>
            <w:tcBorders>
              <w:top w:val="single" w:sz="4" w:space="0" w:color="333333"/>
              <w:left w:val="nil"/>
              <w:bottom w:val="single" w:sz="4" w:space="0" w:color="333333"/>
              <w:right w:val="single" w:sz="4" w:space="0" w:color="333333"/>
            </w:tcBorders>
            <w:shd w:val="clear" w:color="auto" w:fill="00CC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出口金额/美元</w:t>
            </w:r>
          </w:p>
        </w:tc>
      </w:tr>
      <w:tr w:rsidR="003A236C" w:rsidTr="003A236C">
        <w:trPr>
          <w:trHeight w:val="270"/>
        </w:trPr>
        <w:tc>
          <w:tcPr>
            <w:tcW w:w="1167" w:type="dxa"/>
            <w:vMerge w:val="restart"/>
            <w:tcBorders>
              <w:top w:val="single" w:sz="4" w:space="0" w:color="333333"/>
              <w:left w:val="single" w:sz="4" w:space="0" w:color="333333"/>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石油原油(包括从沥青矿物提取的原</w:t>
            </w:r>
            <w:r>
              <w:rPr>
                <w:rFonts w:ascii="华文仿宋" w:eastAsia="华文仿宋" w:hAnsi="华文仿宋" w:cs="Helvetica" w:hint="eastAsia"/>
                <w:b/>
                <w:bCs/>
                <w:color w:val="191919"/>
                <w:kern w:val="0"/>
                <w:sz w:val="28"/>
                <w:szCs w:val="28"/>
              </w:rPr>
              <w:lastRenderedPageBreak/>
              <w:t>油)</w:t>
            </w: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印度尼西</w:t>
            </w:r>
            <w:r>
              <w:rPr>
                <w:rFonts w:ascii="华文仿宋" w:eastAsia="华文仿宋" w:hAnsi="华文仿宋" w:cs="Helvetica" w:hint="eastAsia"/>
                <w:color w:val="333333"/>
                <w:kern w:val="0"/>
                <w:sz w:val="28"/>
                <w:szCs w:val="28"/>
              </w:rPr>
              <w:lastRenderedPageBreak/>
              <w:t>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40653.34</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25346064.00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沙特阿拉伯</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6559086.72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3799894948.00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喀麦隆</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274520.10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159589495.00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苏丹</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142372.63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79205819.00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伊朗</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1597505.00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912909959.00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泰国</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25362.03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15565737.00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刚果(布)</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911835.95</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488114205.00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南苏丹共</w:t>
            </w:r>
            <w:r>
              <w:rPr>
                <w:rFonts w:ascii="华文仿宋" w:eastAsia="华文仿宋" w:hAnsi="华文仿宋" w:cs="Helvetica" w:hint="eastAsia"/>
                <w:color w:val="333333"/>
                <w:kern w:val="0"/>
                <w:sz w:val="28"/>
                <w:szCs w:val="28"/>
              </w:rPr>
              <w:lastRenderedPageBreak/>
              <w:t>和国</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248895.93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113509343.00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科威特</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1873420.00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1066267344.00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也门</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350540.93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203670399.00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赤道几内亚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225072.70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129964020.00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挪威</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133437.19</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85050562.00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阿曼</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2776447.67</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1570404500.00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阿尔及利亚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268525.13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164163889.00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利</w:t>
            </w:r>
            <w:r>
              <w:rPr>
                <w:rFonts w:ascii="华文仿宋" w:eastAsia="华文仿宋" w:hAnsi="华文仿宋" w:cs="Helvetica" w:hint="eastAsia"/>
                <w:color w:val="333333"/>
                <w:kern w:val="0"/>
                <w:sz w:val="28"/>
                <w:szCs w:val="28"/>
              </w:rPr>
              <w:lastRenderedPageBreak/>
              <w:t>比亚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885974.67</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523180489.00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马来西亚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833188.20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491653771.00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越南</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44414.44</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28043616.00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加蓬</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425818.46</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246914969.00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阿塞拜疆</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369626.55</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240045038.00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蒙古</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103478.90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42882263.00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哈萨克斯坦</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382055.19</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219528579.00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加</w:t>
            </w:r>
            <w:r>
              <w:rPr>
                <w:rFonts w:ascii="华文仿宋" w:eastAsia="华文仿宋" w:hAnsi="华文仿宋" w:cs="Helvetica" w:hint="eastAsia"/>
                <w:color w:val="333333"/>
                <w:kern w:val="0"/>
                <w:sz w:val="28"/>
                <w:szCs w:val="28"/>
              </w:rPr>
              <w:lastRenderedPageBreak/>
              <w:t>纳</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395143.42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247439810.00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俄罗斯联邦</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6548835.91</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3790140429.00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伊拉克</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4489405.62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2460243791.00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阿联酋</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1683047.16</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989595428.00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埃及</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314221.95</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158188628.00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英国</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1010539.66</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602684272.00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卡塔尔</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105875.29</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73199655.00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安哥拉</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3864267.16</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2157921285.00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尼日利亚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138935.00</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80985584.00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厄瓜多尔</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198688.82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109511633.00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委内瑞拉</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1139778.98</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529498771.00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墨西哥</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69175.22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35411984.00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哥伦比亚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889238.87</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455402631.00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美国</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137908.22</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59015354.00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巴</w:t>
            </w:r>
            <w:r>
              <w:rPr>
                <w:rFonts w:ascii="华文仿宋" w:eastAsia="华文仿宋" w:hAnsi="华文仿宋" w:cs="Helvetica" w:hint="eastAsia"/>
                <w:color w:val="333333"/>
                <w:kern w:val="0"/>
                <w:sz w:val="28"/>
                <w:szCs w:val="28"/>
              </w:rPr>
              <w:lastRenderedPageBreak/>
              <w:t>西</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2983655.73</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1586112356.00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澳大利亚</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190534.01</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112246681.00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加拿大</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240940.87</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103341004.00</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日本</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131987.46</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75223977.00</w:t>
            </w:r>
          </w:p>
        </w:tc>
      </w:tr>
      <w:tr w:rsidR="003A236C" w:rsidTr="003A236C">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新加坡</w:t>
            </w:r>
          </w:p>
        </w:tc>
        <w:tc>
          <w:tcPr>
            <w:tcW w:w="1388"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130508.98</w:t>
            </w:r>
          </w:p>
        </w:tc>
        <w:tc>
          <w:tcPr>
            <w:tcW w:w="1520" w:type="dxa"/>
            <w:tcBorders>
              <w:top w:val="single" w:sz="4" w:space="0" w:color="333333"/>
              <w:left w:val="nil"/>
              <w:bottom w:val="single" w:sz="4" w:space="0" w:color="333333"/>
              <w:right w:val="single" w:sz="4" w:space="0" w:color="333333"/>
            </w:tcBorders>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80170232.00</w:t>
            </w:r>
          </w:p>
        </w:tc>
      </w:tr>
      <w:tr w:rsidR="003A236C" w:rsidTr="003A236C">
        <w:trPr>
          <w:trHeight w:val="270"/>
        </w:trPr>
        <w:tc>
          <w:tcPr>
            <w:tcW w:w="2500" w:type="dxa"/>
            <w:gridSpan w:val="4"/>
            <w:tcBorders>
              <w:top w:val="single" w:sz="4" w:space="0" w:color="333333"/>
              <w:left w:val="single" w:sz="4" w:space="0" w:color="333333"/>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2018年11月合计</w:t>
            </w:r>
          </w:p>
        </w:tc>
        <w:tc>
          <w:tcPr>
            <w:tcW w:w="1388" w:type="dxa"/>
            <w:tcBorders>
              <w:top w:val="single" w:sz="4" w:space="0" w:color="333333"/>
              <w:left w:val="nil"/>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42872423.61</w:t>
            </w:r>
          </w:p>
        </w:tc>
        <w:tc>
          <w:tcPr>
            <w:tcW w:w="1783" w:type="dxa"/>
            <w:tcBorders>
              <w:top w:val="single" w:sz="4" w:space="0" w:color="333333"/>
              <w:left w:val="nil"/>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24156844305.00</w:t>
            </w:r>
          </w:p>
        </w:tc>
        <w:tc>
          <w:tcPr>
            <w:tcW w:w="1125" w:type="dxa"/>
            <w:tcBorders>
              <w:top w:val="single" w:sz="4" w:space="0" w:color="333333"/>
              <w:left w:val="nil"/>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262496.44</w:t>
            </w:r>
          </w:p>
        </w:tc>
        <w:tc>
          <w:tcPr>
            <w:tcW w:w="1520" w:type="dxa"/>
            <w:tcBorders>
              <w:top w:val="single" w:sz="4" w:space="0" w:color="333333"/>
              <w:left w:val="nil"/>
              <w:bottom w:val="single" w:sz="4" w:space="0" w:color="333333"/>
              <w:right w:val="single" w:sz="4" w:space="0" w:color="333333"/>
            </w:tcBorders>
            <w:shd w:val="clear" w:color="auto" w:fill="FFFFFF"/>
            <w:vAlign w:val="center"/>
          </w:tcPr>
          <w:p w:rsidR="003A236C" w:rsidRDefault="003A236C" w:rsidP="003A236C">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155394209.00</w:t>
            </w:r>
          </w:p>
        </w:tc>
      </w:tr>
    </w:tbl>
    <w:p w:rsidR="003A236C" w:rsidRDefault="003A236C" w:rsidP="003A236C">
      <w:pPr>
        <w:widowControl/>
        <w:jc w:val="center"/>
        <w:rPr>
          <w:rFonts w:ascii="宋体" w:hAnsi="宋体" w:cs="宋体"/>
          <w:color w:val="000000"/>
          <w:kern w:val="0"/>
          <w:szCs w:val="21"/>
        </w:rPr>
      </w:pPr>
    </w:p>
    <w:p w:rsidR="003A236C" w:rsidRDefault="003A236C" w:rsidP="003A236C">
      <w:pPr>
        <w:widowControl/>
        <w:jc w:val="center"/>
        <w:rPr>
          <w:rFonts w:ascii="宋体" w:hAnsi="宋体" w:cs="宋体"/>
          <w:color w:val="000000"/>
          <w:kern w:val="0"/>
          <w:szCs w:val="21"/>
        </w:rPr>
      </w:pPr>
    </w:p>
    <w:p w:rsidR="003A236C" w:rsidRDefault="003A236C" w:rsidP="003A236C">
      <w:pPr>
        <w:widowControl/>
        <w:jc w:val="center"/>
        <w:rPr>
          <w:rFonts w:ascii="宋体" w:hAnsi="宋体" w:cs="宋体"/>
          <w:color w:val="000000"/>
          <w:kern w:val="0"/>
          <w:szCs w:val="21"/>
        </w:rPr>
      </w:pPr>
    </w:p>
    <w:p w:rsidR="003A236C" w:rsidRPr="003A236C" w:rsidRDefault="003A236C" w:rsidP="003A236C">
      <w:pPr>
        <w:outlineLvl w:val="0"/>
        <w:rPr>
          <w:rFonts w:ascii="黑体" w:eastAsia="黑体" w:hAnsi="宋体" w:cs="Arial"/>
          <w:b/>
          <w:bCs/>
          <w:kern w:val="0"/>
          <w:sz w:val="30"/>
          <w:szCs w:val="30"/>
        </w:rPr>
      </w:pPr>
      <w:bookmarkStart w:id="33" w:name="_Toc4160085"/>
      <w:r w:rsidRPr="003A236C">
        <w:rPr>
          <w:rFonts w:ascii="黑体" w:eastAsia="黑体" w:hAnsi="宋体" w:cs="Arial" w:hint="eastAsia"/>
          <w:b/>
          <w:bCs/>
          <w:kern w:val="0"/>
          <w:sz w:val="30"/>
          <w:szCs w:val="30"/>
        </w:rPr>
        <w:t>(四)、</w:t>
      </w:r>
      <w:bookmarkStart w:id="34" w:name="_Toc504051943"/>
      <w:r w:rsidRPr="003A236C">
        <w:rPr>
          <w:rFonts w:ascii="黑体" w:eastAsia="黑体" w:hAnsi="宋体" w:cs="Arial" w:hint="eastAsia"/>
          <w:b/>
          <w:bCs/>
          <w:kern w:val="0"/>
          <w:sz w:val="30"/>
          <w:szCs w:val="30"/>
        </w:rPr>
        <w:t>后市预测</w:t>
      </w:r>
      <w:bookmarkEnd w:id="33"/>
      <w:bookmarkEnd w:id="34"/>
    </w:p>
    <w:p w:rsidR="003A236C" w:rsidRPr="00D415B8" w:rsidRDefault="003A236C" w:rsidP="003A236C">
      <w:pPr>
        <w:jc w:val="left"/>
        <w:rPr>
          <w:rFonts w:ascii="宋体" w:hAnsi="宋体" w:cs="宋体"/>
          <w:color w:val="000000"/>
          <w:kern w:val="0"/>
          <w:sz w:val="20"/>
          <w:szCs w:val="20"/>
        </w:rPr>
      </w:pPr>
      <w:r w:rsidRPr="003A236C">
        <w:rPr>
          <w:rFonts w:ascii="黑体" w:eastAsia="黑体" w:hAnsi="宋体" w:cs="Arial"/>
          <w:b/>
          <w:bCs/>
          <w:kern w:val="0"/>
          <w:sz w:val="30"/>
          <w:szCs w:val="30"/>
        </w:rPr>
        <w:t xml:space="preserve">　　</w:t>
      </w:r>
      <w:r w:rsidRPr="00D415B8">
        <w:rPr>
          <w:rFonts w:ascii="华文仿宋" w:eastAsia="华文仿宋" w:hAnsi="华文仿宋"/>
          <w:sz w:val="28"/>
          <w:szCs w:val="28"/>
        </w:rPr>
        <w:t>本周美国WTI原油原油价格在</w:t>
      </w:r>
      <w:r w:rsidRPr="00D415B8">
        <w:rPr>
          <w:rFonts w:ascii="华文仿宋" w:eastAsia="华文仿宋" w:hAnsi="华文仿宋" w:hint="eastAsia"/>
          <w:sz w:val="28"/>
          <w:szCs w:val="28"/>
        </w:rPr>
        <w:t>59.03</w:t>
      </w:r>
      <w:r w:rsidRPr="00D415B8">
        <w:rPr>
          <w:rFonts w:ascii="华文仿宋" w:eastAsia="华文仿宋" w:hAnsi="华文仿宋"/>
          <w:sz w:val="28"/>
          <w:szCs w:val="28"/>
        </w:rPr>
        <w:t>- 59.83美元/桶。布伦特原油价格在68.5-</w:t>
      </w:r>
      <w:r w:rsidRPr="00D415B8">
        <w:t xml:space="preserve"> </w:t>
      </w:r>
      <w:r w:rsidRPr="00D415B8">
        <w:rPr>
          <w:rFonts w:ascii="华文仿宋" w:eastAsia="华文仿宋" w:hAnsi="华文仿宋"/>
          <w:sz w:val="28"/>
          <w:szCs w:val="28"/>
        </w:rPr>
        <w:t>67.61美元/桶震荡。周内国际油价小幅上涨。美国原油库存报告整体利多，同时美联储政策决议令美元重挫，这令油价涨势得以延续。美国WTI原油期货价格盘中最高触及60.28美元/桶，布伦特原油期货价格盘中最高触及68.57美元/桶。基本面利好因素：备受关注的美联储利率决议大戏终于揭开帷幕。北京时间周四</w:t>
      </w:r>
      <w:r w:rsidRPr="00D415B8">
        <w:rPr>
          <w:rFonts w:ascii="华文仿宋" w:eastAsia="华文仿宋" w:hAnsi="华文仿宋"/>
          <w:sz w:val="28"/>
          <w:szCs w:val="28"/>
        </w:rPr>
        <w:lastRenderedPageBreak/>
        <w:t>(3月21日)凌晨2时，美联储宣布维持利率不变，并暗示今年不会再加息。美联储利率决议出炉之后，美元指数短线加速下跌，96关口失守。美国能源信息署(EIA)周三(3月20日)公布报告显示，截至3月15日当周，美国原油库存减少958.9万桶至4.395亿桶，创2018年7月13日当周(36周)以来最大单周降幅，市场预估为增加30.9万桶。更多数据显示，上周俄克拉荷马州库欣原油库存减少46.8万桶，连续两周录得下滑。美国精炼油库存减少412.7万桶，创2018年12月21日当周(13周)以来最大单周降幅，市场预估为减少109.4万桶。美国汽油库存减少458.7万桶，连续5周录得下滑，市场预估为减少241.4万桶。沙特能源部长法利赫周末接受采访时表示，原油市场重归均衡进程还远未结束，认为原油市场并不应该存在供应过剩的情况。同时其指出今年上半年油市无法实现平衡，但预计在5月前原油库存将减少。其还称，不会令原油在2019年下半年处于无指引状态。这令市场更加相信，减产行动将会延长至今年年底，从而为油价提供有效支撑。此外，法利赫还暗示到，OPEC+的减产规模有可能会高于120万桶/日，其指出目前只有一个成员国每个月都超额完成减产任务，即沙特本身，但他认为沙特不会一直独自承担这样的重任。这似乎意味着俄罗斯等国也必须附上更大的责任，而俄罗斯能源部长对此也做出了积极的反应，但表示由于冬季季节性因素暂时很难过早地调低产量。美国油服公司贝克休斯(Baker Hughes)周五(3月15日)公布数据显示，截至3月15日当周，美国石油活跃钻井数减少1座至833座，连续第四周下降，为2016年5月来首次，当时曾连续八周下降。目前美国石油活跃钻井数已经触及2018年4月来最低，去年同期为800座。更多数据显示，截至3月15日当周美国石油和天然气活跃钻井总数减少1座至1026座。基本面利空因素：美国能源信息署(EIA)周三(3月20日)公布报告显示，截至3月15日当周，上周</w:t>
      </w:r>
      <w:r w:rsidRPr="00D415B8">
        <w:rPr>
          <w:rFonts w:ascii="华文仿宋" w:eastAsia="华文仿宋" w:hAnsi="华文仿宋"/>
          <w:sz w:val="28"/>
          <w:szCs w:val="28"/>
        </w:rPr>
        <w:lastRenderedPageBreak/>
        <w:t>美国国内原油产量增加10万桶至1210万桶/日，重回纪录高位。中美贸易谈判的不确定因素依然令油价反弹空间遭受抑制。外媒报道称，中美两国领导人会谈不太会在本月举行，最早也要等到4月初，这次会谈被外界寄希望于达成最终的贸易协定。此外，全球经济放缓迹象正在加重，恐拖累原油需求面表现。中国国家统计局公布数据显示，2019年1-2月份，规模以上工业增加值同比实际增长5.3 %，低于预期的同时创造了2002年初以来的最慢增速。据测算，剔除春节因素影响增长6.1%。从环比看，2月份，规模以上工业增加值比上月增长0.43%。近期欧洲央行政策会议后，行长德拉基指出欧洲经济正在经历“一段时间的持续疲软和普遍的不确定性”。美国2月非农就业人数增长几乎停滞，仅小幅增加2万人，分析师认为政府长时间关门对此影响颇大。与此同时，欧洲、美国以及亚洲经济均出现放缓迹象，这令市场对原油需求面表现充满担忧。预测下周WTI油价将触及5</w:t>
      </w:r>
      <w:r>
        <w:rPr>
          <w:rFonts w:ascii="华文仿宋" w:eastAsia="华文仿宋" w:hAnsi="华文仿宋" w:hint="eastAsia"/>
          <w:sz w:val="28"/>
          <w:szCs w:val="28"/>
        </w:rPr>
        <w:t>7</w:t>
      </w:r>
      <w:r w:rsidRPr="00D415B8">
        <w:rPr>
          <w:rFonts w:ascii="华文仿宋" w:eastAsia="华文仿宋" w:hAnsi="华文仿宋"/>
          <w:sz w:val="28"/>
          <w:szCs w:val="28"/>
        </w:rPr>
        <w:t>-60美元/桶，布油在之后几个月触及6</w:t>
      </w:r>
      <w:r>
        <w:rPr>
          <w:rFonts w:ascii="华文仿宋" w:eastAsia="华文仿宋" w:hAnsi="华文仿宋" w:hint="eastAsia"/>
          <w:sz w:val="28"/>
          <w:szCs w:val="28"/>
        </w:rPr>
        <w:t>5</w:t>
      </w:r>
      <w:r w:rsidRPr="00D415B8">
        <w:rPr>
          <w:rFonts w:ascii="华文仿宋" w:eastAsia="华文仿宋" w:hAnsi="华文仿宋"/>
          <w:sz w:val="28"/>
          <w:szCs w:val="28"/>
        </w:rPr>
        <w:t>-</w:t>
      </w:r>
      <w:r>
        <w:rPr>
          <w:rFonts w:ascii="华文仿宋" w:eastAsia="华文仿宋" w:hAnsi="华文仿宋" w:hint="eastAsia"/>
          <w:sz w:val="28"/>
          <w:szCs w:val="28"/>
        </w:rPr>
        <w:t>70</w:t>
      </w:r>
      <w:r w:rsidRPr="00D415B8">
        <w:rPr>
          <w:rFonts w:ascii="华文仿宋" w:eastAsia="华文仿宋" w:hAnsi="华文仿宋"/>
          <w:sz w:val="28"/>
          <w:szCs w:val="28"/>
        </w:rPr>
        <w:t>美元/桶。</w:t>
      </w:r>
    </w:p>
    <w:p w:rsidR="003A236C" w:rsidRPr="00D415B8" w:rsidRDefault="003A236C" w:rsidP="003A236C">
      <w:pPr>
        <w:outlineLvl w:val="0"/>
        <w:rPr>
          <w:rFonts w:ascii="华文仿宋" w:eastAsia="华文仿宋" w:hAnsi="华文仿宋" w:cs="宋体"/>
          <w:kern w:val="0"/>
          <w:sz w:val="28"/>
          <w:szCs w:val="28"/>
        </w:rPr>
      </w:pPr>
    </w:p>
    <w:p w:rsidR="00586698" w:rsidRPr="003A236C" w:rsidRDefault="00586698" w:rsidP="009F6EED">
      <w:pPr>
        <w:pStyle w:val="aa"/>
        <w:rPr>
          <w:rFonts w:ascii="华文仿宋" w:eastAsia="华文仿宋" w:hAnsi="华文仿宋"/>
          <w:sz w:val="28"/>
          <w:szCs w:val="28"/>
        </w:rPr>
      </w:pPr>
    </w:p>
    <w:p w:rsidR="0028779B" w:rsidRPr="00E141C3" w:rsidRDefault="0028779B" w:rsidP="00586698">
      <w:pPr>
        <w:widowControl/>
        <w:wordWrap w:val="0"/>
        <w:spacing w:after="90" w:line="288" w:lineRule="auto"/>
        <w:jc w:val="left"/>
        <w:rPr>
          <w:rFonts w:ascii="华文仿宋" w:eastAsia="华文仿宋" w:hAnsi="华文仿宋" w:cs="宋体"/>
          <w:kern w:val="0"/>
          <w:sz w:val="28"/>
          <w:szCs w:val="28"/>
        </w:rPr>
      </w:pPr>
    </w:p>
    <w:p w:rsidR="00FD6021" w:rsidRDefault="0014013A">
      <w:pPr>
        <w:spacing w:line="360" w:lineRule="auto"/>
        <w:outlineLvl w:val="0"/>
        <w:rPr>
          <w:rFonts w:ascii="黑体" w:eastAsia="黑体" w:hAnsi="宋体"/>
          <w:b/>
          <w:sz w:val="28"/>
          <w:szCs w:val="28"/>
        </w:rPr>
      </w:pPr>
      <w:bookmarkStart w:id="35" w:name="_Toc1736583"/>
      <w:bookmarkStart w:id="36" w:name="_Toc2934025"/>
      <w:bookmarkStart w:id="37" w:name="_Toc2934046"/>
      <w:bookmarkStart w:id="38" w:name="_Toc4160086"/>
      <w:r>
        <w:rPr>
          <w:rFonts w:ascii="黑体" w:eastAsia="黑体" w:hAnsi="宋体" w:hint="eastAsia"/>
          <w:b/>
          <w:sz w:val="28"/>
          <w:szCs w:val="28"/>
        </w:rPr>
        <w:t>二、 石脑油</w:t>
      </w:r>
      <w:bookmarkEnd w:id="15"/>
      <w:bookmarkEnd w:id="16"/>
      <w:bookmarkEnd w:id="35"/>
      <w:bookmarkEnd w:id="36"/>
      <w:bookmarkEnd w:id="37"/>
      <w:bookmarkEnd w:id="38"/>
    </w:p>
    <w:p w:rsidR="00FD6021" w:rsidRDefault="0014013A">
      <w:pPr>
        <w:pStyle w:val="2"/>
        <w:spacing w:line="240" w:lineRule="auto"/>
        <w:rPr>
          <w:rFonts w:ascii="宋体" w:hAnsi="宋体" w:cs="Arial"/>
          <w:b w:val="0"/>
          <w:bCs w:val="0"/>
          <w:kern w:val="0"/>
          <w:szCs w:val="28"/>
        </w:rPr>
      </w:pPr>
      <w:bookmarkStart w:id="39" w:name="_Toc505350008"/>
      <w:bookmarkStart w:id="40" w:name="_Toc460250404"/>
      <w:bookmarkStart w:id="41" w:name="_Toc536797013"/>
      <w:bookmarkStart w:id="42" w:name="_Toc1736584"/>
      <w:bookmarkStart w:id="43" w:name="_Toc2934026"/>
      <w:bookmarkStart w:id="44" w:name="_Toc2934047"/>
      <w:bookmarkStart w:id="45" w:name="_Toc4160087"/>
      <w:r>
        <w:rPr>
          <w:rFonts w:hint="eastAsia"/>
        </w:rPr>
        <w:t>2. 1</w:t>
      </w:r>
      <w:r>
        <w:rPr>
          <w:rFonts w:hint="eastAsia"/>
          <w:kern w:val="0"/>
        </w:rPr>
        <w:t>国际石脑油市场价格</w:t>
      </w:r>
      <w:bookmarkEnd w:id="17"/>
      <w:bookmarkEnd w:id="18"/>
      <w:bookmarkEnd w:id="39"/>
      <w:bookmarkEnd w:id="40"/>
      <w:bookmarkEnd w:id="41"/>
      <w:bookmarkEnd w:id="42"/>
      <w:bookmarkEnd w:id="43"/>
      <w:bookmarkEnd w:id="44"/>
      <w:bookmarkEnd w:id="45"/>
    </w:p>
    <w:p w:rsidR="00FD6021" w:rsidRDefault="0014013A">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FD6021" w:rsidRDefault="00FD6021">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783"/>
        <w:gridCol w:w="2099"/>
        <w:gridCol w:w="1579"/>
        <w:gridCol w:w="2131"/>
        <w:gridCol w:w="2364"/>
      </w:tblGrid>
      <w:tr w:rsidR="001D4DC7">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F27D6D">
            <w:pPr>
              <w:pStyle w:val="aa"/>
              <w:spacing w:before="0" w:beforeAutospacing="0" w:after="0" w:afterAutospacing="0" w:line="390" w:lineRule="atLeast"/>
              <w:jc w:val="center"/>
              <w:rPr>
                <w:rFonts w:ascii="华文仿宋" w:eastAsia="华文仿宋" w:hAnsi="华文仿宋"/>
                <w:color w:val="000000"/>
                <w:sz w:val="28"/>
                <w:szCs w:val="28"/>
              </w:rPr>
            </w:pPr>
            <w:bookmarkStart w:id="46" w:name="_Toc281568202"/>
            <w:bookmarkStart w:id="47" w:name="_Toc239847715"/>
            <w:bookmarkStart w:id="48" w:name="_Toc296600812"/>
            <w:bookmarkStart w:id="49" w:name="_Toc460250405"/>
            <w:bookmarkStart w:id="50" w:name="_Toc505350009"/>
            <w:r w:rsidRPr="00D842E9">
              <w:rPr>
                <w:rFonts w:ascii="华文仿宋" w:eastAsia="华文仿宋" w:hAnsi="华文仿宋" w:hint="eastAsia"/>
                <w:color w:val="000000"/>
                <w:sz w:val="28"/>
                <w:szCs w:val="28"/>
              </w:rPr>
              <w:t>3月</w:t>
            </w:r>
            <w:r w:rsidR="00F27D6D">
              <w:rPr>
                <w:rFonts w:ascii="华文仿宋" w:eastAsia="华文仿宋" w:hAnsi="华文仿宋" w:hint="eastAsia"/>
                <w:color w:val="000000"/>
                <w:sz w:val="28"/>
                <w:szCs w:val="28"/>
              </w:rPr>
              <w:t>22</w:t>
            </w:r>
            <w:r w:rsidRPr="00D842E9">
              <w:rPr>
                <w:rFonts w:ascii="华文仿宋" w:eastAsia="华文仿宋" w:hAnsi="华文仿宋" w:hint="eastAsia"/>
                <w:color w:val="000000"/>
                <w:sz w:val="28"/>
                <w:szCs w:val="28"/>
              </w:rPr>
              <w:t>日</w:t>
            </w:r>
          </w:p>
        </w:tc>
        <w:tc>
          <w:tcPr>
            <w:tcW w:w="209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低端价（美元/吨）</w:t>
            </w:r>
          </w:p>
        </w:tc>
        <w:tc>
          <w:tcPr>
            <w:tcW w:w="157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高端价（美元/吨）</w:t>
            </w:r>
          </w:p>
        </w:tc>
        <w:tc>
          <w:tcPr>
            <w:tcW w:w="213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均价涨跌幅</w:t>
            </w:r>
          </w:p>
        </w:tc>
        <w:tc>
          <w:tcPr>
            <w:tcW w:w="2364"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1D4DC7" w:rsidRPr="00D842E9" w:rsidRDefault="001D4DC7" w:rsidP="00AB4BD8">
            <w:pPr>
              <w:pStyle w:val="aa"/>
              <w:spacing w:before="0" w:beforeAutospacing="0" w:after="0" w:afterAutospacing="0" w:line="390" w:lineRule="atLeast"/>
              <w:jc w:val="center"/>
              <w:rPr>
                <w:rFonts w:ascii="华文仿宋" w:eastAsia="华文仿宋" w:hAnsi="华文仿宋"/>
                <w:color w:val="000000"/>
                <w:sz w:val="28"/>
                <w:szCs w:val="28"/>
              </w:rPr>
            </w:pPr>
            <w:r w:rsidRPr="00D842E9">
              <w:rPr>
                <w:rFonts w:ascii="华文仿宋" w:eastAsia="华文仿宋" w:hAnsi="华文仿宋" w:hint="eastAsia"/>
                <w:color w:val="000000"/>
                <w:sz w:val="28"/>
                <w:szCs w:val="28"/>
              </w:rPr>
              <w:t>美分/加仑</w:t>
            </w:r>
          </w:p>
        </w:tc>
      </w:tr>
      <w:tr w:rsidR="00F27D6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lastRenderedPageBreak/>
              <w:t>新加坡</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61.77美元/桶</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61.81美元/桶</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0.21</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147.071-147.167</w:t>
            </w:r>
          </w:p>
        </w:tc>
      </w:tr>
      <w:tr w:rsidR="00F27D6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日本</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567.25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571.75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2.50</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150.066-151.257</w:t>
            </w:r>
          </w:p>
        </w:tc>
      </w:tr>
      <w:tr w:rsidR="00F27D6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阿拉伯海湾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539.05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543.55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2.38</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142.606-143.796</w:t>
            </w:r>
          </w:p>
        </w:tc>
      </w:tr>
      <w:tr w:rsidR="00F27D6D">
        <w:trPr>
          <w:trHeight w:val="67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阿姆斯特丹、鹿特丹、安特卫普到岸价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544.25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544.75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-4.75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145.521-145.655</w:t>
            </w:r>
          </w:p>
        </w:tc>
      </w:tr>
      <w:tr w:rsidR="00F27D6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鹿特丹船货价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540.25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540.75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-4.75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144.452-144.586</w:t>
            </w:r>
          </w:p>
        </w:tc>
      </w:tr>
      <w:tr w:rsidR="00F27D6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地中海离岸价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522.00</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522.50</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-4.75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139.572-139.706</w:t>
            </w:r>
          </w:p>
        </w:tc>
      </w:tr>
      <w:tr w:rsidR="00F27D6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热那亚到岸价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534.75</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535.25</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-4.75</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142.981-143.115</w:t>
            </w:r>
          </w:p>
        </w:tc>
      </w:tr>
      <w:tr w:rsidR="00F27D6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美国墨西哥湾</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575.42</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575.52</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-0.50美分/加仑</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164.360-164.460</w:t>
            </w:r>
          </w:p>
        </w:tc>
      </w:tr>
      <w:tr w:rsidR="00F27D6D">
        <w:trPr>
          <w:trHeight w:val="285"/>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加勒比海</w:t>
            </w:r>
          </w:p>
        </w:tc>
        <w:tc>
          <w:tcPr>
            <w:tcW w:w="20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F27D6D" w:rsidRPr="00F27D6D" w:rsidRDefault="00F27D6D">
            <w:pPr>
              <w:pStyle w:val="aa"/>
              <w:spacing w:before="0" w:beforeAutospacing="0" w:after="0" w:afterAutospacing="0" w:line="390" w:lineRule="atLeast"/>
              <w:jc w:val="center"/>
              <w:rPr>
                <w:rFonts w:ascii="华文仿宋" w:eastAsia="华文仿宋" w:hAnsi="华文仿宋"/>
                <w:color w:val="000000"/>
                <w:sz w:val="28"/>
                <w:szCs w:val="28"/>
              </w:rPr>
            </w:pPr>
            <w:r w:rsidRPr="00F27D6D">
              <w:rPr>
                <w:rFonts w:ascii="华文仿宋" w:eastAsia="华文仿宋" w:hAnsi="华文仿宋" w:hint="eastAsia"/>
                <w:color w:val="000000"/>
                <w:sz w:val="28"/>
                <w:szCs w:val="28"/>
              </w:rPr>
              <w:t> </w:t>
            </w:r>
          </w:p>
        </w:tc>
      </w:tr>
    </w:tbl>
    <w:p w:rsidR="00FD6021" w:rsidRDefault="00FD6021">
      <w:pPr>
        <w:rPr>
          <w:rFonts w:ascii="华文仿宋" w:eastAsia="华文仿宋" w:hAnsi="华文仿宋" w:cs="宋体"/>
          <w:kern w:val="0"/>
          <w:szCs w:val="28"/>
        </w:rPr>
      </w:pPr>
    </w:p>
    <w:p w:rsidR="00FD6021" w:rsidRPr="00B14D22" w:rsidRDefault="0014013A">
      <w:pPr>
        <w:pStyle w:val="2"/>
        <w:spacing w:line="240" w:lineRule="auto"/>
        <w:rPr>
          <w:rFonts w:asciiTheme="minorEastAsia" w:eastAsiaTheme="minorEastAsia" w:hAnsiTheme="minorEastAsia"/>
          <w:bCs w:val="0"/>
          <w:color w:val="000000" w:themeColor="text1"/>
          <w:szCs w:val="28"/>
        </w:rPr>
      </w:pPr>
      <w:bookmarkStart w:id="51" w:name="_Toc536797014"/>
      <w:bookmarkStart w:id="52" w:name="_Toc1736585"/>
      <w:bookmarkStart w:id="53" w:name="_Toc2934027"/>
      <w:bookmarkStart w:id="54" w:name="_Toc2934048"/>
      <w:bookmarkStart w:id="55" w:name="_Toc4160088"/>
      <w:r w:rsidRPr="00B14D22">
        <w:rPr>
          <w:rFonts w:asciiTheme="minorEastAsia" w:eastAsiaTheme="minorEastAsia" w:hAnsiTheme="minorEastAsia" w:hint="eastAsia"/>
          <w:bCs w:val="0"/>
          <w:color w:val="000000" w:themeColor="text1"/>
          <w:szCs w:val="28"/>
        </w:rPr>
        <w:t>2.2地炼石脑油市场</w:t>
      </w:r>
      <w:bookmarkEnd w:id="19"/>
      <w:bookmarkEnd w:id="20"/>
      <w:bookmarkEnd w:id="46"/>
      <w:bookmarkEnd w:id="47"/>
      <w:bookmarkEnd w:id="48"/>
      <w:bookmarkEnd w:id="49"/>
      <w:bookmarkEnd w:id="50"/>
      <w:bookmarkEnd w:id="51"/>
      <w:bookmarkEnd w:id="52"/>
      <w:bookmarkEnd w:id="53"/>
      <w:bookmarkEnd w:id="54"/>
      <w:bookmarkEnd w:id="55"/>
    </w:p>
    <w:p w:rsidR="00F27D6D" w:rsidRPr="00F27D6D" w:rsidRDefault="00F27D6D" w:rsidP="00F27D6D">
      <w:pPr>
        <w:pStyle w:val="aa"/>
        <w:shd w:val="clear" w:color="auto" w:fill="FFFFFF"/>
        <w:spacing w:before="0" w:beforeAutospacing="0" w:after="0" w:afterAutospacing="0" w:line="390" w:lineRule="atLeast"/>
        <w:ind w:firstLine="480"/>
        <w:rPr>
          <w:rFonts w:ascii="华文仿宋" w:eastAsia="华文仿宋" w:hAnsi="华文仿宋" w:cs="Times New Roman"/>
          <w:kern w:val="2"/>
          <w:sz w:val="28"/>
          <w:szCs w:val="28"/>
        </w:rPr>
      </w:pPr>
      <w:r w:rsidRPr="00F27D6D">
        <w:rPr>
          <w:rFonts w:ascii="华文仿宋" w:eastAsia="华文仿宋" w:hAnsi="华文仿宋" w:cs="Times New Roman" w:hint="eastAsia"/>
          <w:kern w:val="2"/>
          <w:sz w:val="28"/>
          <w:szCs w:val="28"/>
        </w:rPr>
        <w:t>石脑油：后市预测：欧佩克减产继续对油价形成坚强支撑，美国对委内瑞拉和伊朗的制裁也帮助巩固当前价格水平，不过美原油产出仍然制约油市，短线价格运行将以微幅震荡为主，3月19日油价预期微幅收涨。。</w:t>
      </w:r>
    </w:p>
    <w:p w:rsidR="00F27D6D" w:rsidRPr="00F27D6D" w:rsidRDefault="00F27D6D" w:rsidP="00F27D6D">
      <w:pPr>
        <w:pStyle w:val="aa"/>
        <w:shd w:val="clear" w:color="auto" w:fill="FFFFFF"/>
        <w:spacing w:before="0" w:beforeAutospacing="0" w:after="0" w:afterAutospacing="0" w:line="390" w:lineRule="atLeast"/>
        <w:ind w:firstLine="480"/>
        <w:rPr>
          <w:rFonts w:ascii="华文仿宋" w:eastAsia="华文仿宋" w:hAnsi="华文仿宋" w:cs="Times New Roman" w:hint="eastAsia"/>
          <w:kern w:val="2"/>
          <w:sz w:val="28"/>
          <w:szCs w:val="28"/>
        </w:rPr>
      </w:pPr>
      <w:r w:rsidRPr="00F27D6D">
        <w:rPr>
          <w:rFonts w:ascii="华文仿宋" w:eastAsia="华文仿宋" w:hAnsi="华文仿宋" w:cs="Times New Roman" w:hint="eastAsia"/>
          <w:kern w:val="2"/>
          <w:sz w:val="28"/>
          <w:szCs w:val="28"/>
        </w:rPr>
        <w:lastRenderedPageBreak/>
        <w:t>国内地炼石脑油市场偏强整理，尽管价格高挂，不过成交底线较前期偏移有限，加氢石脑油不含税成交处于4850元/吨一线，短线市场将继续维持偏强修正格局。</w:t>
      </w:r>
    </w:p>
    <w:p w:rsidR="00BB6A10" w:rsidRPr="00F27D6D" w:rsidRDefault="00BB6A10" w:rsidP="00BB6A10">
      <w:pPr>
        <w:pStyle w:val="aa"/>
        <w:ind w:firstLineChars="200" w:firstLine="560"/>
        <w:rPr>
          <w:rFonts w:ascii="华文仿宋" w:eastAsia="华文仿宋" w:hAnsi="华文仿宋"/>
          <w:sz w:val="28"/>
          <w:szCs w:val="28"/>
        </w:rPr>
      </w:pPr>
    </w:p>
    <w:p w:rsidR="00FD6021" w:rsidRPr="00BB6A10" w:rsidRDefault="00FD6021" w:rsidP="00AB4BD8">
      <w:pPr>
        <w:pStyle w:val="aa"/>
        <w:ind w:firstLineChars="200" w:firstLine="560"/>
        <w:rPr>
          <w:rFonts w:ascii="华文仿宋" w:eastAsia="华文仿宋" w:hAnsi="华文仿宋"/>
          <w:sz w:val="28"/>
          <w:szCs w:val="28"/>
        </w:rPr>
      </w:pPr>
    </w:p>
    <w:p w:rsidR="00FD6021" w:rsidRDefault="0014013A">
      <w:pPr>
        <w:outlineLvl w:val="1"/>
        <w:rPr>
          <w:rFonts w:asciiTheme="minorEastAsia" w:eastAsiaTheme="minorEastAsia" w:hAnsiTheme="minorEastAsia"/>
          <w:b/>
          <w:sz w:val="28"/>
          <w:szCs w:val="28"/>
        </w:rPr>
      </w:pPr>
      <w:bookmarkStart w:id="56" w:name="_Toc296600813"/>
      <w:bookmarkStart w:id="57" w:name="_Toc460250406"/>
      <w:bookmarkStart w:id="58" w:name="_Toc505350010"/>
      <w:bookmarkStart w:id="59" w:name="_Toc281568203"/>
      <w:bookmarkStart w:id="60" w:name="_Toc536797015"/>
      <w:bookmarkStart w:id="61" w:name="_Toc1736586"/>
      <w:bookmarkStart w:id="62" w:name="_Toc2934028"/>
      <w:bookmarkStart w:id="63" w:name="_Toc2934049"/>
      <w:bookmarkStart w:id="64" w:name="_Toc4160089"/>
      <w:r>
        <w:rPr>
          <w:rFonts w:asciiTheme="minorEastAsia" w:eastAsiaTheme="minorEastAsia" w:hAnsiTheme="minorEastAsia" w:hint="eastAsia"/>
          <w:b/>
          <w:sz w:val="28"/>
          <w:szCs w:val="28"/>
        </w:rPr>
        <w:t>2.3本周国内石脑油价格汇总</w:t>
      </w:r>
      <w:bookmarkEnd w:id="56"/>
      <w:bookmarkEnd w:id="57"/>
      <w:bookmarkEnd w:id="58"/>
      <w:bookmarkEnd w:id="59"/>
      <w:bookmarkEnd w:id="60"/>
      <w:bookmarkEnd w:id="61"/>
      <w:bookmarkEnd w:id="62"/>
      <w:bookmarkEnd w:id="63"/>
      <w:bookmarkEnd w:id="64"/>
    </w:p>
    <w:p w:rsidR="00FD6021" w:rsidRDefault="00FD6021">
      <w:pPr>
        <w:rPr>
          <w:rFonts w:ascii="宋体" w:hAnsi="宋体" w:cs="Arial"/>
          <w:kern w:val="0"/>
          <w:sz w:val="20"/>
          <w:szCs w:val="20"/>
        </w:rPr>
      </w:pPr>
    </w:p>
    <w:p w:rsidR="00FD6021" w:rsidRDefault="00FD6021">
      <w:pPr>
        <w:rPr>
          <w:rFonts w:ascii="宋体" w:hAnsi="宋体" w:cs="Arial"/>
          <w:kern w:val="0"/>
          <w:sz w:val="20"/>
          <w:szCs w:val="20"/>
        </w:rPr>
      </w:pPr>
    </w:p>
    <w:p w:rsidR="00FD6021" w:rsidRDefault="0014013A">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FD6021" w:rsidRDefault="00FD6021">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FD6021" w:rsidRDefault="00FD6021">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FD6021" w:rsidRDefault="0014013A">
      <w:pPr>
        <w:rPr>
          <w:rFonts w:ascii="宋体" w:hAnsi="宋体" w:cs="Arial"/>
          <w:kern w:val="0"/>
          <w:sz w:val="20"/>
          <w:szCs w:val="20"/>
        </w:rPr>
      </w:pPr>
      <w:r>
        <w:rPr>
          <w:rFonts w:ascii="宋体" w:hAnsi="宋体" w:cs="Arial" w:hint="eastAsia"/>
          <w:kern w:val="0"/>
          <w:sz w:val="20"/>
          <w:szCs w:val="20"/>
        </w:rPr>
        <w:t xml:space="preserve"> 单位：元/吨</w:t>
      </w:r>
    </w:p>
    <w:p w:rsidR="00FD6021" w:rsidRDefault="00FD6021">
      <w:pPr>
        <w:rPr>
          <w:rFonts w:ascii="宋体" w:hAnsi="宋体" w:cs="Arial"/>
          <w:kern w:val="0"/>
          <w:sz w:val="20"/>
          <w:szCs w:val="20"/>
        </w:rPr>
      </w:pPr>
    </w:p>
    <w:tbl>
      <w:tblPr>
        <w:tblW w:w="9776" w:type="dxa"/>
        <w:tblLayout w:type="fixed"/>
        <w:tblCellMar>
          <w:top w:w="15" w:type="dxa"/>
          <w:left w:w="15" w:type="dxa"/>
          <w:bottom w:w="15" w:type="dxa"/>
          <w:right w:w="15" w:type="dxa"/>
        </w:tblCellMar>
        <w:tblLook w:val="04A0"/>
      </w:tblPr>
      <w:tblGrid>
        <w:gridCol w:w="1369"/>
        <w:gridCol w:w="1370"/>
        <w:gridCol w:w="1369"/>
        <w:gridCol w:w="1370"/>
        <w:gridCol w:w="1369"/>
        <w:gridCol w:w="1560"/>
        <w:gridCol w:w="1369"/>
      </w:tblGrid>
      <w:tr w:rsidR="005153F9" w:rsidRPr="005153F9">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地区</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生产厂家</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产品名称</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价格类型</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涨跌</w:t>
            </w:r>
          </w:p>
        </w:tc>
        <w:tc>
          <w:tcPr>
            <w:tcW w:w="156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2019/3/22</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2019/3/15</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金城石化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恒源石化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6800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6800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东明石化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中海石化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弘润石化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华星石化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海科石化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广饶石化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鑫泰石化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5925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5925</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lastRenderedPageBreak/>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利津石化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胜华石化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长城石化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安邦石化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日照源丰</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富海石化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京博石化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6204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6204</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昌邑石化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-211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5989</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6200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垦利石化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5200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5200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寿光石化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5600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5600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神驰石化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5350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5350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汇丰石化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5730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5730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宝塔石化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滨化石化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480"/>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高青宏远石化</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r w:rsidR="005153F9" w:rsidRPr="005153F9" w:rsidTr="00586698">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河口实业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石脑油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hint="eastAsia"/>
                <w:color w:val="000000"/>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53F9" w:rsidRPr="005153F9" w:rsidRDefault="005153F9">
            <w:pPr>
              <w:jc w:val="center"/>
              <w:rPr>
                <w:rFonts w:ascii="华文仿宋" w:eastAsia="华文仿宋" w:hAnsi="华文仿宋" w:cs="Tahoma"/>
                <w:color w:val="000000"/>
                <w:sz w:val="28"/>
                <w:szCs w:val="28"/>
              </w:rPr>
            </w:pPr>
            <w:r w:rsidRPr="005153F9">
              <w:rPr>
                <w:rFonts w:ascii="华文仿宋" w:eastAsia="华文仿宋" w:hAnsi="华文仿宋" w:cs="Tahoma"/>
                <w:color w:val="000000"/>
                <w:sz w:val="28"/>
                <w:szCs w:val="28"/>
              </w:rPr>
              <w:t>0</w:t>
            </w:r>
          </w:p>
        </w:tc>
      </w:tr>
    </w:tbl>
    <w:p w:rsidR="00FD6021" w:rsidRDefault="00FD6021">
      <w:pPr>
        <w:rPr>
          <w:rFonts w:ascii="宋体" w:hAnsi="宋体" w:cs="Arial"/>
          <w:kern w:val="0"/>
          <w:sz w:val="20"/>
          <w:szCs w:val="20"/>
        </w:rPr>
      </w:pPr>
    </w:p>
    <w:p w:rsidR="00FD6021" w:rsidRDefault="0014013A">
      <w:pPr>
        <w:pStyle w:val="2"/>
        <w:spacing w:line="240" w:lineRule="auto"/>
        <w:jc w:val="left"/>
        <w:rPr>
          <w:rFonts w:asciiTheme="minorEastAsia" w:eastAsiaTheme="minorEastAsia" w:hAnsiTheme="minorEastAsia"/>
        </w:rPr>
      </w:pPr>
      <w:bookmarkStart w:id="65" w:name="_Toc296600814"/>
      <w:bookmarkStart w:id="66" w:name="_Toc281568204"/>
      <w:bookmarkStart w:id="67" w:name="_Toc460250407"/>
      <w:bookmarkStart w:id="68" w:name="_Toc505350011"/>
      <w:bookmarkStart w:id="69" w:name="_Toc536797016"/>
      <w:bookmarkStart w:id="70" w:name="_Toc1736587"/>
      <w:bookmarkStart w:id="71" w:name="_Toc2934029"/>
      <w:bookmarkStart w:id="72" w:name="_Toc2934050"/>
      <w:bookmarkStart w:id="73" w:name="_Toc4160090"/>
      <w:bookmarkStart w:id="74" w:name="_Toc158203132"/>
      <w:bookmarkStart w:id="75" w:name="_Toc239847719"/>
      <w:r>
        <w:rPr>
          <w:rFonts w:asciiTheme="minorEastAsia" w:eastAsiaTheme="minorEastAsia" w:hAnsiTheme="minorEastAsia" w:hint="eastAsia"/>
          <w:szCs w:val="28"/>
        </w:rPr>
        <w:lastRenderedPageBreak/>
        <w:t>2.4山东地炼石脑油价格走势图</w:t>
      </w:r>
      <w:bookmarkEnd w:id="65"/>
      <w:bookmarkEnd w:id="66"/>
      <w:bookmarkEnd w:id="67"/>
      <w:bookmarkEnd w:id="68"/>
      <w:bookmarkEnd w:id="69"/>
      <w:bookmarkEnd w:id="70"/>
      <w:bookmarkEnd w:id="71"/>
      <w:bookmarkEnd w:id="72"/>
      <w:bookmarkEnd w:id="73"/>
    </w:p>
    <w:p w:rsidR="00FD6021" w:rsidRDefault="005153F9">
      <w:pPr>
        <w:widowControl/>
        <w:jc w:val="left"/>
        <w:rPr>
          <w:rFonts w:ascii="宋体" w:hAnsi="宋体" w:cs="宋体"/>
          <w:kern w:val="0"/>
          <w:sz w:val="24"/>
          <w:szCs w:val="24"/>
        </w:rPr>
      </w:pPr>
      <w:r w:rsidRPr="005153F9">
        <w:rPr>
          <w:rFonts w:ascii="宋体" w:hAnsi="宋体" w:cs="宋体"/>
          <w:noProof/>
          <w:kern w:val="0"/>
          <w:sz w:val="24"/>
          <w:szCs w:val="24"/>
        </w:rPr>
        <w:drawing>
          <wp:inline distT="0" distB="0" distL="0" distR="0">
            <wp:extent cx="5486400" cy="346329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021" w:rsidRDefault="00FD6021">
      <w:pPr>
        <w:rPr>
          <w:sz w:val="20"/>
          <w:szCs w:val="20"/>
        </w:rPr>
      </w:pPr>
    </w:p>
    <w:p w:rsidR="00FD6021" w:rsidRDefault="00FD6021">
      <w:pPr>
        <w:rPr>
          <w:sz w:val="20"/>
          <w:szCs w:val="20"/>
        </w:rPr>
      </w:pPr>
    </w:p>
    <w:p w:rsidR="00FD6021" w:rsidRDefault="0014013A">
      <w:pPr>
        <w:outlineLvl w:val="0"/>
        <w:rPr>
          <w:rFonts w:ascii="黑体" w:eastAsia="黑体"/>
          <w:b/>
          <w:sz w:val="28"/>
          <w:szCs w:val="28"/>
        </w:rPr>
      </w:pPr>
      <w:bookmarkStart w:id="76" w:name="_Toc237428455"/>
      <w:bookmarkStart w:id="77" w:name="_Toc296600816"/>
      <w:bookmarkStart w:id="78" w:name="_Toc505350012"/>
      <w:bookmarkStart w:id="79" w:name="_Toc281568206"/>
      <w:bookmarkStart w:id="80" w:name="_Toc460250408"/>
      <w:bookmarkStart w:id="81" w:name="_Toc536797017"/>
      <w:bookmarkStart w:id="82" w:name="_Toc1736588"/>
      <w:bookmarkStart w:id="83" w:name="_Toc2934030"/>
      <w:bookmarkStart w:id="84" w:name="_Toc2934051"/>
      <w:bookmarkStart w:id="85" w:name="_Toc4160091"/>
      <w:bookmarkEnd w:id="74"/>
      <w:bookmarkEnd w:id="75"/>
      <w:r>
        <w:rPr>
          <w:rFonts w:ascii="黑体" w:eastAsia="黑体" w:hint="eastAsia"/>
          <w:b/>
          <w:sz w:val="28"/>
          <w:szCs w:val="28"/>
        </w:rPr>
        <w:t>三、本周国内油品市场分析及预测</w:t>
      </w:r>
      <w:bookmarkStart w:id="86" w:name="_Toc281568207"/>
      <w:bookmarkStart w:id="87" w:name="_Toc460250409"/>
      <w:bookmarkStart w:id="88" w:name="_Toc296600817"/>
      <w:bookmarkStart w:id="89" w:name="_Toc237428456"/>
      <w:bookmarkStart w:id="90" w:name="_Toc176571903"/>
      <w:bookmarkEnd w:id="76"/>
      <w:bookmarkEnd w:id="77"/>
      <w:bookmarkEnd w:id="78"/>
      <w:bookmarkEnd w:id="79"/>
      <w:bookmarkEnd w:id="80"/>
      <w:bookmarkEnd w:id="81"/>
      <w:bookmarkEnd w:id="82"/>
      <w:bookmarkEnd w:id="83"/>
      <w:bookmarkEnd w:id="84"/>
      <w:bookmarkEnd w:id="85"/>
    </w:p>
    <w:p w:rsidR="00FD6021" w:rsidRDefault="0014013A">
      <w:pPr>
        <w:pStyle w:val="1"/>
        <w:spacing w:line="360" w:lineRule="auto"/>
        <w:rPr>
          <w:rFonts w:ascii="华文仿宋" w:eastAsia="华文仿宋" w:hAnsi="华文仿宋" w:cs="华文仿宋"/>
          <w:b w:val="0"/>
          <w:bCs w:val="0"/>
          <w:kern w:val="0"/>
          <w:sz w:val="28"/>
          <w:szCs w:val="28"/>
        </w:rPr>
      </w:pPr>
      <w:bookmarkStart w:id="91" w:name="_Toc505350013"/>
      <w:bookmarkStart w:id="92" w:name="_Toc536797018"/>
      <w:bookmarkStart w:id="93" w:name="_Toc1736589"/>
      <w:bookmarkStart w:id="94" w:name="_Toc2934031"/>
      <w:bookmarkStart w:id="95" w:name="_Toc2934052"/>
      <w:bookmarkStart w:id="96" w:name="_Toc4160092"/>
      <w:r>
        <w:rPr>
          <w:rFonts w:asciiTheme="minorEastAsia" w:eastAsiaTheme="minorEastAsia" w:hAnsiTheme="minorEastAsia" w:hint="eastAsia"/>
          <w:kern w:val="2"/>
          <w:sz w:val="28"/>
          <w:szCs w:val="28"/>
        </w:rPr>
        <w:t>3．1  成品油市场动态</w:t>
      </w:r>
      <w:bookmarkEnd w:id="86"/>
      <w:bookmarkEnd w:id="87"/>
      <w:bookmarkEnd w:id="88"/>
      <w:bookmarkEnd w:id="91"/>
      <w:bookmarkEnd w:id="92"/>
      <w:bookmarkEnd w:id="93"/>
      <w:bookmarkEnd w:id="94"/>
      <w:bookmarkEnd w:id="95"/>
      <w:bookmarkEnd w:id="96"/>
    </w:p>
    <w:p w:rsidR="00975441" w:rsidRPr="00975441" w:rsidRDefault="004F1799" w:rsidP="00975441">
      <w:pPr>
        <w:pStyle w:val="aa"/>
        <w:ind w:firstLineChars="200" w:firstLine="560"/>
        <w:rPr>
          <w:rFonts w:ascii="华文仿宋" w:eastAsia="华文仿宋" w:hAnsi="华文仿宋" w:cs="华文仿宋"/>
          <w:sz w:val="28"/>
          <w:szCs w:val="28"/>
        </w:rPr>
      </w:pPr>
      <w:bookmarkStart w:id="97" w:name="_Toc505350014"/>
      <w:bookmarkStart w:id="98" w:name="_Toc369858747"/>
      <w:bookmarkStart w:id="99" w:name="_Toc180485827"/>
      <w:bookmarkStart w:id="100" w:name="_Toc296600818"/>
      <w:bookmarkStart w:id="101" w:name="_Toc460250410"/>
      <w:bookmarkStart w:id="102" w:name="_Toc281568208"/>
      <w:bookmarkStart w:id="103" w:name="_Toc281568211"/>
      <w:bookmarkStart w:id="104" w:name="_Toc296600819"/>
      <w:bookmarkEnd w:id="89"/>
      <w:bookmarkEnd w:id="90"/>
      <w:r w:rsidRPr="004F1799">
        <w:rPr>
          <w:rFonts w:ascii="华文仿宋" w:eastAsia="华文仿宋" w:hAnsi="华文仿宋" w:hint="eastAsia"/>
          <w:sz w:val="28"/>
          <w:szCs w:val="28"/>
        </w:rPr>
        <w:t xml:space="preserve"> </w:t>
      </w:r>
      <w:bookmarkStart w:id="105" w:name="_Toc536797019"/>
      <w:bookmarkStart w:id="106" w:name="_Toc1736590"/>
      <w:bookmarkStart w:id="107" w:name="_Toc2934032"/>
      <w:bookmarkStart w:id="108" w:name="_Toc2934053"/>
      <w:r w:rsidR="00975441" w:rsidRPr="00975441">
        <w:rPr>
          <w:rFonts w:ascii="华文仿宋" w:eastAsia="华文仿宋" w:hAnsi="华文仿宋" w:cs="华文仿宋" w:hint="eastAsia"/>
          <w:sz w:val="28"/>
          <w:szCs w:val="28"/>
        </w:rPr>
        <w:t>本周，国际原油期货保持震荡走高，测算第十个工作日参考原油变化率为0.38%。受此影响，国内成品油市场购销氛围清淡，部分地区主营单位汽柴油价格下调。反观，山东地炼成品油行情止跌上涨，各炼厂纷纷调涨售价，其成交保持100元/吨左右优惠。具体来看出货方面：经过一段时间的消耗，社会单位库存有所下降，下游用户入市补货操作增加，加上业者都对后市行情持有良好预期，市场交投气氛好转。另外，外盘油价震荡走高也一定程度上给予了地炼推价动力，因此周内油价开始稳中上涨。 后市前瞻：进入下周，国际原油期价进入震荡上扬区间，原油基本面的改善，是支撑原油价格走高的主要因素，主流运行区间在</w:t>
      </w:r>
      <w:r w:rsidR="00975441" w:rsidRPr="00975441">
        <w:rPr>
          <w:rFonts w:ascii="华文仿宋" w:eastAsia="华文仿宋" w:hAnsi="华文仿宋" w:cs="华文仿宋" w:hint="eastAsia"/>
          <w:sz w:val="28"/>
          <w:szCs w:val="28"/>
        </w:rPr>
        <w:lastRenderedPageBreak/>
        <w:t>56-60（均值58）美元/桶之间。在消息面利好作用下，山东地区成品油行情有望延续小涨势头，买卖双方操作积极性提升，市场交投气氛活跃。综上所述，预计下周山东地炼汽柴油价格稳中上涨。</w:t>
      </w:r>
    </w:p>
    <w:p w:rsidR="00975441" w:rsidRPr="00975441" w:rsidRDefault="00975441" w:rsidP="00975441">
      <w:pPr>
        <w:pStyle w:val="aa"/>
        <w:ind w:firstLineChars="200" w:firstLine="560"/>
        <w:rPr>
          <w:rFonts w:ascii="华文仿宋" w:eastAsia="华文仿宋" w:hAnsi="华文仿宋" w:cs="华文仿宋"/>
          <w:sz w:val="28"/>
          <w:szCs w:val="28"/>
        </w:rPr>
      </w:pPr>
      <w:r w:rsidRPr="00975441">
        <w:rPr>
          <w:rFonts w:ascii="华文仿宋" w:eastAsia="华文仿宋" w:hAnsi="华文仿宋" w:cs="华文仿宋" w:hint="eastAsia"/>
          <w:sz w:val="28"/>
          <w:szCs w:val="28"/>
        </w:rPr>
        <w:t>华北地区主营成品油行情走势分化，尤其是表现在柴油方面，汽油方面有所松动。分析来看，周内国际油价先抑后扬，变化率转为正向波动，本轮零售价调整窗口将关闭，消息面对市场提振明显。周内华北地区主营单位汽柴价格开始推涨，与此同时，山东地炼汽柴价格持续走高，外采成本走高下支撑主营价格推涨。尽管市场价格开始走高，但中间商自身库存处于高位，且消库速度十分有限，入市采购活动减量，市场成交气氛提升不易。整体来看，周内主营单位出货情况欠佳。后市而言，国际油价延续震荡走势，新一轮变化率或正向开端，消息面继续支撑市场。但进入中下旬后，主营单位多追赶销售任务，因此销售策略将保持灵活。然而随着需求面缓慢恢复，预计下周华北地区汽柴行情走势或向好，尤其是柴油方面，汽油方面难有明显波动。</w:t>
      </w:r>
    </w:p>
    <w:p w:rsidR="00975441" w:rsidRPr="00975441" w:rsidRDefault="00975441" w:rsidP="00975441">
      <w:pPr>
        <w:pStyle w:val="aa"/>
        <w:ind w:firstLineChars="200" w:firstLine="560"/>
        <w:rPr>
          <w:rFonts w:ascii="华文仿宋" w:eastAsia="华文仿宋" w:hAnsi="华文仿宋" w:cs="华文仿宋"/>
          <w:sz w:val="28"/>
          <w:szCs w:val="28"/>
        </w:rPr>
      </w:pPr>
      <w:r w:rsidRPr="00975441">
        <w:rPr>
          <w:rFonts w:ascii="华文仿宋" w:eastAsia="华文仿宋" w:hAnsi="华文仿宋" w:cs="华文仿宋" w:hint="eastAsia"/>
          <w:sz w:val="28"/>
          <w:szCs w:val="28"/>
        </w:rPr>
        <w:t>华南地区成品油行情先跌后涨，市场交投气氛维持清淡。具体来看，原油期货收盘上涨，变化率窄幅波动，本轮零售价调整搁浅。与此同时，下游需求疲软，主营单位出货整体欠佳，汽柴油价格承压下滑，其中汽油价格跌幅较大。随着原油期货“三连涨”，消息方面给予提振，部分主营单位借机上推汽柴油价格，业者消库之余按需购进，市场交投气氛改善有限。后市来看，原油期货震荡走高为主，消息方面给予支撑。然而，业者大多消库之余谨慎购进，主营单位出货不甚理想。预计下周华南地区汽柴油行情横盘整理为主。</w:t>
      </w:r>
    </w:p>
    <w:p w:rsidR="00975441" w:rsidRPr="00975441" w:rsidRDefault="00975441" w:rsidP="00975441">
      <w:pPr>
        <w:pStyle w:val="aa"/>
        <w:ind w:firstLineChars="200" w:firstLine="560"/>
        <w:rPr>
          <w:rFonts w:ascii="华文仿宋" w:eastAsia="华文仿宋" w:hAnsi="华文仿宋" w:cs="华文仿宋"/>
          <w:sz w:val="28"/>
          <w:szCs w:val="28"/>
        </w:rPr>
      </w:pPr>
      <w:r w:rsidRPr="00975441">
        <w:rPr>
          <w:rFonts w:ascii="华文仿宋" w:eastAsia="华文仿宋" w:hAnsi="华文仿宋" w:cs="华文仿宋" w:hint="eastAsia"/>
          <w:sz w:val="28"/>
          <w:szCs w:val="28"/>
        </w:rPr>
        <w:lastRenderedPageBreak/>
        <w:t>市场补货需求难有提振 主营成交价格波动有限。具体分析如下，周初，国际原油走势震荡，且变化率维持负向运行，消息面指引偏弱。加上多数主营出货心态积极，成交价格稳中有跌。随着地炼价格不断推涨，刺激下游入市操作稍有增加。且原油涨势逐渐明显，利好因素占据上风。主营挂牌价格多有推涨，特别是柴油价格涨幅较大。然下游库存消耗有限，入市采购以小单为主，主营出货情况仍不乐观，故部分主营明涨暗稳，优惠宽松。后市来看，国际原油或仍有上涨空间，新一轮变化率将以正向开端，消息面指向利好，但是由于主营出货压力仍显，后期或以赶量为主。故预计短期内华中地区汽柴价格仍有推涨空间，但涨幅或将有限，成交均存较大商谈空间。</w:t>
      </w:r>
    </w:p>
    <w:p w:rsidR="00975441" w:rsidRPr="00975441" w:rsidRDefault="00975441" w:rsidP="00975441">
      <w:pPr>
        <w:pStyle w:val="aa"/>
        <w:ind w:firstLineChars="200" w:firstLine="560"/>
        <w:rPr>
          <w:rFonts w:ascii="华文仿宋" w:eastAsia="华文仿宋" w:hAnsi="华文仿宋" w:cs="华文仿宋"/>
          <w:sz w:val="28"/>
          <w:szCs w:val="28"/>
        </w:rPr>
      </w:pPr>
      <w:r w:rsidRPr="00975441">
        <w:rPr>
          <w:rFonts w:ascii="华文仿宋" w:eastAsia="华文仿宋" w:hAnsi="华文仿宋" w:cs="华文仿宋" w:hint="eastAsia"/>
          <w:sz w:val="28"/>
          <w:szCs w:val="28"/>
        </w:rPr>
        <w:t>华东地区成品油行情先抑后扬，市场购销氛围小幅回暖。具体来看，国际原油期价整体震荡走高，但最初涨势微弱，消息面对市场影响有限。尽管山东地炼在出货向好支撑下，自上周末开始不断推高汽柴油价格。但由于华东区内主营价格偏高，加之受前期阴雨天气影响，多数单位出货情况较不乐观，为此主营选择降价促销。随着原油涨势扩大，以及地炼接连推价一定程度上带动业者采购积极性，诸多利好提振主营油价出现反弹。中下游用户进行小单补货，购销气氛略有升温。整体来看，周内成品油价格跌幅大于涨幅。后市而言，国际油价或震荡上扬，新一轮周期变化率有望转正运行，消息面形成利好指引。不过业者已经集中备货，再度采购力度难有放量，在缺乏成交支持下，预计下周华东主营成品油价格涨势放缓。</w:t>
      </w:r>
    </w:p>
    <w:p w:rsidR="00975441" w:rsidRPr="00975441" w:rsidRDefault="00975441" w:rsidP="00975441">
      <w:pPr>
        <w:pStyle w:val="aa"/>
        <w:ind w:firstLineChars="200" w:firstLine="560"/>
        <w:rPr>
          <w:rFonts w:ascii="华文仿宋" w:eastAsia="华文仿宋" w:hAnsi="华文仿宋" w:cs="华文仿宋"/>
          <w:sz w:val="28"/>
          <w:szCs w:val="28"/>
        </w:rPr>
      </w:pPr>
      <w:r w:rsidRPr="00975441">
        <w:rPr>
          <w:rFonts w:ascii="华文仿宋" w:eastAsia="华文仿宋" w:hAnsi="华文仿宋" w:cs="华文仿宋" w:hint="eastAsia"/>
          <w:sz w:val="28"/>
          <w:szCs w:val="28"/>
        </w:rPr>
        <w:t>西北地炼汽柴行情维持淡稳，市场成交气氛平平。分析来看：周内国际油价震荡上行，变化率负向区间收窄，本轮零售价搁浅，消息面利空逐步减弱。不过，</w:t>
      </w:r>
      <w:r w:rsidRPr="00975441">
        <w:rPr>
          <w:rFonts w:ascii="华文仿宋" w:eastAsia="华文仿宋" w:hAnsi="华文仿宋" w:cs="华文仿宋" w:hint="eastAsia"/>
          <w:sz w:val="28"/>
          <w:szCs w:val="28"/>
        </w:rPr>
        <w:lastRenderedPageBreak/>
        <w:t>汽柴需求整体平淡，对市场难有明显提振。业者操作心态谨慎，消库之余按需采购为主，市场成交难见活跃。销售公司出货不畅，因此稳价走量为主，市场整体呈现价稳量淡局面。进入下周，国际原油价格进入震荡上扬区间，新一轮变化率或转为正向运行，消息面对市场有所支撑。另外，随着天气转暖，工矿基建开工增多，柴油需求将持续好转，私家车短途出行增多，汽油需求亦有一定支撑。业者入市适量补货，市场成交或稍有改善。预计西北地炼汽柴行情或小幅走高。</w:t>
      </w:r>
    </w:p>
    <w:p w:rsidR="00975441" w:rsidRPr="00975441" w:rsidRDefault="00975441" w:rsidP="00975441">
      <w:pPr>
        <w:pStyle w:val="aa"/>
        <w:ind w:firstLineChars="200" w:firstLine="560"/>
        <w:rPr>
          <w:rFonts w:ascii="华文仿宋" w:eastAsia="华文仿宋" w:hAnsi="华文仿宋" w:cs="华文仿宋"/>
          <w:sz w:val="28"/>
          <w:szCs w:val="28"/>
        </w:rPr>
      </w:pPr>
      <w:r w:rsidRPr="00975441">
        <w:rPr>
          <w:rFonts w:ascii="华文仿宋" w:eastAsia="华文仿宋" w:hAnsi="华文仿宋" w:cs="华文仿宋" w:hint="eastAsia"/>
          <w:sz w:val="28"/>
          <w:szCs w:val="28"/>
        </w:rPr>
        <w:t>西南地区汽柴行情跌后反弹，整体交投氛围维持清淡。分析来看：本周前期，国际油价区间震荡，消息面对市场指引有限。同时，主营单位本月销售任务多有欠量，因此汽柴价格多有回落。不过，业者多谨慎观望为主，市场成交气氛低迷。之后，国际油价连续收涨，本轮调价遭遇搁浅，消息面持续向好。部分地区主营单位趁机推价，汽柴价格再度反弹。但由于需求面整体平淡，业者大单补货仍显谨慎，市场成交仍显平淡。进入下周，国际油价或维持震荡上行，新一轮变化率正向区间运行，消息面对市场略有支撑。不过，下游需求提升有限，业者补货心态谨慎，市场成交或难有明显改善。预计下周西南地区汽柴行情仍有一定上行空间，主营优惠政策维持灵活。</w:t>
      </w:r>
    </w:p>
    <w:p w:rsidR="00FD6021" w:rsidRDefault="0014013A" w:rsidP="009D4595">
      <w:pPr>
        <w:rPr>
          <w:rFonts w:asciiTheme="minorEastAsia" w:eastAsiaTheme="minorEastAsia" w:hAnsiTheme="minorEastAsia"/>
          <w:sz w:val="28"/>
          <w:szCs w:val="28"/>
        </w:rPr>
      </w:pPr>
      <w:r>
        <w:rPr>
          <w:rFonts w:asciiTheme="minorEastAsia" w:eastAsiaTheme="minorEastAsia" w:hAnsiTheme="minorEastAsia" w:hint="eastAsia"/>
          <w:sz w:val="28"/>
          <w:szCs w:val="28"/>
        </w:rPr>
        <w:t>四、国内溶剂油市场综述</w:t>
      </w:r>
      <w:bookmarkEnd w:id="97"/>
      <w:bookmarkEnd w:id="105"/>
      <w:bookmarkEnd w:id="106"/>
      <w:bookmarkEnd w:id="107"/>
      <w:bookmarkEnd w:id="108"/>
    </w:p>
    <w:p w:rsidR="009B6343" w:rsidRPr="009B6343" w:rsidRDefault="0014013A" w:rsidP="009B6343">
      <w:pPr>
        <w:pStyle w:val="aa"/>
        <w:rPr>
          <w:rFonts w:ascii="华文仿宋" w:eastAsia="华文仿宋" w:hAnsi="华文仿宋" w:cs="华文仿宋"/>
          <w:sz w:val="28"/>
          <w:szCs w:val="28"/>
        </w:rPr>
      </w:pPr>
      <w:bookmarkStart w:id="109" w:name="_Toc505350015"/>
      <w:bookmarkStart w:id="110" w:name="_Toc460250411"/>
      <w:bookmarkEnd w:id="98"/>
      <w:bookmarkEnd w:id="99"/>
      <w:bookmarkEnd w:id="100"/>
      <w:bookmarkEnd w:id="101"/>
      <w:bookmarkEnd w:id="102"/>
      <w:r>
        <w:rPr>
          <w:sz w:val="21"/>
          <w:szCs w:val="21"/>
        </w:rPr>
        <w:t xml:space="preserve">　</w:t>
      </w:r>
      <w:r>
        <w:rPr>
          <w:rFonts w:ascii="华文仿宋" w:eastAsia="华文仿宋" w:hAnsi="华文仿宋" w:cs="华文仿宋" w:hint="eastAsia"/>
          <w:sz w:val="28"/>
          <w:szCs w:val="28"/>
        </w:rPr>
        <w:t xml:space="preserve">　</w:t>
      </w:r>
      <w:r w:rsidR="00744555">
        <w:rPr>
          <w:rFonts w:ascii="华文仿宋" w:eastAsia="华文仿宋" w:hAnsi="华文仿宋" w:cs="华文仿宋" w:hint="eastAsia"/>
          <w:sz w:val="28"/>
          <w:szCs w:val="28"/>
        </w:rPr>
        <w:t>本周</w:t>
      </w:r>
      <w:r w:rsidR="009B6343" w:rsidRPr="009B6343">
        <w:rPr>
          <w:rFonts w:ascii="华文仿宋" w:eastAsia="华文仿宋" w:hAnsi="华文仿宋" w:cs="华文仿宋"/>
          <w:sz w:val="28"/>
          <w:szCs w:val="28"/>
        </w:rPr>
        <w:t>国际原油布兰特原油期货下跌0.64美元，或0.9%，收报每桶67.86美元。美国原油期货下跌0.25美元，收报每桶59.98美元，盘中触及11月12日以来最高每桶60.33美元。油价周四下跌近1%，但仍持于2019年高点附近，受助于全球库存收紧、石油输出国组织(OPEC)减产以及美国对主要产油国伊朗和委内瑞拉实施制裁。不过豁免延期的可能正在施加影响。成品油调价本轮第6个工作日，</w:t>
      </w:r>
      <w:r w:rsidR="009B6343" w:rsidRPr="009B6343">
        <w:rPr>
          <w:rFonts w:ascii="华文仿宋" w:eastAsia="华文仿宋" w:hAnsi="华文仿宋" w:cs="华文仿宋"/>
          <w:sz w:val="28"/>
          <w:szCs w:val="28"/>
        </w:rPr>
        <w:lastRenderedPageBreak/>
        <w:t>原油估价64.713较基准价涨2.173或3.47%，暂预计3月28日24时成品油零限价上调95元/吨。溶剂油早评当前市场补仓气氛一般，碍于成本压力北方市场涨跌有限。由于原油收跌，预计今日溶剂油行业盘整运行，有限利好集中于清明假期前燃油备仓行情。截至3月22日，监测数据显示，两大集团国标6#溶剂油均价5550跌155元/吨，国标120#溶剂油均价6200跌65元/吨，国标200#溶剂油均价7775元/吨。山东地区国标6#溶剂油均价5160元/吨，国标120#溶剂油均价5050跌13元 /吨，国标200#溶剂油5612元/吨。非标120#溶剂油均价4900涨25元/吨;非标200#溶剂油均价4950元/吨。市场评述及后市预测油价周四下跌近1%，但仍持于2019年高点附近，受助于全球库存收紧、石油输出国组织(OPEC)减产以及美国对主要产油国伊朗和委内瑞拉实施制裁。不过豁免延期的可能正在施加影响。今日溶剂切割行业整体走稳，地方市场国标溶剂油基本维持横盘，仅非标溶剂油零星企业出现小幅让利。问题焦点在于原料供需出现问题，地炼切割原料蓄意挺价，下游切割企业负担难减，部分企业临时停车消化库存，致使开工率逐步下滑，闲置产能开始出现。供应量收紧暂时稳住底盘，但非长久之计。华东、华中主营市场本周继续整理盘位，抽提溶剂、橡胶溶剂油需求泛泛，长岭6#、120#公路价已压至5000元附近运行，预期后市守稳，变数不多。</w:t>
      </w:r>
    </w:p>
    <w:p w:rsidR="00F14AB6" w:rsidRPr="009B6343" w:rsidRDefault="00F14AB6" w:rsidP="00F14AB6">
      <w:pPr>
        <w:pStyle w:val="aa"/>
        <w:rPr>
          <w:rFonts w:ascii="华文仿宋" w:eastAsia="华文仿宋" w:hAnsi="华文仿宋"/>
          <w:sz w:val="28"/>
          <w:szCs w:val="28"/>
        </w:rPr>
      </w:pPr>
    </w:p>
    <w:p w:rsidR="004F1799" w:rsidRPr="00F14AB6" w:rsidRDefault="004F1799" w:rsidP="004F1799">
      <w:pPr>
        <w:pStyle w:val="aa"/>
        <w:rPr>
          <w:rFonts w:ascii="华文仿宋" w:eastAsia="华文仿宋" w:hAnsi="华文仿宋" w:cs="华文仿宋"/>
          <w:sz w:val="28"/>
          <w:szCs w:val="28"/>
        </w:rPr>
      </w:pPr>
    </w:p>
    <w:p w:rsidR="00791D07" w:rsidRPr="004F1799" w:rsidRDefault="00791D07" w:rsidP="00791D07">
      <w:pPr>
        <w:pStyle w:val="aa"/>
        <w:rPr>
          <w:rFonts w:ascii="华文仿宋" w:eastAsia="华文仿宋" w:hAnsi="华文仿宋" w:cs="华文仿宋"/>
          <w:sz w:val="28"/>
          <w:szCs w:val="28"/>
        </w:rPr>
      </w:pPr>
    </w:p>
    <w:p w:rsidR="00FD6021" w:rsidRPr="00B949E5" w:rsidRDefault="00FD6021">
      <w:pPr>
        <w:pStyle w:val="aa"/>
        <w:rPr>
          <w:rFonts w:ascii="华文仿宋" w:eastAsia="华文仿宋" w:hAnsi="华文仿宋"/>
          <w:sz w:val="28"/>
          <w:szCs w:val="28"/>
        </w:rPr>
      </w:pPr>
    </w:p>
    <w:p w:rsidR="00FD6021" w:rsidRDefault="0014013A">
      <w:pPr>
        <w:pStyle w:val="aa"/>
        <w:rPr>
          <w:rFonts w:ascii="黑体"/>
          <w:b/>
          <w:bCs/>
          <w:sz w:val="28"/>
          <w:szCs w:val="28"/>
        </w:rPr>
      </w:pPr>
      <w:r>
        <w:rPr>
          <w:rFonts w:ascii="黑体" w:hint="eastAsia"/>
          <w:b/>
          <w:bCs/>
          <w:sz w:val="28"/>
          <w:szCs w:val="28"/>
        </w:rPr>
        <w:lastRenderedPageBreak/>
        <w:t>五、本周国内炼厂溶剂油产品价格对比</w:t>
      </w:r>
      <w:bookmarkEnd w:id="103"/>
      <w:bookmarkEnd w:id="104"/>
      <w:bookmarkEnd w:id="109"/>
      <w:bookmarkEnd w:id="110"/>
    </w:p>
    <w:p w:rsidR="00FD6021" w:rsidRDefault="0014013A">
      <w:pPr>
        <w:rPr>
          <w:rFonts w:ascii="宋体" w:hAnsi="宋体"/>
          <w:sz w:val="20"/>
          <w:szCs w:val="20"/>
        </w:rPr>
      </w:pPr>
      <w:r>
        <w:rPr>
          <w:rFonts w:ascii="宋体" w:hAnsi="宋体" w:hint="eastAsia"/>
          <w:sz w:val="20"/>
          <w:szCs w:val="20"/>
        </w:rPr>
        <w:t>单位：元/吨</w:t>
      </w:r>
    </w:p>
    <w:p w:rsidR="00FD6021" w:rsidRDefault="00FD6021">
      <w:pPr>
        <w:rPr>
          <w:rFonts w:ascii="宋体" w:hAnsi="宋体"/>
          <w:sz w:val="20"/>
          <w:szCs w:val="20"/>
        </w:rPr>
      </w:pPr>
    </w:p>
    <w:tbl>
      <w:tblPr>
        <w:tblW w:w="9938" w:type="dxa"/>
        <w:tblLayout w:type="fixed"/>
        <w:tblCellMar>
          <w:top w:w="15" w:type="dxa"/>
          <w:left w:w="15" w:type="dxa"/>
          <w:bottom w:w="15" w:type="dxa"/>
          <w:right w:w="15" w:type="dxa"/>
        </w:tblCellMar>
        <w:tblLook w:val="04A0"/>
      </w:tblPr>
      <w:tblGrid>
        <w:gridCol w:w="1089"/>
        <w:gridCol w:w="1953"/>
        <w:gridCol w:w="1226"/>
        <w:gridCol w:w="955"/>
        <w:gridCol w:w="1171"/>
        <w:gridCol w:w="1011"/>
        <w:gridCol w:w="1245"/>
        <w:gridCol w:w="1288"/>
      </w:tblGrid>
      <w:tr w:rsidR="009B6343" w:rsidRPr="00997B04" w:rsidTr="00334BA1">
        <w:trPr>
          <w:trHeight w:val="286"/>
        </w:trPr>
        <w:tc>
          <w:tcPr>
            <w:tcW w:w="1089"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地区</w:t>
            </w:r>
          </w:p>
        </w:tc>
        <w:tc>
          <w:tcPr>
            <w:tcW w:w="1953"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生产厂家</w:t>
            </w:r>
          </w:p>
        </w:tc>
        <w:tc>
          <w:tcPr>
            <w:tcW w:w="122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产品名称</w:t>
            </w:r>
          </w:p>
        </w:tc>
        <w:tc>
          <w:tcPr>
            <w:tcW w:w="955"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型号</w:t>
            </w:r>
          </w:p>
        </w:tc>
        <w:tc>
          <w:tcPr>
            <w:tcW w:w="1171"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价格类型</w:t>
            </w:r>
          </w:p>
        </w:tc>
        <w:tc>
          <w:tcPr>
            <w:tcW w:w="1011"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hint="eastAsia"/>
                <w:sz w:val="28"/>
                <w:szCs w:val="28"/>
              </w:rPr>
              <w:t>涨跌</w:t>
            </w:r>
          </w:p>
        </w:tc>
        <w:tc>
          <w:tcPr>
            <w:tcW w:w="124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hint="eastAsia"/>
                <w:sz w:val="28"/>
                <w:szCs w:val="28"/>
              </w:rPr>
              <w:t>2019/3/22</w:t>
            </w:r>
          </w:p>
        </w:tc>
        <w:tc>
          <w:tcPr>
            <w:tcW w:w="128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hint="eastAsia"/>
                <w:sz w:val="28"/>
                <w:szCs w:val="28"/>
              </w:rPr>
              <w:t>2019/3/15</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4700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5150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5150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5240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5240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锦州石化精细化工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大庆精细化工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东北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大庆庆升</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乌鲁木齐石化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独山子石化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独山子石化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新疆康佳投资</w:t>
            </w:r>
            <w:r w:rsidRPr="00AB0E0A">
              <w:rPr>
                <w:rFonts w:ascii="华文仿宋" w:eastAsia="华文仿宋" w:hAnsi="华文仿宋" w:cs="Tahoma"/>
                <w:color w:val="000000"/>
                <w:sz w:val="28"/>
                <w:szCs w:val="28"/>
              </w:rPr>
              <w:t>(</w:t>
            </w:r>
            <w:r w:rsidRPr="00AB0E0A">
              <w:rPr>
                <w:rFonts w:ascii="华文仿宋" w:eastAsia="华文仿宋" w:hAnsi="华文仿宋" w:hint="eastAsia"/>
                <w:color w:val="000000"/>
                <w:sz w:val="28"/>
                <w:szCs w:val="28"/>
              </w:rPr>
              <w:t>集团</w:t>
            </w:r>
            <w:r w:rsidRPr="00AB0E0A">
              <w:rPr>
                <w:rFonts w:ascii="华文仿宋" w:eastAsia="华文仿宋" w:hAnsi="华文仿宋" w:cs="Tahoma"/>
                <w:color w:val="000000"/>
                <w:sz w:val="28"/>
                <w:szCs w:val="28"/>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新疆康佳投资(集团)</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吐哈油田</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西北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南充炼厂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石家庄炼厂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天津天泰实业</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沧州炼厂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140#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胜华化工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260#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淄博锐博化工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淄博胜炼</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150#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4900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4900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6000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6000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和利时石化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6000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6000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山东集兴化工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山东集兴化工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5700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5700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5700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山东东营旺豪</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6100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6100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6#窄</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4800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w:t>
            </w:r>
            <w:r w:rsidRPr="00AB0E0A">
              <w:rPr>
                <w:rFonts w:ascii="华文仿宋" w:eastAsia="华文仿宋" w:hAnsi="华文仿宋" w:cs="Tahoma"/>
                <w:color w:val="000000"/>
                <w:sz w:val="28"/>
                <w:szCs w:val="28"/>
              </w:rPr>
              <w:lastRenderedPageBreak/>
              <w:t>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lastRenderedPageBreak/>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4900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4900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山东东营旭辰化工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5900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5900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胜利桩西</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5000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4800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4800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淄博远达化工</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5000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青岛石化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济南炼厂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东明石化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7150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7150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金陵石化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5900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5900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金陵石化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7500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7500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扬子石化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扬子石化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镇海炼化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镇海炼化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高桥石化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6300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6300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高桥石化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90#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清江石化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杭州炼厂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泰州石化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8050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8050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金陵烷基苯厂</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华东</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扬州石化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宋体"/>
                <w:color w:val="000000"/>
                <w:sz w:val="28"/>
                <w:szCs w:val="28"/>
              </w:rPr>
            </w:pPr>
            <w:r w:rsidRPr="00AB0E0A">
              <w:rPr>
                <w:rFonts w:ascii="华文仿宋" w:eastAsia="华文仿宋" w:hAnsi="华文仿宋" w:hint="eastAsia"/>
                <w:color w:val="000000"/>
                <w:sz w:val="28"/>
                <w:szCs w:val="28"/>
              </w:rPr>
              <w:t>广州石化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广州石化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广州赫尔普公司</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广州赫尔普公司</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南海志德</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4400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南海志德</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4400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4400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南方石油</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南方石油</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九江石化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九江石化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茂名华粤</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茂名华粤</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260#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华南</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福建联合</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lastRenderedPageBreak/>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中原石化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洛阳石化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洛阳石化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5660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5660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5130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5130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长岭炼化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巴陵石化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110#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巴陵石化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7200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7200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南阳石化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武汉石化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r w:rsidR="009B6343" w:rsidRPr="00997B04" w:rsidTr="00505881">
        <w:trPr>
          <w:trHeight w:val="256"/>
        </w:trPr>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华中</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color w:val="000000"/>
                <w:sz w:val="28"/>
                <w:szCs w:val="28"/>
              </w:rPr>
            </w:pPr>
            <w:r w:rsidRPr="00AB0E0A">
              <w:rPr>
                <w:rFonts w:ascii="华文仿宋" w:eastAsia="华文仿宋" w:hAnsi="华文仿宋" w:cs="Tahoma"/>
                <w:color w:val="000000"/>
                <w:sz w:val="28"/>
                <w:szCs w:val="28"/>
              </w:rPr>
              <w:t>武汉石化</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溶剂油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343" w:rsidRPr="00AB0E0A" w:rsidRDefault="009B6343">
            <w:pPr>
              <w:jc w:val="center"/>
              <w:rPr>
                <w:rFonts w:ascii="华文仿宋" w:eastAsia="华文仿宋" w:hAnsi="华文仿宋" w:cs="Tahoma"/>
                <w:sz w:val="28"/>
                <w:szCs w:val="28"/>
              </w:rPr>
            </w:pPr>
            <w:r w:rsidRPr="00AB0E0A">
              <w:rPr>
                <w:rFonts w:ascii="华文仿宋" w:eastAsia="华文仿宋" w:hAnsi="华文仿宋" w:cs="Tahoma"/>
                <w:sz w:val="28"/>
                <w:szCs w:val="28"/>
              </w:rPr>
              <w:t>120#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6343" w:rsidRPr="00AB0E0A" w:rsidRDefault="009B6343">
            <w:pPr>
              <w:jc w:val="center"/>
              <w:rPr>
                <w:rFonts w:ascii="华文仿宋" w:eastAsia="华文仿宋" w:hAnsi="华文仿宋" w:cs="宋体"/>
                <w:sz w:val="28"/>
                <w:szCs w:val="28"/>
              </w:rPr>
            </w:pPr>
            <w:r w:rsidRPr="00AB0E0A">
              <w:rPr>
                <w:rFonts w:ascii="华文仿宋" w:eastAsia="华文仿宋" w:hAnsi="华文仿宋" w:hint="eastAsia"/>
                <w:sz w:val="28"/>
                <w:szCs w:val="28"/>
              </w:rPr>
              <w:t>出厂价</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6343" w:rsidRPr="009B6343" w:rsidRDefault="009B6343">
            <w:pPr>
              <w:jc w:val="center"/>
              <w:rPr>
                <w:rFonts w:ascii="华文仿宋" w:eastAsia="华文仿宋" w:hAnsi="华文仿宋"/>
                <w:sz w:val="28"/>
                <w:szCs w:val="28"/>
              </w:rPr>
            </w:pPr>
            <w:r w:rsidRPr="009B6343">
              <w:rPr>
                <w:rFonts w:ascii="华文仿宋" w:eastAsia="华文仿宋" w:hAnsi="华文仿宋"/>
                <w:sz w:val="28"/>
                <w:szCs w:val="28"/>
              </w:rPr>
              <w:t>0</w:t>
            </w:r>
          </w:p>
        </w:tc>
      </w:tr>
    </w:tbl>
    <w:p w:rsidR="00FD6021" w:rsidRDefault="00FD6021">
      <w:pPr>
        <w:widowControl/>
        <w:jc w:val="center"/>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111" w:name="_Toc460250412"/>
      <w:bookmarkStart w:id="112" w:name="_Toc281568213"/>
      <w:bookmarkStart w:id="113" w:name="_Toc296600821"/>
      <w:bookmarkStart w:id="114" w:name="_Toc505350016"/>
      <w:bookmarkStart w:id="115" w:name="_Toc536797020"/>
      <w:bookmarkStart w:id="116" w:name="_Toc1736591"/>
      <w:bookmarkStart w:id="117" w:name="_Toc2934033"/>
      <w:bookmarkStart w:id="118" w:name="_Toc2934054"/>
      <w:bookmarkStart w:id="119" w:name="_Toc4160093"/>
      <w:r>
        <w:rPr>
          <w:rFonts w:ascii="黑体" w:hAnsi="宋体" w:hint="eastAsia"/>
          <w:sz w:val="28"/>
          <w:szCs w:val="28"/>
        </w:rPr>
        <w:t>六、D系列特种溶剂油</w:t>
      </w:r>
      <w:bookmarkEnd w:id="111"/>
      <w:bookmarkEnd w:id="112"/>
      <w:bookmarkEnd w:id="113"/>
      <w:bookmarkEnd w:id="114"/>
      <w:bookmarkEnd w:id="115"/>
      <w:bookmarkEnd w:id="116"/>
      <w:bookmarkEnd w:id="117"/>
      <w:bookmarkEnd w:id="118"/>
      <w:bookmarkEnd w:id="119"/>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822" w:type="dxa"/>
        <w:tblLayout w:type="fixed"/>
        <w:tblCellMar>
          <w:top w:w="15" w:type="dxa"/>
          <w:left w:w="15" w:type="dxa"/>
          <w:bottom w:w="15" w:type="dxa"/>
          <w:right w:w="15" w:type="dxa"/>
        </w:tblCellMar>
        <w:tblLook w:val="04A0"/>
      </w:tblPr>
      <w:tblGrid>
        <w:gridCol w:w="1008"/>
        <w:gridCol w:w="1559"/>
        <w:gridCol w:w="1276"/>
        <w:gridCol w:w="850"/>
        <w:gridCol w:w="1418"/>
        <w:gridCol w:w="992"/>
        <w:gridCol w:w="1276"/>
        <w:gridCol w:w="1338"/>
        <w:gridCol w:w="105"/>
      </w:tblGrid>
      <w:tr w:rsidR="00914B70" w:rsidRPr="00997B04" w:rsidTr="00505881">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地区</w:t>
            </w:r>
          </w:p>
        </w:tc>
        <w:tc>
          <w:tcPr>
            <w:tcW w:w="155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生产厂家</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产品名称</w:t>
            </w:r>
          </w:p>
        </w:tc>
        <w:tc>
          <w:tcPr>
            <w:tcW w:w="85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型号</w:t>
            </w:r>
          </w:p>
        </w:tc>
        <w:tc>
          <w:tcPr>
            <w:tcW w:w="141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价格类型</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涨跌</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2019/3/22</w:t>
            </w:r>
          </w:p>
        </w:tc>
        <w:tc>
          <w:tcPr>
            <w:tcW w:w="1443" w:type="dxa"/>
            <w:gridSpan w:val="2"/>
            <w:tcBorders>
              <w:top w:val="single" w:sz="4" w:space="0" w:color="auto"/>
              <w:bottom w:val="single" w:sz="4" w:space="0" w:color="auto"/>
              <w:right w:val="single" w:sz="4" w:space="0" w:color="auto"/>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2019/3/15</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6100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7800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7900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7800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7800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6700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6700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沧州炼厂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6600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6600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上海高桥爱思开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6900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7400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7200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7900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8000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7200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7800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7200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7800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清江石化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6100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6100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6100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金陵石化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6300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7650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7650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7100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D65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7100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7100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7100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茂名实华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7300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7300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lastRenderedPageBreak/>
              <w:t>东北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抚顺石化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RPr="00997B04" w:rsidTr="00AB4BD8">
        <w:trPr>
          <w:gridAfter w:val="1"/>
          <w:wAfter w:w="105" w:type="dxa"/>
          <w:trHeight w:val="286"/>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洛阳金达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D系列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D2BBF" w:rsidRDefault="00914B70">
            <w:pPr>
              <w:jc w:val="center"/>
              <w:rPr>
                <w:rFonts w:ascii="华文仿宋" w:eastAsia="华文仿宋" w:hAnsi="华文仿宋" w:cs="Tahoma"/>
                <w:sz w:val="28"/>
                <w:szCs w:val="28"/>
              </w:rPr>
            </w:pPr>
            <w:r w:rsidRPr="00FD2BBF">
              <w:rPr>
                <w:rFonts w:ascii="华文仿宋" w:eastAsia="华文仿宋" w:hAnsi="华文仿宋" w:cs="Tahoma"/>
                <w:sz w:val="28"/>
                <w:szCs w:val="28"/>
              </w:rPr>
              <w:t>D100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D2BBF" w:rsidRDefault="00914B70">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338" w:type="dxa"/>
            <w:tcBorders>
              <w:top w:val="single" w:sz="4" w:space="0" w:color="auto"/>
              <w:bottom w:val="single" w:sz="4" w:space="0" w:color="auto"/>
              <w:right w:val="single" w:sz="4" w:space="0" w:color="auto"/>
            </w:tcBorders>
            <w:shd w:val="clear" w:color="auto" w:fill="auto"/>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20" w:name="_Toc281568214"/>
      <w:bookmarkStart w:id="121" w:name="_Toc505350017"/>
      <w:bookmarkStart w:id="122" w:name="_Toc460250413"/>
      <w:bookmarkStart w:id="123" w:name="_Toc296600822"/>
      <w:bookmarkStart w:id="124" w:name="_Toc536797021"/>
      <w:bookmarkStart w:id="125" w:name="_Toc1736592"/>
      <w:bookmarkStart w:id="126" w:name="_Toc2934034"/>
      <w:bookmarkStart w:id="127" w:name="_Toc2934055"/>
      <w:bookmarkStart w:id="128" w:name="_Toc4160094"/>
      <w:r>
        <w:rPr>
          <w:rFonts w:ascii="华文仿宋" w:eastAsia="华文仿宋" w:hAnsi="华文仿宋" w:hint="eastAsia"/>
          <w:bCs w:val="0"/>
          <w:kern w:val="2"/>
          <w:sz w:val="28"/>
          <w:szCs w:val="28"/>
        </w:rPr>
        <w:t>七、重芳烃溶剂油</w:t>
      </w:r>
      <w:bookmarkEnd w:id="120"/>
      <w:bookmarkEnd w:id="121"/>
      <w:bookmarkEnd w:id="122"/>
      <w:bookmarkEnd w:id="123"/>
      <w:bookmarkEnd w:id="124"/>
      <w:bookmarkEnd w:id="125"/>
      <w:bookmarkEnd w:id="126"/>
      <w:bookmarkEnd w:id="127"/>
      <w:bookmarkEnd w:id="128"/>
    </w:p>
    <w:p w:rsidR="00FD6021" w:rsidRDefault="0014013A">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938" w:type="dxa"/>
        <w:tblLayout w:type="fixed"/>
        <w:tblCellMar>
          <w:top w:w="15" w:type="dxa"/>
          <w:left w:w="15" w:type="dxa"/>
          <w:bottom w:w="15" w:type="dxa"/>
          <w:right w:w="15" w:type="dxa"/>
        </w:tblCellMar>
        <w:tblLook w:val="04A0"/>
      </w:tblPr>
      <w:tblGrid>
        <w:gridCol w:w="1149"/>
        <w:gridCol w:w="1701"/>
        <w:gridCol w:w="1418"/>
        <w:gridCol w:w="992"/>
        <w:gridCol w:w="1276"/>
        <w:gridCol w:w="992"/>
        <w:gridCol w:w="1276"/>
        <w:gridCol w:w="1134"/>
      </w:tblGrid>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地区</w:t>
            </w:r>
          </w:p>
        </w:tc>
        <w:tc>
          <w:tcPr>
            <w:tcW w:w="1701"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生产厂家</w:t>
            </w:r>
          </w:p>
        </w:tc>
        <w:tc>
          <w:tcPr>
            <w:tcW w:w="1418"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产品名称</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型号</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价格类型</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涨跌</w:t>
            </w:r>
          </w:p>
        </w:tc>
        <w:tc>
          <w:tcPr>
            <w:tcW w:w="127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2019/3/22</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2019/3/15</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丹阳联东化工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混三甲苯-1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丹阳联东化工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混三甲苯-3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丹阳联东化工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混四甲苯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w:t>
            </w:r>
            <w:r w:rsidRPr="00F14AB6">
              <w:rPr>
                <w:rFonts w:ascii="华文仿宋" w:eastAsia="华文仿宋" w:hAnsi="华文仿宋" w:hint="eastAsia"/>
                <w:sz w:val="28"/>
                <w:szCs w:val="28"/>
              </w:rPr>
              <w:lastRenderedPageBreak/>
              <w:t>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云合化工厂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S-2300#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5800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5000</w:t>
            </w:r>
          </w:p>
        </w:tc>
      </w:tr>
      <w:tr w:rsidR="00914B70" w:rsidTr="00997B04">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常熟联邦</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5600</w:t>
            </w:r>
          </w:p>
        </w:tc>
      </w:tr>
      <w:tr w:rsidR="00914B70" w:rsidTr="00997B04">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4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S1501#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S1800A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溧阳诚兴化工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S1800B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6850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7000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6100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华东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江苏华伦化工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燕化高新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燕化高新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淄博锐博化</w:t>
            </w:r>
            <w:r w:rsidRPr="00F14AB6">
              <w:rPr>
                <w:rFonts w:ascii="华文仿宋" w:eastAsia="华文仿宋" w:hAnsi="华文仿宋" w:cs="Tahoma"/>
                <w:sz w:val="28"/>
                <w:szCs w:val="28"/>
              </w:rPr>
              <w:lastRenderedPageBreak/>
              <w:t>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lastRenderedPageBreak/>
              <w:t>芳烃溶剂</w:t>
            </w:r>
            <w:r w:rsidRPr="00F14AB6">
              <w:rPr>
                <w:rFonts w:ascii="华文仿宋" w:eastAsia="华文仿宋" w:hAnsi="华文仿宋" w:hint="eastAsia"/>
                <w:sz w:val="28"/>
                <w:szCs w:val="28"/>
              </w:rPr>
              <w:lastRenderedPageBreak/>
              <w:t>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S100A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5500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淄博锐博化工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5400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5200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4400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4400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天津兴实化工有限公司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混合芳烃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加氢白C9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C9馏分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lastRenderedPageBreak/>
              <w:t>华北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北京西贝明国际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C5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长岭炼化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混合甲乙苯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长岭炼化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混合三甲苯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洛阳宇晶</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华中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洛阳宇晶</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S1500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东北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辽阳化纤</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东北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辽阳化纤</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r w:rsidR="00914B70" w:rsidTr="00997B04">
        <w:trPr>
          <w:trHeight w:val="286"/>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东北</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辽阳化纤</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芳烃溶剂油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B70" w:rsidRPr="00F14AB6" w:rsidRDefault="00914B70">
            <w:pPr>
              <w:jc w:val="center"/>
              <w:rPr>
                <w:rFonts w:ascii="华文仿宋" w:eastAsia="华文仿宋" w:hAnsi="华文仿宋" w:cs="Tahoma"/>
                <w:sz w:val="28"/>
                <w:szCs w:val="28"/>
              </w:rPr>
            </w:pPr>
            <w:r w:rsidRPr="00F14AB6">
              <w:rPr>
                <w:rFonts w:ascii="华文仿宋" w:eastAsia="华文仿宋" w:hAnsi="华文仿宋" w:cs="Tahoma"/>
                <w:sz w:val="28"/>
                <w:szCs w:val="2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F14AB6" w:rsidRDefault="00914B70">
            <w:pPr>
              <w:jc w:val="center"/>
              <w:rPr>
                <w:rFonts w:ascii="华文仿宋" w:eastAsia="华文仿宋" w:hAnsi="华文仿宋" w:cs="宋体"/>
                <w:sz w:val="28"/>
                <w:szCs w:val="28"/>
              </w:rPr>
            </w:pPr>
            <w:r w:rsidRPr="00F14AB6">
              <w:rPr>
                <w:rFonts w:ascii="华文仿宋" w:eastAsia="华文仿宋" w:hAnsi="华文仿宋" w:hint="eastAsia"/>
                <w:sz w:val="28"/>
                <w:szCs w:val="28"/>
              </w:rPr>
              <w:t>出厂价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hint="eastAsia"/>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B70" w:rsidRPr="00914B70" w:rsidRDefault="00914B70">
            <w:pPr>
              <w:jc w:val="center"/>
              <w:rPr>
                <w:rFonts w:ascii="华文仿宋" w:eastAsia="华文仿宋" w:hAnsi="华文仿宋"/>
                <w:sz w:val="28"/>
                <w:szCs w:val="28"/>
              </w:rPr>
            </w:pPr>
            <w:r w:rsidRPr="00914B70">
              <w:rPr>
                <w:rFonts w:ascii="华文仿宋" w:eastAsia="华文仿宋" w:hAnsi="华文仿宋"/>
                <w:sz w:val="28"/>
                <w:szCs w:val="28"/>
              </w:rPr>
              <w:t>0</w:t>
            </w:r>
          </w:p>
        </w:tc>
      </w:tr>
    </w:tbl>
    <w:p w:rsidR="00FD6021" w:rsidRDefault="00FD6021">
      <w:pPr>
        <w:autoSpaceDE w:val="0"/>
        <w:autoSpaceDN w:val="0"/>
        <w:adjustRightInd w:val="0"/>
        <w:ind w:firstLineChars="50" w:firstLine="140"/>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29" w:name="_Toc296600823"/>
      <w:bookmarkStart w:id="130" w:name="_Toc505350018"/>
      <w:bookmarkStart w:id="131" w:name="_Toc281568215"/>
      <w:bookmarkStart w:id="132" w:name="_Toc460250414"/>
      <w:bookmarkStart w:id="133" w:name="_Toc180485835"/>
      <w:bookmarkStart w:id="134" w:name="_Toc536797022"/>
      <w:bookmarkStart w:id="135" w:name="_Toc1736593"/>
      <w:bookmarkStart w:id="136" w:name="_Toc2934035"/>
      <w:bookmarkStart w:id="137" w:name="_Toc2934056"/>
      <w:bookmarkStart w:id="138" w:name="_Toc4160095"/>
      <w:r>
        <w:rPr>
          <w:rFonts w:ascii="华文仿宋" w:eastAsia="华文仿宋" w:hAnsi="华文仿宋" w:hint="eastAsia"/>
          <w:bCs w:val="0"/>
          <w:kern w:val="2"/>
          <w:sz w:val="28"/>
          <w:szCs w:val="28"/>
        </w:rPr>
        <w:lastRenderedPageBreak/>
        <w:t>八、正己烷</w:t>
      </w:r>
      <w:bookmarkEnd w:id="129"/>
      <w:bookmarkEnd w:id="130"/>
      <w:bookmarkEnd w:id="131"/>
      <w:bookmarkEnd w:id="132"/>
      <w:bookmarkEnd w:id="133"/>
      <w:bookmarkEnd w:id="134"/>
      <w:bookmarkEnd w:id="135"/>
      <w:bookmarkEnd w:id="136"/>
      <w:bookmarkEnd w:id="137"/>
      <w:bookmarkEnd w:id="138"/>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9776" w:type="dxa"/>
        <w:tblLayout w:type="fixed"/>
        <w:tblCellMar>
          <w:top w:w="15" w:type="dxa"/>
          <w:left w:w="15" w:type="dxa"/>
          <w:bottom w:w="15" w:type="dxa"/>
          <w:right w:w="15" w:type="dxa"/>
        </w:tblCellMar>
        <w:tblLook w:val="04A0"/>
      </w:tblPr>
      <w:tblGrid>
        <w:gridCol w:w="1369"/>
        <w:gridCol w:w="1370"/>
        <w:gridCol w:w="1369"/>
        <w:gridCol w:w="1370"/>
        <w:gridCol w:w="1369"/>
        <w:gridCol w:w="1560"/>
        <w:gridCol w:w="1369"/>
      </w:tblGrid>
      <w:tr w:rsidR="00997B04">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97B04" w:rsidRPr="00FD2BBF" w:rsidRDefault="00997B04">
            <w:pPr>
              <w:jc w:val="center"/>
              <w:rPr>
                <w:rFonts w:ascii="华文仿宋" w:eastAsia="华文仿宋" w:hAnsi="华文仿宋" w:cs="宋体"/>
                <w:sz w:val="28"/>
                <w:szCs w:val="28"/>
              </w:rPr>
            </w:pPr>
            <w:bookmarkStart w:id="139" w:name="_GoBack"/>
            <w:r w:rsidRPr="00FD2BBF">
              <w:rPr>
                <w:rFonts w:ascii="华文仿宋" w:eastAsia="华文仿宋" w:hAnsi="华文仿宋" w:hint="eastAsia"/>
                <w:sz w:val="28"/>
                <w:szCs w:val="28"/>
              </w:rPr>
              <w:t>地区</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生产厂家</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产品名称</w:t>
            </w:r>
          </w:p>
        </w:tc>
        <w:tc>
          <w:tcPr>
            <w:tcW w:w="137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价格类型</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涨跌</w:t>
            </w:r>
          </w:p>
        </w:tc>
        <w:tc>
          <w:tcPr>
            <w:tcW w:w="156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hint="eastAsia"/>
                <w:sz w:val="28"/>
                <w:szCs w:val="28"/>
              </w:rPr>
              <w:t>2019/3/15</w:t>
            </w:r>
          </w:p>
        </w:tc>
        <w:tc>
          <w:tcPr>
            <w:tcW w:w="13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hint="eastAsia"/>
                <w:sz w:val="28"/>
                <w:szCs w:val="28"/>
              </w:rPr>
              <w:t>2019/3/8</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燕山石化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华北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燕山集联</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大连石化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辽阳石化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辽阳裕丰</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东北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辽阳亿鑫</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华中</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岳阳金瀚</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7000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7000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华东</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扬子石化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6950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7250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华南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广州赫尔普</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7500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西北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兰州石化</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7100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8300</w:t>
            </w:r>
          </w:p>
        </w:tc>
      </w:tr>
      <w:tr w:rsidR="00997B04" w:rsidTr="002A4F6D">
        <w:trPr>
          <w:trHeight w:val="286"/>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Tahoma"/>
                <w:sz w:val="28"/>
                <w:szCs w:val="28"/>
              </w:rPr>
            </w:pPr>
            <w:r w:rsidRPr="00FD2BBF">
              <w:rPr>
                <w:rFonts w:ascii="华文仿宋" w:eastAsia="华文仿宋" w:hAnsi="华文仿宋" w:cs="Tahoma"/>
                <w:sz w:val="28"/>
                <w:szCs w:val="28"/>
              </w:rPr>
              <w:t>西北</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克拉玛依</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正己烷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出厂价</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B04" w:rsidRPr="00FD2BBF" w:rsidRDefault="00997B04">
            <w:pPr>
              <w:jc w:val="center"/>
              <w:rPr>
                <w:rFonts w:ascii="华文仿宋" w:eastAsia="华文仿宋" w:hAnsi="华文仿宋" w:cs="宋体"/>
                <w:sz w:val="28"/>
                <w:szCs w:val="28"/>
              </w:rPr>
            </w:pPr>
            <w:r w:rsidRPr="00FD2BBF">
              <w:rPr>
                <w:rFonts w:ascii="华文仿宋" w:eastAsia="华文仿宋" w:hAnsi="华文仿宋" w:hint="eastAsia"/>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B04" w:rsidRPr="00997B04" w:rsidRDefault="00997B04">
            <w:pPr>
              <w:jc w:val="center"/>
              <w:rPr>
                <w:rFonts w:ascii="华文仿宋" w:eastAsia="华文仿宋" w:hAnsi="华文仿宋"/>
                <w:sz w:val="28"/>
                <w:szCs w:val="28"/>
              </w:rPr>
            </w:pPr>
            <w:r w:rsidRPr="00997B04">
              <w:rPr>
                <w:rFonts w:ascii="华文仿宋" w:eastAsia="华文仿宋" w:hAnsi="华文仿宋"/>
                <w:sz w:val="28"/>
                <w:szCs w:val="28"/>
              </w:rPr>
              <w:t>0</w:t>
            </w:r>
          </w:p>
        </w:tc>
      </w:tr>
      <w:bookmarkEnd w:id="139"/>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FD6021" w:rsidRDefault="001401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140" w:name="_Toc296600824"/>
      <w:bookmarkStart w:id="141" w:name="_Toc281568216"/>
      <w:bookmarkStart w:id="142" w:name="_Toc460250415"/>
      <w:bookmarkStart w:id="143" w:name="_Toc505350019"/>
      <w:bookmarkStart w:id="144" w:name="_Toc536797023"/>
      <w:bookmarkStart w:id="145" w:name="_Toc1736594"/>
      <w:bookmarkStart w:id="146" w:name="_Toc2934036"/>
      <w:bookmarkStart w:id="147" w:name="_Toc2934057"/>
      <w:bookmarkStart w:id="148" w:name="_Toc4160096"/>
      <w:r>
        <w:rPr>
          <w:rFonts w:ascii="华文仿宋" w:eastAsia="华文仿宋" w:hAnsi="华文仿宋" w:hint="eastAsia"/>
          <w:bCs w:val="0"/>
          <w:kern w:val="2"/>
          <w:sz w:val="28"/>
          <w:szCs w:val="28"/>
        </w:rPr>
        <w:lastRenderedPageBreak/>
        <w:t>九、2018年11月中国溶剂油进出口数据统计</w:t>
      </w:r>
      <w:bookmarkEnd w:id="140"/>
      <w:bookmarkEnd w:id="141"/>
      <w:bookmarkEnd w:id="142"/>
      <w:bookmarkEnd w:id="143"/>
      <w:bookmarkEnd w:id="144"/>
      <w:bookmarkEnd w:id="145"/>
      <w:bookmarkEnd w:id="146"/>
      <w:bookmarkEnd w:id="147"/>
      <w:bookmarkEnd w:id="148"/>
    </w:p>
    <w:p w:rsidR="00FD6021" w:rsidRDefault="00FD6021"/>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2018年11月份中国溶剂油进出口统计数据（按产销国分）</w:t>
      </w:r>
    </w:p>
    <w:p w:rsidR="00FD6021" w:rsidRDefault="0014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66" w:type="dxa"/>
        <w:tblInd w:w="-10" w:type="dxa"/>
        <w:tblLayout w:type="fixed"/>
        <w:tblCellMar>
          <w:left w:w="0" w:type="dxa"/>
          <w:right w:w="0" w:type="dxa"/>
        </w:tblCellMar>
        <w:tblLook w:val="04A0"/>
      </w:tblPr>
      <w:tblGrid>
        <w:gridCol w:w="1065"/>
        <w:gridCol w:w="1066"/>
        <w:gridCol w:w="1065"/>
        <w:gridCol w:w="1480"/>
        <w:gridCol w:w="1361"/>
        <w:gridCol w:w="1401"/>
        <w:gridCol w:w="1263"/>
        <w:gridCol w:w="1065"/>
      </w:tblGrid>
      <w:tr w:rsidR="00FD6021">
        <w:trPr>
          <w:trHeight w:val="270"/>
        </w:trPr>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产品</w:t>
            </w:r>
          </w:p>
        </w:tc>
        <w:tc>
          <w:tcPr>
            <w:tcW w:w="106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年度</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月度</w:t>
            </w:r>
          </w:p>
        </w:tc>
        <w:tc>
          <w:tcPr>
            <w:tcW w:w="148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产销国及地区</w:t>
            </w:r>
          </w:p>
        </w:tc>
        <w:tc>
          <w:tcPr>
            <w:tcW w:w="136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进口数量</w:t>
            </w:r>
          </w:p>
        </w:tc>
        <w:tc>
          <w:tcPr>
            <w:tcW w:w="140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进口金额</w:t>
            </w:r>
          </w:p>
        </w:tc>
        <w:tc>
          <w:tcPr>
            <w:tcW w:w="126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出口数量</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出口金额</w:t>
            </w:r>
          </w:p>
        </w:tc>
      </w:tr>
      <w:tr w:rsidR="00FD6021">
        <w:trPr>
          <w:trHeight w:val="27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橡胶溶剂油、油漆溶剂油、抽提溶剂油、不含有生物柴油</w:t>
            </w: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584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676,913</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525,861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389,957</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225,910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59,916</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24,848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17,038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1,564</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西班牙</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829</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以色列</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502</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柬埔寨</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13,051</w:t>
            </w:r>
          </w:p>
        </w:tc>
      </w:tr>
      <w:tr w:rsidR="00FD6021">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FD6021">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93,560</w:t>
            </w:r>
          </w:p>
        </w:tc>
      </w:tr>
      <w:tr w:rsidR="00FD6021">
        <w:trPr>
          <w:trHeight w:val="270"/>
        </w:trPr>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2018年11月</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1,598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1,921,774</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133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D6021" w:rsidRDefault="0014013A">
            <w:pPr>
              <w:widowControl/>
              <w:jc w:val="left"/>
              <w:rPr>
                <w:rFonts w:ascii="华文仿宋" w:eastAsia="华文仿宋" w:hAnsi="华文仿宋" w:cs="华文仿宋"/>
                <w:color w:val="000000"/>
                <w:sz w:val="28"/>
                <w:szCs w:val="28"/>
              </w:rPr>
            </w:pPr>
            <w:r>
              <w:rPr>
                <w:rStyle w:val="ab"/>
                <w:rFonts w:ascii="华文仿宋" w:eastAsia="华文仿宋" w:hAnsi="华文仿宋" w:cs="华文仿宋" w:hint="eastAsia"/>
                <w:color w:val="000000"/>
                <w:kern w:val="0"/>
                <w:sz w:val="28"/>
                <w:szCs w:val="28"/>
              </w:rPr>
              <w:t>108,175</w:t>
            </w:r>
          </w:p>
        </w:tc>
      </w:tr>
    </w:tbl>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FD6021" w:rsidRDefault="00FD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p w:rsidR="00FD6021" w:rsidRDefault="00FD6021">
      <w:pPr>
        <w:widowControl/>
        <w:jc w:val="center"/>
        <w:rPr>
          <w:rFonts w:ascii="华文仿宋" w:eastAsia="华文仿宋" w:hAnsi="华文仿宋"/>
          <w:sz w:val="28"/>
          <w:szCs w:val="28"/>
        </w:rPr>
      </w:pPr>
    </w:p>
    <w:sectPr w:rsidR="00FD6021" w:rsidSect="00FD6021">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F3" w:rsidRDefault="001F19F3" w:rsidP="00FD6021">
      <w:r>
        <w:separator/>
      </w:r>
    </w:p>
  </w:endnote>
  <w:endnote w:type="continuationSeparator" w:id="1">
    <w:p w:rsidR="001F19F3" w:rsidRDefault="001F19F3" w:rsidP="00FD6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6D" w:rsidRDefault="00F27D6D">
    <w:pPr>
      <w:pStyle w:val="a7"/>
      <w:jc w:val="center"/>
    </w:pPr>
    <w:r>
      <w:rPr>
        <w:b/>
        <w:bCs/>
        <w:sz w:val="24"/>
        <w:szCs w:val="24"/>
      </w:rPr>
      <w:fldChar w:fldCharType="begin"/>
    </w:r>
    <w:r>
      <w:rPr>
        <w:b/>
        <w:bCs/>
      </w:rPr>
      <w:instrText>PAGE</w:instrText>
    </w:r>
    <w:r>
      <w:rPr>
        <w:b/>
        <w:bCs/>
        <w:sz w:val="24"/>
        <w:szCs w:val="24"/>
      </w:rPr>
      <w:fldChar w:fldCharType="separate"/>
    </w:r>
    <w:r w:rsidR="00DB617D">
      <w:rPr>
        <w:b/>
        <w:bCs/>
        <w:noProof/>
      </w:rPr>
      <w:t>26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B617D">
      <w:rPr>
        <w:b/>
        <w:bCs/>
        <w:noProof/>
      </w:rPr>
      <w:t>41</w:t>
    </w:r>
    <w:r>
      <w:rPr>
        <w:b/>
        <w:bCs/>
        <w:sz w:val="24"/>
        <w:szCs w:val="24"/>
      </w:rPr>
      <w:fldChar w:fldCharType="end"/>
    </w:r>
  </w:p>
  <w:p w:rsidR="00F27D6D" w:rsidRDefault="00F27D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F3" w:rsidRDefault="001F19F3" w:rsidP="00FD6021">
      <w:r>
        <w:separator/>
      </w:r>
    </w:p>
  </w:footnote>
  <w:footnote w:type="continuationSeparator" w:id="1">
    <w:p w:rsidR="001F19F3" w:rsidRDefault="001F19F3" w:rsidP="00FD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6D" w:rsidRDefault="00F27D6D">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F27D6D" w:rsidRDefault="00F27D6D" w:rsidP="00B93322">
    <w:pPr>
      <w:pStyle w:val="a8"/>
      <w:pBdr>
        <w:bottom w:val="none" w:sz="0" w:space="0" w:color="auto"/>
      </w:pBdr>
      <w:tabs>
        <w:tab w:val="clear" w:pos="8306"/>
        <w:tab w:val="left" w:pos="4200"/>
        <w:tab w:val="left" w:pos="4620"/>
      </w:tabs>
      <w:jc w:val="left"/>
    </w:pPr>
    <w:r>
      <w:tab/>
    </w:r>
    <w:r>
      <w:tab/>
    </w:r>
    <w:r>
      <w:tab/>
    </w:r>
    <w:r>
      <w:tab/>
    </w:r>
  </w:p>
  <w:p w:rsidR="00F27D6D" w:rsidRDefault="00F27D6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num" w:pos="312"/>
        </w:tabs>
      </w:pPr>
    </w:lvl>
  </w:abstractNum>
  <w:abstractNum w:abstractNumId="1">
    <w:nsid w:val="2E66BECC"/>
    <w:multiLevelType w:val="singleLevel"/>
    <w:tmpl w:val="2E66BECC"/>
    <w:lvl w:ilvl="0">
      <w:start w:val="1"/>
      <w:numFmt w:val="decimal"/>
      <w:suff w:val="nothing"/>
      <w:lvlText w:val="%1、"/>
      <w:lvlJc w:val="left"/>
    </w:lvl>
  </w:abstractNum>
  <w:abstractNum w:abstractNumId="2">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4514"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4CFF"/>
    <w:rsid w:val="000071C7"/>
    <w:rsid w:val="00007808"/>
    <w:rsid w:val="000121DE"/>
    <w:rsid w:val="000130B9"/>
    <w:rsid w:val="00013FDF"/>
    <w:rsid w:val="00020192"/>
    <w:rsid w:val="0003360D"/>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5ADA"/>
    <w:rsid w:val="000862A0"/>
    <w:rsid w:val="00087B10"/>
    <w:rsid w:val="00096A95"/>
    <w:rsid w:val="00097DEF"/>
    <w:rsid w:val="000A0D0E"/>
    <w:rsid w:val="000B1002"/>
    <w:rsid w:val="000B1594"/>
    <w:rsid w:val="000B2483"/>
    <w:rsid w:val="000B4670"/>
    <w:rsid w:val="000C4C8D"/>
    <w:rsid w:val="000D02E6"/>
    <w:rsid w:val="000D3112"/>
    <w:rsid w:val="000D3893"/>
    <w:rsid w:val="000D6DB7"/>
    <w:rsid w:val="000D7C1F"/>
    <w:rsid w:val="000E12DD"/>
    <w:rsid w:val="000E34FD"/>
    <w:rsid w:val="000E3ED3"/>
    <w:rsid w:val="000E4486"/>
    <w:rsid w:val="000F4930"/>
    <w:rsid w:val="000F6AFC"/>
    <w:rsid w:val="00100B41"/>
    <w:rsid w:val="001028D9"/>
    <w:rsid w:val="00103D77"/>
    <w:rsid w:val="001045A7"/>
    <w:rsid w:val="00111DD8"/>
    <w:rsid w:val="00111F37"/>
    <w:rsid w:val="00113D3C"/>
    <w:rsid w:val="00114C42"/>
    <w:rsid w:val="00114D13"/>
    <w:rsid w:val="0011778E"/>
    <w:rsid w:val="00123276"/>
    <w:rsid w:val="00130438"/>
    <w:rsid w:val="001316A0"/>
    <w:rsid w:val="001351B0"/>
    <w:rsid w:val="00137FFE"/>
    <w:rsid w:val="0014013A"/>
    <w:rsid w:val="00147D86"/>
    <w:rsid w:val="00150B7B"/>
    <w:rsid w:val="001546FC"/>
    <w:rsid w:val="00167025"/>
    <w:rsid w:val="00174197"/>
    <w:rsid w:val="00183F2A"/>
    <w:rsid w:val="00191D80"/>
    <w:rsid w:val="00194FF2"/>
    <w:rsid w:val="00195689"/>
    <w:rsid w:val="001A3318"/>
    <w:rsid w:val="001A3BEB"/>
    <w:rsid w:val="001A58F5"/>
    <w:rsid w:val="001B0F30"/>
    <w:rsid w:val="001B2E5D"/>
    <w:rsid w:val="001B32BE"/>
    <w:rsid w:val="001B7F7D"/>
    <w:rsid w:val="001C077C"/>
    <w:rsid w:val="001C20CD"/>
    <w:rsid w:val="001C2EBD"/>
    <w:rsid w:val="001C37E2"/>
    <w:rsid w:val="001C5CC6"/>
    <w:rsid w:val="001C6F15"/>
    <w:rsid w:val="001D1279"/>
    <w:rsid w:val="001D2FA8"/>
    <w:rsid w:val="001D35A4"/>
    <w:rsid w:val="001D3943"/>
    <w:rsid w:val="001D408B"/>
    <w:rsid w:val="001D48F1"/>
    <w:rsid w:val="001D4DC7"/>
    <w:rsid w:val="001E2FF2"/>
    <w:rsid w:val="001E7175"/>
    <w:rsid w:val="001F0235"/>
    <w:rsid w:val="001F19F3"/>
    <w:rsid w:val="001F24AD"/>
    <w:rsid w:val="001F325D"/>
    <w:rsid w:val="001F3557"/>
    <w:rsid w:val="00200758"/>
    <w:rsid w:val="002020F1"/>
    <w:rsid w:val="00212A13"/>
    <w:rsid w:val="00214955"/>
    <w:rsid w:val="0021517F"/>
    <w:rsid w:val="00216D04"/>
    <w:rsid w:val="00224DAB"/>
    <w:rsid w:val="00225CE6"/>
    <w:rsid w:val="00227F5A"/>
    <w:rsid w:val="00231BFF"/>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8779B"/>
    <w:rsid w:val="00287A7F"/>
    <w:rsid w:val="00290A13"/>
    <w:rsid w:val="0029167F"/>
    <w:rsid w:val="0029698F"/>
    <w:rsid w:val="002A0B34"/>
    <w:rsid w:val="002A1698"/>
    <w:rsid w:val="002A4F6D"/>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1365E"/>
    <w:rsid w:val="0032110B"/>
    <w:rsid w:val="003240B9"/>
    <w:rsid w:val="00324F27"/>
    <w:rsid w:val="00327FC0"/>
    <w:rsid w:val="00334BA1"/>
    <w:rsid w:val="00335FD6"/>
    <w:rsid w:val="00344452"/>
    <w:rsid w:val="003530D9"/>
    <w:rsid w:val="00355C68"/>
    <w:rsid w:val="003572B9"/>
    <w:rsid w:val="0035738C"/>
    <w:rsid w:val="0036061A"/>
    <w:rsid w:val="00361079"/>
    <w:rsid w:val="00365DE0"/>
    <w:rsid w:val="00370336"/>
    <w:rsid w:val="00370DF6"/>
    <w:rsid w:val="0037465B"/>
    <w:rsid w:val="0037670E"/>
    <w:rsid w:val="00377F89"/>
    <w:rsid w:val="00380D44"/>
    <w:rsid w:val="00381DF6"/>
    <w:rsid w:val="00384C31"/>
    <w:rsid w:val="00387771"/>
    <w:rsid w:val="00391FCD"/>
    <w:rsid w:val="00394660"/>
    <w:rsid w:val="00394B51"/>
    <w:rsid w:val="00396825"/>
    <w:rsid w:val="00396ACE"/>
    <w:rsid w:val="00397D27"/>
    <w:rsid w:val="003A05B5"/>
    <w:rsid w:val="003A177D"/>
    <w:rsid w:val="003A236C"/>
    <w:rsid w:val="003A4492"/>
    <w:rsid w:val="003B2552"/>
    <w:rsid w:val="003B4A54"/>
    <w:rsid w:val="003C090A"/>
    <w:rsid w:val="003C393A"/>
    <w:rsid w:val="003D18AF"/>
    <w:rsid w:val="003D6166"/>
    <w:rsid w:val="003D632C"/>
    <w:rsid w:val="003E2A66"/>
    <w:rsid w:val="003E6C5C"/>
    <w:rsid w:val="003F0853"/>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2A7"/>
    <w:rsid w:val="004B078A"/>
    <w:rsid w:val="004B2762"/>
    <w:rsid w:val="004B37AA"/>
    <w:rsid w:val="004B4629"/>
    <w:rsid w:val="004B5ABD"/>
    <w:rsid w:val="004B72B2"/>
    <w:rsid w:val="004C0320"/>
    <w:rsid w:val="004C1F94"/>
    <w:rsid w:val="004C2578"/>
    <w:rsid w:val="004C515D"/>
    <w:rsid w:val="004D1EB5"/>
    <w:rsid w:val="004D3C9D"/>
    <w:rsid w:val="004D6F1B"/>
    <w:rsid w:val="004E0D9B"/>
    <w:rsid w:val="004E2F19"/>
    <w:rsid w:val="004F1799"/>
    <w:rsid w:val="004F3817"/>
    <w:rsid w:val="004F491D"/>
    <w:rsid w:val="004F57CD"/>
    <w:rsid w:val="004F7B37"/>
    <w:rsid w:val="0050120B"/>
    <w:rsid w:val="00501686"/>
    <w:rsid w:val="00501DD8"/>
    <w:rsid w:val="00504E0E"/>
    <w:rsid w:val="00505881"/>
    <w:rsid w:val="00510901"/>
    <w:rsid w:val="0051359C"/>
    <w:rsid w:val="005153F9"/>
    <w:rsid w:val="00515CF7"/>
    <w:rsid w:val="00517918"/>
    <w:rsid w:val="0052375A"/>
    <w:rsid w:val="00524DE5"/>
    <w:rsid w:val="00527E80"/>
    <w:rsid w:val="00530810"/>
    <w:rsid w:val="0053224A"/>
    <w:rsid w:val="00533757"/>
    <w:rsid w:val="005351E4"/>
    <w:rsid w:val="005429EE"/>
    <w:rsid w:val="00542C07"/>
    <w:rsid w:val="00547632"/>
    <w:rsid w:val="00547B9C"/>
    <w:rsid w:val="005579EC"/>
    <w:rsid w:val="00565438"/>
    <w:rsid w:val="005666EC"/>
    <w:rsid w:val="005670E7"/>
    <w:rsid w:val="005673DC"/>
    <w:rsid w:val="005734C8"/>
    <w:rsid w:val="00581114"/>
    <w:rsid w:val="00581F9C"/>
    <w:rsid w:val="00585C56"/>
    <w:rsid w:val="00586698"/>
    <w:rsid w:val="00587D98"/>
    <w:rsid w:val="00595E1A"/>
    <w:rsid w:val="0059652E"/>
    <w:rsid w:val="005965F5"/>
    <w:rsid w:val="00597091"/>
    <w:rsid w:val="00597232"/>
    <w:rsid w:val="005A244F"/>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5E5619"/>
    <w:rsid w:val="00603412"/>
    <w:rsid w:val="00612F43"/>
    <w:rsid w:val="006145D2"/>
    <w:rsid w:val="00616239"/>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C7D15"/>
    <w:rsid w:val="006D0372"/>
    <w:rsid w:val="006D0B7F"/>
    <w:rsid w:val="006D0C94"/>
    <w:rsid w:val="006D23A3"/>
    <w:rsid w:val="006D6ABD"/>
    <w:rsid w:val="006E172C"/>
    <w:rsid w:val="006E195D"/>
    <w:rsid w:val="006E58D9"/>
    <w:rsid w:val="006E7999"/>
    <w:rsid w:val="006F2697"/>
    <w:rsid w:val="006F7170"/>
    <w:rsid w:val="00707732"/>
    <w:rsid w:val="00715AEB"/>
    <w:rsid w:val="00720A30"/>
    <w:rsid w:val="00721AE4"/>
    <w:rsid w:val="00723454"/>
    <w:rsid w:val="007271CA"/>
    <w:rsid w:val="00730BB5"/>
    <w:rsid w:val="007314A0"/>
    <w:rsid w:val="00731F5F"/>
    <w:rsid w:val="007326DF"/>
    <w:rsid w:val="00742A37"/>
    <w:rsid w:val="00744555"/>
    <w:rsid w:val="00754B00"/>
    <w:rsid w:val="00763F6F"/>
    <w:rsid w:val="00765F8B"/>
    <w:rsid w:val="00767C71"/>
    <w:rsid w:val="00774217"/>
    <w:rsid w:val="007752FF"/>
    <w:rsid w:val="00776D2B"/>
    <w:rsid w:val="007812FC"/>
    <w:rsid w:val="007815C0"/>
    <w:rsid w:val="00782BC6"/>
    <w:rsid w:val="00783A4E"/>
    <w:rsid w:val="007849B1"/>
    <w:rsid w:val="00785313"/>
    <w:rsid w:val="00785EE7"/>
    <w:rsid w:val="007873C3"/>
    <w:rsid w:val="00791D07"/>
    <w:rsid w:val="00793DD7"/>
    <w:rsid w:val="00797A26"/>
    <w:rsid w:val="007A3B57"/>
    <w:rsid w:val="007A73BE"/>
    <w:rsid w:val="007A78BE"/>
    <w:rsid w:val="007B38A5"/>
    <w:rsid w:val="007B3E0D"/>
    <w:rsid w:val="007B4C66"/>
    <w:rsid w:val="007C001C"/>
    <w:rsid w:val="007C0E95"/>
    <w:rsid w:val="007C32F6"/>
    <w:rsid w:val="007C748B"/>
    <w:rsid w:val="007D28DE"/>
    <w:rsid w:val="007E012D"/>
    <w:rsid w:val="007E177D"/>
    <w:rsid w:val="007E52C7"/>
    <w:rsid w:val="007E6808"/>
    <w:rsid w:val="007E6FF7"/>
    <w:rsid w:val="007F0394"/>
    <w:rsid w:val="007F1029"/>
    <w:rsid w:val="007F4B19"/>
    <w:rsid w:val="00806040"/>
    <w:rsid w:val="008156F9"/>
    <w:rsid w:val="008161B2"/>
    <w:rsid w:val="00823808"/>
    <w:rsid w:val="00825E46"/>
    <w:rsid w:val="00832565"/>
    <w:rsid w:val="008336D0"/>
    <w:rsid w:val="00835D26"/>
    <w:rsid w:val="00836111"/>
    <w:rsid w:val="00837F73"/>
    <w:rsid w:val="00837FE5"/>
    <w:rsid w:val="008400E1"/>
    <w:rsid w:val="00844D40"/>
    <w:rsid w:val="0085080D"/>
    <w:rsid w:val="00851423"/>
    <w:rsid w:val="00851E9E"/>
    <w:rsid w:val="008526E8"/>
    <w:rsid w:val="00853A64"/>
    <w:rsid w:val="00853E97"/>
    <w:rsid w:val="00860184"/>
    <w:rsid w:val="00863FA6"/>
    <w:rsid w:val="00867B6F"/>
    <w:rsid w:val="00871AD9"/>
    <w:rsid w:val="00880326"/>
    <w:rsid w:val="00881178"/>
    <w:rsid w:val="00881E5D"/>
    <w:rsid w:val="00884F2A"/>
    <w:rsid w:val="0088710F"/>
    <w:rsid w:val="00887728"/>
    <w:rsid w:val="00887BB7"/>
    <w:rsid w:val="00890FEA"/>
    <w:rsid w:val="00894685"/>
    <w:rsid w:val="00897839"/>
    <w:rsid w:val="008A0EA8"/>
    <w:rsid w:val="008A551C"/>
    <w:rsid w:val="008A71DE"/>
    <w:rsid w:val="008D3798"/>
    <w:rsid w:val="008D4C33"/>
    <w:rsid w:val="008D6398"/>
    <w:rsid w:val="008E2155"/>
    <w:rsid w:val="008E2C6F"/>
    <w:rsid w:val="008E6CAE"/>
    <w:rsid w:val="008F047D"/>
    <w:rsid w:val="008F309D"/>
    <w:rsid w:val="008F4D12"/>
    <w:rsid w:val="009136FA"/>
    <w:rsid w:val="00914B70"/>
    <w:rsid w:val="009166B6"/>
    <w:rsid w:val="00916884"/>
    <w:rsid w:val="00917A6A"/>
    <w:rsid w:val="00920F2D"/>
    <w:rsid w:val="00921A1B"/>
    <w:rsid w:val="00922FF4"/>
    <w:rsid w:val="009347F0"/>
    <w:rsid w:val="00935F33"/>
    <w:rsid w:val="0093638A"/>
    <w:rsid w:val="00936436"/>
    <w:rsid w:val="009378FF"/>
    <w:rsid w:val="00940506"/>
    <w:rsid w:val="00940754"/>
    <w:rsid w:val="00944A63"/>
    <w:rsid w:val="00945B4E"/>
    <w:rsid w:val="00947B06"/>
    <w:rsid w:val="00947B15"/>
    <w:rsid w:val="00952E08"/>
    <w:rsid w:val="0095496E"/>
    <w:rsid w:val="00954B41"/>
    <w:rsid w:val="00956005"/>
    <w:rsid w:val="00956999"/>
    <w:rsid w:val="00964933"/>
    <w:rsid w:val="009717D1"/>
    <w:rsid w:val="00974DF6"/>
    <w:rsid w:val="00974FDE"/>
    <w:rsid w:val="00975441"/>
    <w:rsid w:val="00975BF1"/>
    <w:rsid w:val="00980E9A"/>
    <w:rsid w:val="00987DE6"/>
    <w:rsid w:val="00993180"/>
    <w:rsid w:val="00997B04"/>
    <w:rsid w:val="009A3031"/>
    <w:rsid w:val="009A6AB7"/>
    <w:rsid w:val="009B11C6"/>
    <w:rsid w:val="009B6343"/>
    <w:rsid w:val="009C365B"/>
    <w:rsid w:val="009C5E0B"/>
    <w:rsid w:val="009D30D0"/>
    <w:rsid w:val="009D3DF0"/>
    <w:rsid w:val="009D4595"/>
    <w:rsid w:val="009D4EB3"/>
    <w:rsid w:val="009E4F67"/>
    <w:rsid w:val="009F05BF"/>
    <w:rsid w:val="009F1D70"/>
    <w:rsid w:val="009F5944"/>
    <w:rsid w:val="009F6EED"/>
    <w:rsid w:val="00A0021E"/>
    <w:rsid w:val="00A0658F"/>
    <w:rsid w:val="00A13F55"/>
    <w:rsid w:val="00A140B5"/>
    <w:rsid w:val="00A154A5"/>
    <w:rsid w:val="00A2031A"/>
    <w:rsid w:val="00A20C84"/>
    <w:rsid w:val="00A26CD6"/>
    <w:rsid w:val="00A31F3B"/>
    <w:rsid w:val="00A33138"/>
    <w:rsid w:val="00A36CBA"/>
    <w:rsid w:val="00A40391"/>
    <w:rsid w:val="00A42D38"/>
    <w:rsid w:val="00A43587"/>
    <w:rsid w:val="00A4389F"/>
    <w:rsid w:val="00A4409F"/>
    <w:rsid w:val="00A44808"/>
    <w:rsid w:val="00A504C2"/>
    <w:rsid w:val="00A5136B"/>
    <w:rsid w:val="00A51A65"/>
    <w:rsid w:val="00A53FC4"/>
    <w:rsid w:val="00A563EE"/>
    <w:rsid w:val="00A6075D"/>
    <w:rsid w:val="00A63181"/>
    <w:rsid w:val="00A66B7D"/>
    <w:rsid w:val="00A74C7D"/>
    <w:rsid w:val="00A773DA"/>
    <w:rsid w:val="00A77796"/>
    <w:rsid w:val="00A77E3A"/>
    <w:rsid w:val="00A81F35"/>
    <w:rsid w:val="00A8382F"/>
    <w:rsid w:val="00A8579A"/>
    <w:rsid w:val="00A85912"/>
    <w:rsid w:val="00A93708"/>
    <w:rsid w:val="00AA2A31"/>
    <w:rsid w:val="00AA4211"/>
    <w:rsid w:val="00AA5F39"/>
    <w:rsid w:val="00AB0E0A"/>
    <w:rsid w:val="00AB0F41"/>
    <w:rsid w:val="00AB4BB0"/>
    <w:rsid w:val="00AB4BD8"/>
    <w:rsid w:val="00AB5344"/>
    <w:rsid w:val="00AC0BBE"/>
    <w:rsid w:val="00AC2EAE"/>
    <w:rsid w:val="00AC5E29"/>
    <w:rsid w:val="00AD1F63"/>
    <w:rsid w:val="00AD515B"/>
    <w:rsid w:val="00AE6B0A"/>
    <w:rsid w:val="00AF044A"/>
    <w:rsid w:val="00AF2497"/>
    <w:rsid w:val="00AF6EDC"/>
    <w:rsid w:val="00B002B8"/>
    <w:rsid w:val="00B049AB"/>
    <w:rsid w:val="00B079E9"/>
    <w:rsid w:val="00B14D22"/>
    <w:rsid w:val="00B16FDE"/>
    <w:rsid w:val="00B1736E"/>
    <w:rsid w:val="00B2427E"/>
    <w:rsid w:val="00B26353"/>
    <w:rsid w:val="00B26CF4"/>
    <w:rsid w:val="00B32F59"/>
    <w:rsid w:val="00B330CE"/>
    <w:rsid w:val="00B34DB9"/>
    <w:rsid w:val="00B3655C"/>
    <w:rsid w:val="00B36918"/>
    <w:rsid w:val="00B37BD5"/>
    <w:rsid w:val="00B4089B"/>
    <w:rsid w:val="00B41501"/>
    <w:rsid w:val="00B4225A"/>
    <w:rsid w:val="00B4252A"/>
    <w:rsid w:val="00B43FD3"/>
    <w:rsid w:val="00B46280"/>
    <w:rsid w:val="00B54753"/>
    <w:rsid w:val="00B56DAC"/>
    <w:rsid w:val="00B65C66"/>
    <w:rsid w:val="00B66525"/>
    <w:rsid w:val="00B7201D"/>
    <w:rsid w:val="00B72D56"/>
    <w:rsid w:val="00B73385"/>
    <w:rsid w:val="00B7660A"/>
    <w:rsid w:val="00B80D78"/>
    <w:rsid w:val="00B80F1F"/>
    <w:rsid w:val="00B81D14"/>
    <w:rsid w:val="00B85715"/>
    <w:rsid w:val="00B86CFA"/>
    <w:rsid w:val="00B87EBA"/>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6912"/>
    <w:rsid w:val="00BD1EE5"/>
    <w:rsid w:val="00BD3E25"/>
    <w:rsid w:val="00BD4147"/>
    <w:rsid w:val="00BE0143"/>
    <w:rsid w:val="00BE088D"/>
    <w:rsid w:val="00BE60C2"/>
    <w:rsid w:val="00BF4005"/>
    <w:rsid w:val="00BF56EB"/>
    <w:rsid w:val="00BF5FDD"/>
    <w:rsid w:val="00C010CC"/>
    <w:rsid w:val="00C04234"/>
    <w:rsid w:val="00C143F0"/>
    <w:rsid w:val="00C15280"/>
    <w:rsid w:val="00C16649"/>
    <w:rsid w:val="00C21042"/>
    <w:rsid w:val="00C22F47"/>
    <w:rsid w:val="00C24580"/>
    <w:rsid w:val="00C25298"/>
    <w:rsid w:val="00C263DA"/>
    <w:rsid w:val="00C30738"/>
    <w:rsid w:val="00C5471C"/>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C3660"/>
    <w:rsid w:val="00CD06D5"/>
    <w:rsid w:val="00CD1794"/>
    <w:rsid w:val="00CD5F66"/>
    <w:rsid w:val="00CE2915"/>
    <w:rsid w:val="00CE48BB"/>
    <w:rsid w:val="00CF1CB7"/>
    <w:rsid w:val="00CF30C9"/>
    <w:rsid w:val="00CF7DD5"/>
    <w:rsid w:val="00D00BB2"/>
    <w:rsid w:val="00D013C8"/>
    <w:rsid w:val="00D03E8B"/>
    <w:rsid w:val="00D06BE0"/>
    <w:rsid w:val="00D07006"/>
    <w:rsid w:val="00D13DC7"/>
    <w:rsid w:val="00D167DD"/>
    <w:rsid w:val="00D16B1B"/>
    <w:rsid w:val="00D2082B"/>
    <w:rsid w:val="00D252F8"/>
    <w:rsid w:val="00D30499"/>
    <w:rsid w:val="00D340ED"/>
    <w:rsid w:val="00D414AB"/>
    <w:rsid w:val="00D56268"/>
    <w:rsid w:val="00D57F76"/>
    <w:rsid w:val="00D766DC"/>
    <w:rsid w:val="00D84ADA"/>
    <w:rsid w:val="00D853F5"/>
    <w:rsid w:val="00D859DE"/>
    <w:rsid w:val="00D87D5F"/>
    <w:rsid w:val="00D919D9"/>
    <w:rsid w:val="00D9238E"/>
    <w:rsid w:val="00D9776A"/>
    <w:rsid w:val="00DA4501"/>
    <w:rsid w:val="00DA4F2B"/>
    <w:rsid w:val="00DA5FEE"/>
    <w:rsid w:val="00DA6C7F"/>
    <w:rsid w:val="00DB1006"/>
    <w:rsid w:val="00DB57C9"/>
    <w:rsid w:val="00DB5F48"/>
    <w:rsid w:val="00DB617D"/>
    <w:rsid w:val="00DB79D6"/>
    <w:rsid w:val="00DC59D6"/>
    <w:rsid w:val="00DC60AC"/>
    <w:rsid w:val="00DD364C"/>
    <w:rsid w:val="00DD4A91"/>
    <w:rsid w:val="00DD4EB3"/>
    <w:rsid w:val="00DD7167"/>
    <w:rsid w:val="00DD7E7D"/>
    <w:rsid w:val="00DE139B"/>
    <w:rsid w:val="00DE34F1"/>
    <w:rsid w:val="00DE40FB"/>
    <w:rsid w:val="00DF65D2"/>
    <w:rsid w:val="00E0381A"/>
    <w:rsid w:val="00E05707"/>
    <w:rsid w:val="00E141C3"/>
    <w:rsid w:val="00E2087D"/>
    <w:rsid w:val="00E222B8"/>
    <w:rsid w:val="00E230E3"/>
    <w:rsid w:val="00E25E6A"/>
    <w:rsid w:val="00E30A09"/>
    <w:rsid w:val="00E30FC1"/>
    <w:rsid w:val="00E33D32"/>
    <w:rsid w:val="00E36209"/>
    <w:rsid w:val="00E4010A"/>
    <w:rsid w:val="00E508F5"/>
    <w:rsid w:val="00E54015"/>
    <w:rsid w:val="00E57AE9"/>
    <w:rsid w:val="00E6086B"/>
    <w:rsid w:val="00E6237C"/>
    <w:rsid w:val="00E70F83"/>
    <w:rsid w:val="00E71E4A"/>
    <w:rsid w:val="00E73393"/>
    <w:rsid w:val="00E74D23"/>
    <w:rsid w:val="00E74DFA"/>
    <w:rsid w:val="00E75CFD"/>
    <w:rsid w:val="00E8370B"/>
    <w:rsid w:val="00E83EC9"/>
    <w:rsid w:val="00E87184"/>
    <w:rsid w:val="00E87533"/>
    <w:rsid w:val="00E94089"/>
    <w:rsid w:val="00E944D7"/>
    <w:rsid w:val="00E94998"/>
    <w:rsid w:val="00EA5E30"/>
    <w:rsid w:val="00EA7391"/>
    <w:rsid w:val="00EC014D"/>
    <w:rsid w:val="00EC02F1"/>
    <w:rsid w:val="00EE47B0"/>
    <w:rsid w:val="00EE7555"/>
    <w:rsid w:val="00EE78E5"/>
    <w:rsid w:val="00EF05B9"/>
    <w:rsid w:val="00EF434E"/>
    <w:rsid w:val="00EF59C3"/>
    <w:rsid w:val="00EF749C"/>
    <w:rsid w:val="00F0222D"/>
    <w:rsid w:val="00F036AB"/>
    <w:rsid w:val="00F051D9"/>
    <w:rsid w:val="00F07784"/>
    <w:rsid w:val="00F137E6"/>
    <w:rsid w:val="00F13D15"/>
    <w:rsid w:val="00F14617"/>
    <w:rsid w:val="00F14661"/>
    <w:rsid w:val="00F14AB6"/>
    <w:rsid w:val="00F22426"/>
    <w:rsid w:val="00F2698F"/>
    <w:rsid w:val="00F27D6D"/>
    <w:rsid w:val="00F27FE7"/>
    <w:rsid w:val="00F4011D"/>
    <w:rsid w:val="00F4237A"/>
    <w:rsid w:val="00F42600"/>
    <w:rsid w:val="00F43FF4"/>
    <w:rsid w:val="00F53EB5"/>
    <w:rsid w:val="00F54A24"/>
    <w:rsid w:val="00F54FEA"/>
    <w:rsid w:val="00F553FB"/>
    <w:rsid w:val="00F611CA"/>
    <w:rsid w:val="00F61215"/>
    <w:rsid w:val="00F61D33"/>
    <w:rsid w:val="00F6247A"/>
    <w:rsid w:val="00F656E7"/>
    <w:rsid w:val="00F6621F"/>
    <w:rsid w:val="00F66767"/>
    <w:rsid w:val="00F67AE8"/>
    <w:rsid w:val="00F72F22"/>
    <w:rsid w:val="00F733F0"/>
    <w:rsid w:val="00F80C18"/>
    <w:rsid w:val="00F8269A"/>
    <w:rsid w:val="00F87D35"/>
    <w:rsid w:val="00F9529D"/>
    <w:rsid w:val="00F9678C"/>
    <w:rsid w:val="00FA0050"/>
    <w:rsid w:val="00FA0D01"/>
    <w:rsid w:val="00FC29B1"/>
    <w:rsid w:val="00FC7592"/>
    <w:rsid w:val="00FC770F"/>
    <w:rsid w:val="00FD2679"/>
    <w:rsid w:val="00FD2BBF"/>
    <w:rsid w:val="00FD40EB"/>
    <w:rsid w:val="00FD46B2"/>
    <w:rsid w:val="00FD47D5"/>
    <w:rsid w:val="00FD6021"/>
    <w:rsid w:val="00FD63AC"/>
    <w:rsid w:val="00FE1CDB"/>
    <w:rsid w:val="00FE2871"/>
    <w:rsid w:val="00FE2B19"/>
    <w:rsid w:val="00FE3BE9"/>
    <w:rsid w:val="00FE6042"/>
    <w:rsid w:val="00FE6C55"/>
    <w:rsid w:val="00FF269E"/>
    <w:rsid w:val="00FF3251"/>
    <w:rsid w:val="00FF3578"/>
    <w:rsid w:val="00FF4B1C"/>
    <w:rsid w:val="034215CC"/>
    <w:rsid w:val="034D1875"/>
    <w:rsid w:val="03A810DA"/>
    <w:rsid w:val="04793982"/>
    <w:rsid w:val="0914216F"/>
    <w:rsid w:val="09263EDE"/>
    <w:rsid w:val="099F699F"/>
    <w:rsid w:val="0BB90B94"/>
    <w:rsid w:val="0BF558B0"/>
    <w:rsid w:val="0C6F4F00"/>
    <w:rsid w:val="0CBA42B6"/>
    <w:rsid w:val="0CD07931"/>
    <w:rsid w:val="0E220EFD"/>
    <w:rsid w:val="0E300DF1"/>
    <w:rsid w:val="106000A3"/>
    <w:rsid w:val="106D2E5F"/>
    <w:rsid w:val="10C92BDE"/>
    <w:rsid w:val="11E06D1D"/>
    <w:rsid w:val="14BD6DE9"/>
    <w:rsid w:val="151B0610"/>
    <w:rsid w:val="153967D9"/>
    <w:rsid w:val="15A51265"/>
    <w:rsid w:val="1602563E"/>
    <w:rsid w:val="172042BD"/>
    <w:rsid w:val="17DF730A"/>
    <w:rsid w:val="182037F9"/>
    <w:rsid w:val="1871150E"/>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F3F3674"/>
    <w:rsid w:val="2F6F6534"/>
    <w:rsid w:val="2FB62CD5"/>
    <w:rsid w:val="3166404B"/>
    <w:rsid w:val="316E4BCF"/>
    <w:rsid w:val="32FB3069"/>
    <w:rsid w:val="332831C8"/>
    <w:rsid w:val="359C2633"/>
    <w:rsid w:val="35C82541"/>
    <w:rsid w:val="360A4426"/>
    <w:rsid w:val="37623BD0"/>
    <w:rsid w:val="378A2746"/>
    <w:rsid w:val="382035D9"/>
    <w:rsid w:val="390E2AE7"/>
    <w:rsid w:val="39B12B9E"/>
    <w:rsid w:val="3A2A6D06"/>
    <w:rsid w:val="3AAD4D2B"/>
    <w:rsid w:val="3BA17D0E"/>
    <w:rsid w:val="3C7F4653"/>
    <w:rsid w:val="3D5C793D"/>
    <w:rsid w:val="3DFD6225"/>
    <w:rsid w:val="3E0B15BA"/>
    <w:rsid w:val="3EC639AA"/>
    <w:rsid w:val="3FE24704"/>
    <w:rsid w:val="40C10AD3"/>
    <w:rsid w:val="427631AB"/>
    <w:rsid w:val="43A8211E"/>
    <w:rsid w:val="4464587F"/>
    <w:rsid w:val="45455C37"/>
    <w:rsid w:val="47C07043"/>
    <w:rsid w:val="4B3A5EC6"/>
    <w:rsid w:val="4D722D5E"/>
    <w:rsid w:val="4DEE463E"/>
    <w:rsid w:val="50A4483B"/>
    <w:rsid w:val="50D54E3C"/>
    <w:rsid w:val="51AF26D5"/>
    <w:rsid w:val="532F052B"/>
    <w:rsid w:val="53CB1533"/>
    <w:rsid w:val="54A90501"/>
    <w:rsid w:val="552402CA"/>
    <w:rsid w:val="55434855"/>
    <w:rsid w:val="55882EFC"/>
    <w:rsid w:val="56490C7C"/>
    <w:rsid w:val="58343EAC"/>
    <w:rsid w:val="58F33E0F"/>
    <w:rsid w:val="597E6C17"/>
    <w:rsid w:val="5B920EBC"/>
    <w:rsid w:val="5BFA6CAE"/>
    <w:rsid w:val="5D0D24D3"/>
    <w:rsid w:val="5D2B5A03"/>
    <w:rsid w:val="5D654113"/>
    <w:rsid w:val="5D676170"/>
    <w:rsid w:val="5DB45A4D"/>
    <w:rsid w:val="5E2A7A6D"/>
    <w:rsid w:val="5E3D22F6"/>
    <w:rsid w:val="5E9E5CF6"/>
    <w:rsid w:val="5F5A3274"/>
    <w:rsid w:val="5F5C54EB"/>
    <w:rsid w:val="5FB62CE4"/>
    <w:rsid w:val="5FDC66AB"/>
    <w:rsid w:val="60886E86"/>
    <w:rsid w:val="61426FC7"/>
    <w:rsid w:val="635A6060"/>
    <w:rsid w:val="64440A64"/>
    <w:rsid w:val="659D1EC8"/>
    <w:rsid w:val="65C42961"/>
    <w:rsid w:val="66AD6F06"/>
    <w:rsid w:val="67F355EF"/>
    <w:rsid w:val="68727AEB"/>
    <w:rsid w:val="68CB2404"/>
    <w:rsid w:val="6AE57802"/>
    <w:rsid w:val="6B353E8E"/>
    <w:rsid w:val="6B7A4196"/>
    <w:rsid w:val="6BC94628"/>
    <w:rsid w:val="6D082DCE"/>
    <w:rsid w:val="6DD964A3"/>
    <w:rsid w:val="6F514B5B"/>
    <w:rsid w:val="6FE46FB1"/>
    <w:rsid w:val="70071414"/>
    <w:rsid w:val="712C720C"/>
    <w:rsid w:val="74605603"/>
    <w:rsid w:val="74EA6BF5"/>
    <w:rsid w:val="75903C84"/>
    <w:rsid w:val="766E0138"/>
    <w:rsid w:val="76DA4E14"/>
    <w:rsid w:val="78C05101"/>
    <w:rsid w:val="79273F04"/>
    <w:rsid w:val="7A0850E0"/>
    <w:rsid w:val="7BAB2825"/>
    <w:rsid w:val="7C4A2B81"/>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21"/>
    <w:pPr>
      <w:widowControl w:val="0"/>
      <w:jc w:val="both"/>
    </w:pPr>
    <w:rPr>
      <w:kern w:val="2"/>
      <w:sz w:val="21"/>
      <w:szCs w:val="22"/>
    </w:rPr>
  </w:style>
  <w:style w:type="paragraph" w:styleId="1">
    <w:name w:val="heading 1"/>
    <w:basedOn w:val="a"/>
    <w:next w:val="a"/>
    <w:link w:val="1Char"/>
    <w:uiPriority w:val="9"/>
    <w:qFormat/>
    <w:rsid w:val="00FD6021"/>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FD6021"/>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FD6021"/>
    <w:pPr>
      <w:keepNext/>
      <w:keepLines/>
      <w:spacing w:before="260" w:after="260" w:line="416" w:lineRule="auto"/>
      <w:outlineLvl w:val="2"/>
    </w:pPr>
    <w:rPr>
      <w:bCs/>
      <w:sz w:val="24"/>
      <w:szCs w:val="32"/>
    </w:rPr>
  </w:style>
  <w:style w:type="paragraph" w:styleId="4">
    <w:name w:val="heading 4"/>
    <w:basedOn w:val="a"/>
    <w:next w:val="a"/>
    <w:qFormat/>
    <w:rsid w:val="00FD602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D6021"/>
    <w:rPr>
      <w:rFonts w:ascii="宋体"/>
      <w:sz w:val="18"/>
      <w:szCs w:val="18"/>
    </w:rPr>
  </w:style>
  <w:style w:type="paragraph" w:styleId="a4">
    <w:name w:val="Body Text Indent"/>
    <w:basedOn w:val="a"/>
    <w:qFormat/>
    <w:rsid w:val="00FD6021"/>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FD6021"/>
    <w:pPr>
      <w:ind w:leftChars="400" w:left="840"/>
    </w:pPr>
  </w:style>
  <w:style w:type="paragraph" w:styleId="a5">
    <w:name w:val="Date"/>
    <w:basedOn w:val="a"/>
    <w:next w:val="a"/>
    <w:qFormat/>
    <w:rsid w:val="00FD6021"/>
    <w:pPr>
      <w:ind w:leftChars="2500" w:left="100"/>
    </w:pPr>
    <w:rPr>
      <w:rFonts w:ascii="宋体"/>
      <w:kern w:val="0"/>
      <w:sz w:val="20"/>
      <w:szCs w:val="20"/>
      <w:lang w:val="zh-CN"/>
    </w:rPr>
  </w:style>
  <w:style w:type="paragraph" w:styleId="20">
    <w:name w:val="Body Text Indent 2"/>
    <w:basedOn w:val="a"/>
    <w:qFormat/>
    <w:rsid w:val="00FD6021"/>
    <w:pPr>
      <w:tabs>
        <w:tab w:val="left" w:pos="2520"/>
      </w:tabs>
      <w:ind w:firstLine="435"/>
    </w:pPr>
    <w:rPr>
      <w:szCs w:val="24"/>
    </w:rPr>
  </w:style>
  <w:style w:type="paragraph" w:styleId="a6">
    <w:name w:val="Balloon Text"/>
    <w:basedOn w:val="a"/>
    <w:link w:val="Char0"/>
    <w:uiPriority w:val="99"/>
    <w:unhideWhenUsed/>
    <w:qFormat/>
    <w:rsid w:val="00FD6021"/>
    <w:rPr>
      <w:kern w:val="0"/>
      <w:sz w:val="18"/>
      <w:szCs w:val="18"/>
    </w:rPr>
  </w:style>
  <w:style w:type="paragraph" w:styleId="a7">
    <w:name w:val="footer"/>
    <w:basedOn w:val="a"/>
    <w:link w:val="Char1"/>
    <w:uiPriority w:val="99"/>
    <w:unhideWhenUsed/>
    <w:qFormat/>
    <w:rsid w:val="00FD6021"/>
    <w:pPr>
      <w:tabs>
        <w:tab w:val="center" w:pos="4153"/>
        <w:tab w:val="right" w:pos="8306"/>
      </w:tabs>
      <w:snapToGrid w:val="0"/>
      <w:jc w:val="left"/>
    </w:pPr>
    <w:rPr>
      <w:kern w:val="0"/>
      <w:sz w:val="18"/>
      <w:szCs w:val="18"/>
    </w:rPr>
  </w:style>
  <w:style w:type="paragraph" w:styleId="a8">
    <w:name w:val="header"/>
    <w:basedOn w:val="a"/>
    <w:link w:val="Char2"/>
    <w:uiPriority w:val="99"/>
    <w:unhideWhenUsed/>
    <w:qFormat/>
    <w:rsid w:val="00FD6021"/>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FD6021"/>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FD6021"/>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rsid w:val="00FD6021"/>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FD6021"/>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FD6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FD6021"/>
    <w:pPr>
      <w:widowControl/>
      <w:spacing w:before="100" w:beforeAutospacing="1" w:after="100" w:afterAutospacing="1"/>
      <w:jc w:val="left"/>
    </w:pPr>
    <w:rPr>
      <w:rFonts w:ascii="宋体" w:hAnsi="宋体" w:cs="宋体"/>
      <w:kern w:val="0"/>
      <w:sz w:val="24"/>
      <w:szCs w:val="24"/>
    </w:rPr>
  </w:style>
  <w:style w:type="character" w:styleId="ab">
    <w:name w:val="Strong"/>
    <w:basedOn w:val="a0"/>
    <w:qFormat/>
    <w:rsid w:val="00FD6021"/>
    <w:rPr>
      <w:b/>
      <w:bCs/>
    </w:rPr>
  </w:style>
  <w:style w:type="character" w:styleId="ac">
    <w:name w:val="page number"/>
    <w:basedOn w:val="a0"/>
    <w:qFormat/>
    <w:rsid w:val="00FD6021"/>
  </w:style>
  <w:style w:type="character" w:styleId="ad">
    <w:name w:val="FollowedHyperlink"/>
    <w:uiPriority w:val="99"/>
    <w:qFormat/>
    <w:rsid w:val="00FD6021"/>
    <w:rPr>
      <w:color w:val="800080"/>
      <w:u w:val="single"/>
    </w:rPr>
  </w:style>
  <w:style w:type="character" w:styleId="ae">
    <w:name w:val="Hyperlink"/>
    <w:uiPriority w:val="99"/>
    <w:qFormat/>
    <w:rsid w:val="00FD6021"/>
    <w:rPr>
      <w:color w:val="0000FF"/>
      <w:u w:val="single"/>
    </w:rPr>
  </w:style>
  <w:style w:type="table" w:styleId="af">
    <w:name w:val="Table Grid"/>
    <w:basedOn w:val="a1"/>
    <w:uiPriority w:val="59"/>
    <w:qFormat/>
    <w:rsid w:val="00FD60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1"/>
    <w:qFormat/>
    <w:rsid w:val="00FD60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qFormat/>
    <w:rsid w:val="00FD6021"/>
    <w:rPr>
      <w:rFonts w:eastAsia="宋体"/>
      <w:b/>
      <w:bCs/>
      <w:kern w:val="2"/>
      <w:sz w:val="32"/>
      <w:szCs w:val="32"/>
      <w:lang w:val="en-US" w:eastAsia="zh-CN" w:bidi="ar-SA"/>
    </w:rPr>
  </w:style>
  <w:style w:type="character" w:customStyle="1" w:styleId="Char2">
    <w:name w:val="页眉 Char"/>
    <w:link w:val="a8"/>
    <w:uiPriority w:val="99"/>
    <w:qFormat/>
    <w:rsid w:val="00FD6021"/>
    <w:rPr>
      <w:sz w:val="18"/>
      <w:szCs w:val="18"/>
    </w:rPr>
  </w:style>
  <w:style w:type="character" w:customStyle="1" w:styleId="showtext">
    <w:name w:val="showtext"/>
    <w:basedOn w:val="a0"/>
    <w:qFormat/>
    <w:rsid w:val="00FD6021"/>
  </w:style>
  <w:style w:type="character" w:customStyle="1" w:styleId="2Char1">
    <w:name w:val="标题 2 Char1"/>
    <w:link w:val="2"/>
    <w:uiPriority w:val="9"/>
    <w:qFormat/>
    <w:rsid w:val="00FD6021"/>
    <w:rPr>
      <w:rFonts w:ascii="Cambria" w:hAnsi="Cambria"/>
      <w:b/>
      <w:bCs/>
      <w:kern w:val="2"/>
      <w:sz w:val="28"/>
      <w:szCs w:val="32"/>
    </w:rPr>
  </w:style>
  <w:style w:type="character" w:customStyle="1" w:styleId="WebCharChar2">
    <w:name w:val="普通 (Web) Char Char2"/>
    <w:qFormat/>
    <w:locked/>
    <w:rsid w:val="00FD6021"/>
    <w:rPr>
      <w:rFonts w:ascii="宋体" w:eastAsia="宋体" w:hAnsi="宋体" w:cs="宋体"/>
      <w:sz w:val="24"/>
      <w:szCs w:val="24"/>
      <w:lang w:val="en-US" w:eastAsia="zh-CN" w:bidi="ar-SA"/>
    </w:rPr>
  </w:style>
  <w:style w:type="character" w:customStyle="1" w:styleId="apple-converted-space">
    <w:name w:val="apple-converted-space"/>
    <w:basedOn w:val="a0"/>
    <w:qFormat/>
    <w:rsid w:val="00FD6021"/>
  </w:style>
  <w:style w:type="character" w:customStyle="1" w:styleId="1Char">
    <w:name w:val="标题 1 Char"/>
    <w:link w:val="1"/>
    <w:uiPriority w:val="9"/>
    <w:qFormat/>
    <w:rsid w:val="00FD6021"/>
    <w:rPr>
      <w:rFonts w:eastAsia="黑体"/>
      <w:b/>
      <w:bCs/>
      <w:kern w:val="44"/>
      <w:sz w:val="32"/>
      <w:szCs w:val="44"/>
    </w:rPr>
  </w:style>
  <w:style w:type="character" w:customStyle="1" w:styleId="Char1">
    <w:name w:val="页脚 Char"/>
    <w:link w:val="a7"/>
    <w:uiPriority w:val="99"/>
    <w:qFormat/>
    <w:rsid w:val="00FD6021"/>
    <w:rPr>
      <w:sz w:val="18"/>
      <w:szCs w:val="18"/>
    </w:rPr>
  </w:style>
  <w:style w:type="character" w:customStyle="1" w:styleId="f21">
    <w:name w:val="f21"/>
    <w:qFormat/>
    <w:rsid w:val="00FD6021"/>
    <w:rPr>
      <w:rFonts w:ascii="宋体" w:eastAsia="宋体" w:hAnsi="宋体" w:hint="eastAsia"/>
      <w:sz w:val="21"/>
      <w:szCs w:val="21"/>
    </w:rPr>
  </w:style>
  <w:style w:type="character" w:customStyle="1" w:styleId="Char0">
    <w:name w:val="批注框文本 Char"/>
    <w:link w:val="a6"/>
    <w:uiPriority w:val="99"/>
    <w:semiHidden/>
    <w:qFormat/>
    <w:rsid w:val="00FD6021"/>
    <w:rPr>
      <w:sz w:val="18"/>
      <w:szCs w:val="18"/>
    </w:rPr>
  </w:style>
  <w:style w:type="character" w:customStyle="1" w:styleId="style11">
    <w:name w:val="style11"/>
    <w:qFormat/>
    <w:rsid w:val="00FD6021"/>
    <w:rPr>
      <w:color w:val="999999"/>
      <w:sz w:val="18"/>
      <w:szCs w:val="18"/>
    </w:rPr>
  </w:style>
  <w:style w:type="character" w:customStyle="1" w:styleId="Char3">
    <w:name w:val="副标题 Char"/>
    <w:link w:val="a9"/>
    <w:uiPriority w:val="11"/>
    <w:qFormat/>
    <w:rsid w:val="00FD6021"/>
    <w:rPr>
      <w:rFonts w:ascii="Cambria" w:hAnsi="Cambria" w:cs="Times New Roman"/>
      <w:b/>
      <w:bCs/>
      <w:kern w:val="28"/>
      <w:sz w:val="32"/>
      <w:szCs w:val="32"/>
    </w:rPr>
  </w:style>
  <w:style w:type="character" w:customStyle="1" w:styleId="2Char">
    <w:name w:val="标题 2 Char"/>
    <w:qFormat/>
    <w:rsid w:val="00FD6021"/>
    <w:rPr>
      <w:rFonts w:ascii="Arial" w:eastAsia="黑体" w:hAnsi="Arial"/>
      <w:b/>
      <w:bCs/>
      <w:kern w:val="2"/>
      <w:sz w:val="32"/>
      <w:szCs w:val="32"/>
      <w:lang w:val="en-US" w:eastAsia="zh-CN" w:bidi="ar-SA"/>
    </w:rPr>
  </w:style>
  <w:style w:type="character" w:customStyle="1" w:styleId="style171">
    <w:name w:val="style171"/>
    <w:qFormat/>
    <w:rsid w:val="00FD6021"/>
    <w:rPr>
      <w:sz w:val="21"/>
      <w:szCs w:val="21"/>
    </w:rPr>
  </w:style>
  <w:style w:type="character" w:customStyle="1" w:styleId="WebCharChar">
    <w:name w:val="普通 (Web) Char Char"/>
    <w:qFormat/>
    <w:locked/>
    <w:rsid w:val="00FD6021"/>
    <w:rPr>
      <w:rFonts w:ascii="宋体" w:eastAsia="宋体" w:hAnsi="宋体" w:cs="宋体"/>
      <w:sz w:val="24"/>
      <w:szCs w:val="24"/>
      <w:lang w:val="en-US" w:eastAsia="zh-CN" w:bidi="ar-SA"/>
    </w:rPr>
  </w:style>
  <w:style w:type="character" w:customStyle="1" w:styleId="style61">
    <w:name w:val="style61"/>
    <w:qFormat/>
    <w:rsid w:val="00FD6021"/>
    <w:rPr>
      <w:b/>
      <w:bCs/>
      <w:color w:val="3399FF"/>
      <w:sz w:val="24"/>
      <w:szCs w:val="24"/>
    </w:rPr>
  </w:style>
  <w:style w:type="character" w:customStyle="1" w:styleId="f41">
    <w:name w:val="f41"/>
    <w:qFormat/>
    <w:rsid w:val="00FD6021"/>
    <w:rPr>
      <w:rFonts w:ascii="宋体" w:eastAsia="宋体" w:hAnsi="宋体" w:hint="eastAsia"/>
      <w:sz w:val="18"/>
      <w:szCs w:val="18"/>
    </w:rPr>
  </w:style>
  <w:style w:type="character" w:customStyle="1" w:styleId="3Char1">
    <w:name w:val="标题 3 Char1"/>
    <w:qFormat/>
    <w:rsid w:val="00FD6021"/>
    <w:rPr>
      <w:rFonts w:eastAsia="宋体"/>
      <w:b/>
      <w:bCs/>
      <w:kern w:val="2"/>
      <w:sz w:val="32"/>
      <w:szCs w:val="32"/>
      <w:lang w:val="en-US" w:eastAsia="zh-CN" w:bidi="ar-SA"/>
    </w:rPr>
  </w:style>
  <w:style w:type="character" w:customStyle="1" w:styleId="style161">
    <w:name w:val="style161"/>
    <w:qFormat/>
    <w:rsid w:val="00FD6021"/>
    <w:rPr>
      <w:sz w:val="24"/>
      <w:szCs w:val="24"/>
    </w:rPr>
  </w:style>
  <w:style w:type="character" w:customStyle="1" w:styleId="f31">
    <w:name w:val="f31"/>
    <w:qFormat/>
    <w:rsid w:val="00FD6021"/>
    <w:rPr>
      <w:rFonts w:ascii="ˎ̥" w:hAnsi="ˎ̥" w:hint="default"/>
      <w:color w:val="999999"/>
      <w:sz w:val="16"/>
      <w:szCs w:val="16"/>
    </w:rPr>
  </w:style>
  <w:style w:type="paragraph" w:customStyle="1" w:styleId="xl91">
    <w:name w:val="xl9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FD6021"/>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FD6021"/>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FD6021"/>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FD6021"/>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FD6021"/>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FD6021"/>
    <w:pPr>
      <w:adjustRightInd w:val="0"/>
      <w:spacing w:line="360" w:lineRule="atLeast"/>
      <w:jc w:val="left"/>
      <w:textAlignment w:val="baseline"/>
    </w:pPr>
    <w:rPr>
      <w:kern w:val="0"/>
      <w:sz w:val="24"/>
      <w:szCs w:val="20"/>
    </w:rPr>
  </w:style>
  <w:style w:type="paragraph" w:customStyle="1" w:styleId="xl39">
    <w:name w:val="xl3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FD6021"/>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FD6021"/>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FD6021"/>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FD6021"/>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FD6021"/>
    <w:pPr>
      <w:widowControl/>
      <w:spacing w:before="100" w:beforeAutospacing="1" w:after="100" w:afterAutospacing="1"/>
      <w:jc w:val="left"/>
    </w:pPr>
    <w:rPr>
      <w:kern w:val="0"/>
      <w:sz w:val="20"/>
      <w:szCs w:val="20"/>
    </w:rPr>
  </w:style>
  <w:style w:type="paragraph" w:customStyle="1" w:styleId="xl110">
    <w:name w:val="xl110"/>
    <w:basedOn w:val="a"/>
    <w:qFormat/>
    <w:rsid w:val="00FD6021"/>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FD6021"/>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FD6021"/>
    <w:pPr>
      <w:widowControl/>
      <w:spacing w:line="330" w:lineRule="atLeast"/>
      <w:jc w:val="left"/>
    </w:pPr>
    <w:rPr>
      <w:rFonts w:ascii="宋体" w:hAnsi="宋体" w:cs="宋体"/>
      <w:kern w:val="0"/>
      <w:szCs w:val="21"/>
    </w:rPr>
  </w:style>
  <w:style w:type="paragraph" w:customStyle="1" w:styleId="f0">
    <w:name w:val="f0"/>
    <w:basedOn w:val="a"/>
    <w:qFormat/>
    <w:rsid w:val="00FD6021"/>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FD6021"/>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FD6021"/>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FD6021"/>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FD6021"/>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FD6021"/>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FD6021"/>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FD6021"/>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FD6021"/>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FD6021"/>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FD6021"/>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FD6021"/>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FD6021"/>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FD6021"/>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FD6021"/>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FD6021"/>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FD6021"/>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FD6021"/>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FD6021"/>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FD6021"/>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FD6021"/>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FD602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FD6021"/>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FD6021"/>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FD6021"/>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FD6021"/>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FD6021"/>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FD6021"/>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FD6021"/>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FD6021"/>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FD6021"/>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FD6021"/>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FD602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FD6021"/>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FD6021"/>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FD6021"/>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FD6021"/>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FD6021"/>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FD6021"/>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FD6021"/>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FD60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FD6021"/>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FD6021"/>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FD6021"/>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FD6021"/>
    <w:pPr>
      <w:widowControl w:val="0"/>
      <w:autoSpaceDE w:val="0"/>
      <w:autoSpaceDN w:val="0"/>
      <w:adjustRightInd w:val="0"/>
    </w:pPr>
    <w:rPr>
      <w:rFonts w:ascii="微软雅黑" w:hAnsi="微软雅黑" w:cs="微软雅黑"/>
      <w:color w:val="000000"/>
      <w:sz w:val="24"/>
      <w:szCs w:val="24"/>
    </w:rPr>
  </w:style>
  <w:style w:type="character" w:customStyle="1" w:styleId="Char">
    <w:name w:val="文档结构图 Char"/>
    <w:basedOn w:val="a0"/>
    <w:link w:val="a3"/>
    <w:uiPriority w:val="99"/>
    <w:semiHidden/>
    <w:qFormat/>
    <w:rsid w:val="00FD6021"/>
    <w:rPr>
      <w:rFonts w:ascii="宋体"/>
      <w:kern w:val="2"/>
      <w:sz w:val="18"/>
      <w:szCs w:val="18"/>
    </w:rPr>
  </w:style>
  <w:style w:type="paragraph" w:styleId="af1">
    <w:name w:val="List Paragraph"/>
    <w:basedOn w:val="a"/>
    <w:uiPriority w:val="99"/>
    <w:qFormat/>
    <w:rsid w:val="00FD6021"/>
    <w:pPr>
      <w:ind w:firstLineChars="200" w:firstLine="420"/>
    </w:pPr>
  </w:style>
  <w:style w:type="character" w:customStyle="1" w:styleId="font41">
    <w:name w:val="font41"/>
    <w:basedOn w:val="a0"/>
    <w:qFormat/>
    <w:rsid w:val="00FD6021"/>
    <w:rPr>
      <w:rFonts w:ascii="MS Gothic" w:eastAsia="MS Gothic" w:hAnsi="MS Gothic" w:cs="MS Gothic"/>
      <w:color w:val="000000"/>
      <w:sz w:val="20"/>
      <w:szCs w:val="20"/>
      <w:u w:val="none"/>
    </w:rPr>
  </w:style>
  <w:style w:type="character" w:customStyle="1" w:styleId="font31">
    <w:name w:val="font31"/>
    <w:basedOn w:val="a0"/>
    <w:qFormat/>
    <w:rsid w:val="00FD6021"/>
    <w:rPr>
      <w:rFonts w:ascii="宋体" w:eastAsia="宋体" w:hAnsi="宋体" w:cs="宋体" w:hint="eastAsia"/>
      <w:color w:val="000000"/>
      <w:sz w:val="20"/>
      <w:szCs w:val="20"/>
      <w:u w:val="none"/>
    </w:rPr>
  </w:style>
  <w:style w:type="character" w:customStyle="1" w:styleId="Char4">
    <w:name w:val="普通(网站) Char"/>
    <w:link w:val="aa"/>
    <w:locked/>
    <w:rsid w:val="0097544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5423284">
      <w:bodyDiv w:val="1"/>
      <w:marLeft w:val="0"/>
      <w:marRight w:val="0"/>
      <w:marTop w:val="0"/>
      <w:marBottom w:val="0"/>
      <w:divBdr>
        <w:top w:val="none" w:sz="0" w:space="0" w:color="auto"/>
        <w:left w:val="none" w:sz="0" w:space="0" w:color="auto"/>
        <w:bottom w:val="none" w:sz="0" w:space="0" w:color="auto"/>
        <w:right w:val="none" w:sz="0" w:space="0" w:color="auto"/>
      </w:divBdr>
    </w:div>
    <w:div w:id="200439999">
      <w:bodyDiv w:val="1"/>
      <w:marLeft w:val="0"/>
      <w:marRight w:val="0"/>
      <w:marTop w:val="0"/>
      <w:marBottom w:val="0"/>
      <w:divBdr>
        <w:top w:val="none" w:sz="0" w:space="0" w:color="auto"/>
        <w:left w:val="none" w:sz="0" w:space="0" w:color="auto"/>
        <w:bottom w:val="none" w:sz="0" w:space="0" w:color="auto"/>
        <w:right w:val="none" w:sz="0" w:space="0" w:color="auto"/>
      </w:divBdr>
    </w:div>
    <w:div w:id="322660203">
      <w:bodyDiv w:val="1"/>
      <w:marLeft w:val="0"/>
      <w:marRight w:val="0"/>
      <w:marTop w:val="0"/>
      <w:marBottom w:val="0"/>
      <w:divBdr>
        <w:top w:val="none" w:sz="0" w:space="0" w:color="auto"/>
        <w:left w:val="none" w:sz="0" w:space="0" w:color="auto"/>
        <w:bottom w:val="none" w:sz="0" w:space="0" w:color="auto"/>
        <w:right w:val="none" w:sz="0" w:space="0" w:color="auto"/>
      </w:divBdr>
      <w:divsChild>
        <w:div w:id="1756516915">
          <w:marLeft w:val="0"/>
          <w:marRight w:val="0"/>
          <w:marTop w:val="0"/>
          <w:marBottom w:val="0"/>
          <w:divBdr>
            <w:top w:val="none" w:sz="0" w:space="0" w:color="auto"/>
            <w:left w:val="none" w:sz="0" w:space="0" w:color="auto"/>
            <w:bottom w:val="none" w:sz="0" w:space="0" w:color="auto"/>
            <w:right w:val="none" w:sz="0" w:space="0" w:color="auto"/>
          </w:divBdr>
        </w:div>
      </w:divsChild>
    </w:div>
    <w:div w:id="349063593">
      <w:bodyDiv w:val="1"/>
      <w:marLeft w:val="0"/>
      <w:marRight w:val="0"/>
      <w:marTop w:val="0"/>
      <w:marBottom w:val="0"/>
      <w:divBdr>
        <w:top w:val="none" w:sz="0" w:space="0" w:color="auto"/>
        <w:left w:val="none" w:sz="0" w:space="0" w:color="auto"/>
        <w:bottom w:val="none" w:sz="0" w:space="0" w:color="auto"/>
        <w:right w:val="none" w:sz="0" w:space="0" w:color="auto"/>
      </w:divBdr>
    </w:div>
    <w:div w:id="428235627">
      <w:bodyDiv w:val="1"/>
      <w:marLeft w:val="0"/>
      <w:marRight w:val="0"/>
      <w:marTop w:val="0"/>
      <w:marBottom w:val="0"/>
      <w:divBdr>
        <w:top w:val="none" w:sz="0" w:space="0" w:color="auto"/>
        <w:left w:val="none" w:sz="0" w:space="0" w:color="auto"/>
        <w:bottom w:val="none" w:sz="0" w:space="0" w:color="auto"/>
        <w:right w:val="none" w:sz="0" w:space="0" w:color="auto"/>
      </w:divBdr>
    </w:div>
    <w:div w:id="433668851">
      <w:bodyDiv w:val="1"/>
      <w:marLeft w:val="0"/>
      <w:marRight w:val="0"/>
      <w:marTop w:val="0"/>
      <w:marBottom w:val="0"/>
      <w:divBdr>
        <w:top w:val="none" w:sz="0" w:space="0" w:color="auto"/>
        <w:left w:val="none" w:sz="0" w:space="0" w:color="auto"/>
        <w:bottom w:val="none" w:sz="0" w:space="0" w:color="auto"/>
        <w:right w:val="none" w:sz="0" w:space="0" w:color="auto"/>
      </w:divBdr>
    </w:div>
    <w:div w:id="529879556">
      <w:bodyDiv w:val="1"/>
      <w:marLeft w:val="0"/>
      <w:marRight w:val="0"/>
      <w:marTop w:val="0"/>
      <w:marBottom w:val="0"/>
      <w:divBdr>
        <w:top w:val="none" w:sz="0" w:space="0" w:color="auto"/>
        <w:left w:val="none" w:sz="0" w:space="0" w:color="auto"/>
        <w:bottom w:val="none" w:sz="0" w:space="0" w:color="auto"/>
        <w:right w:val="none" w:sz="0" w:space="0" w:color="auto"/>
      </w:divBdr>
    </w:div>
    <w:div w:id="554463578">
      <w:bodyDiv w:val="1"/>
      <w:marLeft w:val="0"/>
      <w:marRight w:val="0"/>
      <w:marTop w:val="0"/>
      <w:marBottom w:val="0"/>
      <w:divBdr>
        <w:top w:val="none" w:sz="0" w:space="0" w:color="auto"/>
        <w:left w:val="none" w:sz="0" w:space="0" w:color="auto"/>
        <w:bottom w:val="none" w:sz="0" w:space="0" w:color="auto"/>
        <w:right w:val="none" w:sz="0" w:space="0" w:color="auto"/>
      </w:divBdr>
    </w:div>
    <w:div w:id="554850158">
      <w:bodyDiv w:val="1"/>
      <w:marLeft w:val="0"/>
      <w:marRight w:val="0"/>
      <w:marTop w:val="0"/>
      <w:marBottom w:val="0"/>
      <w:divBdr>
        <w:top w:val="none" w:sz="0" w:space="0" w:color="auto"/>
        <w:left w:val="none" w:sz="0" w:space="0" w:color="auto"/>
        <w:bottom w:val="none" w:sz="0" w:space="0" w:color="auto"/>
        <w:right w:val="none" w:sz="0" w:space="0" w:color="auto"/>
      </w:divBdr>
    </w:div>
    <w:div w:id="589582953">
      <w:bodyDiv w:val="1"/>
      <w:marLeft w:val="0"/>
      <w:marRight w:val="0"/>
      <w:marTop w:val="0"/>
      <w:marBottom w:val="0"/>
      <w:divBdr>
        <w:top w:val="none" w:sz="0" w:space="0" w:color="auto"/>
        <w:left w:val="none" w:sz="0" w:space="0" w:color="auto"/>
        <w:bottom w:val="none" w:sz="0" w:space="0" w:color="auto"/>
        <w:right w:val="none" w:sz="0" w:space="0" w:color="auto"/>
      </w:divBdr>
    </w:div>
    <w:div w:id="598417253">
      <w:bodyDiv w:val="1"/>
      <w:marLeft w:val="0"/>
      <w:marRight w:val="0"/>
      <w:marTop w:val="0"/>
      <w:marBottom w:val="0"/>
      <w:divBdr>
        <w:top w:val="none" w:sz="0" w:space="0" w:color="auto"/>
        <w:left w:val="none" w:sz="0" w:space="0" w:color="auto"/>
        <w:bottom w:val="none" w:sz="0" w:space="0" w:color="auto"/>
        <w:right w:val="none" w:sz="0" w:space="0" w:color="auto"/>
      </w:divBdr>
    </w:div>
    <w:div w:id="660080779">
      <w:bodyDiv w:val="1"/>
      <w:marLeft w:val="0"/>
      <w:marRight w:val="0"/>
      <w:marTop w:val="0"/>
      <w:marBottom w:val="0"/>
      <w:divBdr>
        <w:top w:val="none" w:sz="0" w:space="0" w:color="auto"/>
        <w:left w:val="none" w:sz="0" w:space="0" w:color="auto"/>
        <w:bottom w:val="none" w:sz="0" w:space="0" w:color="auto"/>
        <w:right w:val="none" w:sz="0" w:space="0" w:color="auto"/>
      </w:divBdr>
    </w:div>
    <w:div w:id="797378494">
      <w:bodyDiv w:val="1"/>
      <w:marLeft w:val="0"/>
      <w:marRight w:val="0"/>
      <w:marTop w:val="0"/>
      <w:marBottom w:val="0"/>
      <w:divBdr>
        <w:top w:val="none" w:sz="0" w:space="0" w:color="auto"/>
        <w:left w:val="none" w:sz="0" w:space="0" w:color="auto"/>
        <w:bottom w:val="none" w:sz="0" w:space="0" w:color="auto"/>
        <w:right w:val="none" w:sz="0" w:space="0" w:color="auto"/>
      </w:divBdr>
    </w:div>
    <w:div w:id="828250159">
      <w:bodyDiv w:val="1"/>
      <w:marLeft w:val="0"/>
      <w:marRight w:val="0"/>
      <w:marTop w:val="0"/>
      <w:marBottom w:val="0"/>
      <w:divBdr>
        <w:top w:val="none" w:sz="0" w:space="0" w:color="auto"/>
        <w:left w:val="none" w:sz="0" w:space="0" w:color="auto"/>
        <w:bottom w:val="none" w:sz="0" w:space="0" w:color="auto"/>
        <w:right w:val="none" w:sz="0" w:space="0" w:color="auto"/>
      </w:divBdr>
      <w:divsChild>
        <w:div w:id="86657611">
          <w:marLeft w:val="0"/>
          <w:marRight w:val="0"/>
          <w:marTop w:val="0"/>
          <w:marBottom w:val="0"/>
          <w:divBdr>
            <w:top w:val="none" w:sz="0" w:space="0" w:color="auto"/>
            <w:left w:val="none" w:sz="0" w:space="0" w:color="auto"/>
            <w:bottom w:val="none" w:sz="0" w:space="0" w:color="auto"/>
            <w:right w:val="none" w:sz="0" w:space="0" w:color="auto"/>
          </w:divBdr>
        </w:div>
      </w:divsChild>
    </w:div>
    <w:div w:id="912935972">
      <w:bodyDiv w:val="1"/>
      <w:marLeft w:val="0"/>
      <w:marRight w:val="0"/>
      <w:marTop w:val="0"/>
      <w:marBottom w:val="0"/>
      <w:divBdr>
        <w:top w:val="none" w:sz="0" w:space="0" w:color="auto"/>
        <w:left w:val="none" w:sz="0" w:space="0" w:color="auto"/>
        <w:bottom w:val="none" w:sz="0" w:space="0" w:color="auto"/>
        <w:right w:val="none" w:sz="0" w:space="0" w:color="auto"/>
      </w:divBdr>
    </w:div>
    <w:div w:id="1011025670">
      <w:bodyDiv w:val="1"/>
      <w:marLeft w:val="0"/>
      <w:marRight w:val="0"/>
      <w:marTop w:val="0"/>
      <w:marBottom w:val="0"/>
      <w:divBdr>
        <w:top w:val="none" w:sz="0" w:space="0" w:color="auto"/>
        <w:left w:val="none" w:sz="0" w:space="0" w:color="auto"/>
        <w:bottom w:val="none" w:sz="0" w:space="0" w:color="auto"/>
        <w:right w:val="none" w:sz="0" w:space="0" w:color="auto"/>
      </w:divBdr>
    </w:div>
    <w:div w:id="1014067656">
      <w:bodyDiv w:val="1"/>
      <w:marLeft w:val="0"/>
      <w:marRight w:val="0"/>
      <w:marTop w:val="0"/>
      <w:marBottom w:val="0"/>
      <w:divBdr>
        <w:top w:val="none" w:sz="0" w:space="0" w:color="auto"/>
        <w:left w:val="none" w:sz="0" w:space="0" w:color="auto"/>
        <w:bottom w:val="none" w:sz="0" w:space="0" w:color="auto"/>
        <w:right w:val="none" w:sz="0" w:space="0" w:color="auto"/>
      </w:divBdr>
    </w:div>
    <w:div w:id="1146316150">
      <w:bodyDiv w:val="1"/>
      <w:marLeft w:val="0"/>
      <w:marRight w:val="0"/>
      <w:marTop w:val="0"/>
      <w:marBottom w:val="0"/>
      <w:divBdr>
        <w:top w:val="none" w:sz="0" w:space="0" w:color="auto"/>
        <w:left w:val="none" w:sz="0" w:space="0" w:color="auto"/>
        <w:bottom w:val="none" w:sz="0" w:space="0" w:color="auto"/>
        <w:right w:val="none" w:sz="0" w:space="0" w:color="auto"/>
      </w:divBdr>
    </w:div>
    <w:div w:id="1291863677">
      <w:bodyDiv w:val="1"/>
      <w:marLeft w:val="0"/>
      <w:marRight w:val="0"/>
      <w:marTop w:val="0"/>
      <w:marBottom w:val="0"/>
      <w:divBdr>
        <w:top w:val="none" w:sz="0" w:space="0" w:color="auto"/>
        <w:left w:val="none" w:sz="0" w:space="0" w:color="auto"/>
        <w:bottom w:val="none" w:sz="0" w:space="0" w:color="auto"/>
        <w:right w:val="none" w:sz="0" w:space="0" w:color="auto"/>
      </w:divBdr>
    </w:div>
    <w:div w:id="1308587149">
      <w:bodyDiv w:val="1"/>
      <w:marLeft w:val="0"/>
      <w:marRight w:val="0"/>
      <w:marTop w:val="0"/>
      <w:marBottom w:val="0"/>
      <w:divBdr>
        <w:top w:val="none" w:sz="0" w:space="0" w:color="auto"/>
        <w:left w:val="none" w:sz="0" w:space="0" w:color="auto"/>
        <w:bottom w:val="none" w:sz="0" w:space="0" w:color="auto"/>
        <w:right w:val="none" w:sz="0" w:space="0" w:color="auto"/>
      </w:divBdr>
    </w:div>
    <w:div w:id="1396198952">
      <w:bodyDiv w:val="1"/>
      <w:marLeft w:val="0"/>
      <w:marRight w:val="0"/>
      <w:marTop w:val="0"/>
      <w:marBottom w:val="0"/>
      <w:divBdr>
        <w:top w:val="none" w:sz="0" w:space="0" w:color="auto"/>
        <w:left w:val="none" w:sz="0" w:space="0" w:color="auto"/>
        <w:bottom w:val="none" w:sz="0" w:space="0" w:color="auto"/>
        <w:right w:val="none" w:sz="0" w:space="0" w:color="auto"/>
      </w:divBdr>
    </w:div>
    <w:div w:id="1465348789">
      <w:bodyDiv w:val="1"/>
      <w:marLeft w:val="0"/>
      <w:marRight w:val="0"/>
      <w:marTop w:val="0"/>
      <w:marBottom w:val="0"/>
      <w:divBdr>
        <w:top w:val="none" w:sz="0" w:space="0" w:color="auto"/>
        <w:left w:val="none" w:sz="0" w:space="0" w:color="auto"/>
        <w:bottom w:val="none" w:sz="0" w:space="0" w:color="auto"/>
        <w:right w:val="none" w:sz="0" w:space="0" w:color="auto"/>
      </w:divBdr>
    </w:div>
    <w:div w:id="1650985675">
      <w:bodyDiv w:val="1"/>
      <w:marLeft w:val="0"/>
      <w:marRight w:val="0"/>
      <w:marTop w:val="0"/>
      <w:marBottom w:val="0"/>
      <w:divBdr>
        <w:top w:val="none" w:sz="0" w:space="0" w:color="auto"/>
        <w:left w:val="none" w:sz="0" w:space="0" w:color="auto"/>
        <w:bottom w:val="none" w:sz="0" w:space="0" w:color="auto"/>
        <w:right w:val="none" w:sz="0" w:space="0" w:color="auto"/>
      </w:divBdr>
    </w:div>
    <w:div w:id="1809932077">
      <w:bodyDiv w:val="1"/>
      <w:marLeft w:val="0"/>
      <w:marRight w:val="0"/>
      <w:marTop w:val="0"/>
      <w:marBottom w:val="0"/>
      <w:divBdr>
        <w:top w:val="none" w:sz="0" w:space="0" w:color="auto"/>
        <w:left w:val="none" w:sz="0" w:space="0" w:color="auto"/>
        <w:bottom w:val="none" w:sz="0" w:space="0" w:color="auto"/>
        <w:right w:val="none" w:sz="0" w:space="0" w:color="auto"/>
      </w:divBdr>
    </w:div>
    <w:div w:id="1892299369">
      <w:bodyDiv w:val="1"/>
      <w:marLeft w:val="0"/>
      <w:marRight w:val="0"/>
      <w:marTop w:val="0"/>
      <w:marBottom w:val="0"/>
      <w:divBdr>
        <w:top w:val="none" w:sz="0" w:space="0" w:color="auto"/>
        <w:left w:val="none" w:sz="0" w:space="0" w:color="auto"/>
        <w:bottom w:val="none" w:sz="0" w:space="0" w:color="auto"/>
        <w:right w:val="none" w:sz="0" w:space="0" w:color="auto"/>
      </w:divBdr>
      <w:divsChild>
        <w:div w:id="239297943">
          <w:marLeft w:val="0"/>
          <w:marRight w:val="0"/>
          <w:marTop w:val="0"/>
          <w:marBottom w:val="0"/>
          <w:divBdr>
            <w:top w:val="none" w:sz="0" w:space="0" w:color="auto"/>
            <w:left w:val="none" w:sz="0" w:space="0" w:color="auto"/>
            <w:bottom w:val="none" w:sz="0" w:space="0" w:color="auto"/>
            <w:right w:val="none" w:sz="0" w:space="0" w:color="auto"/>
          </w:divBdr>
        </w:div>
      </w:divsChild>
    </w:div>
    <w:div w:id="2070839076">
      <w:bodyDiv w:val="1"/>
      <w:marLeft w:val="0"/>
      <w:marRight w:val="0"/>
      <w:marTop w:val="0"/>
      <w:marBottom w:val="0"/>
      <w:divBdr>
        <w:top w:val="none" w:sz="0" w:space="0" w:color="auto"/>
        <w:left w:val="none" w:sz="0" w:space="0" w:color="auto"/>
        <w:bottom w:val="none" w:sz="0" w:space="0" w:color="auto"/>
        <w:right w:val="none" w:sz="0" w:space="0" w:color="auto"/>
      </w:divBdr>
    </w:div>
    <w:div w:id="213281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Administrator.USER-20170424GR\Desktop\&#26647;&#20029;\&#30707;&#27833;%20&#21407;&#27833;\&#30707;&#27833;\&#30707;&#27833;&#34920;&#26684;\28&#21608;&#20116;\&#28342;&#21058;&#27833;&#65288;&#30707;&#33041;&#27833;&#65289;&#21608;&#25253;2019-3-22-%20.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USER-20170424GR\Desktop\&#26647;&#20029;\&#30707;&#27833;%20&#21407;&#27833;\&#30707;&#27833;\&#30707;&#27833;&#34920;&#26684;\&#22269;&#38469;&#21407;&#27833;&#20215;&#26684;&#21450;&#36208;&#21183;&#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USER-20170424GR\Desktop\&#26647;&#20029;\&#30707;&#27833;%20&#21407;&#27833;\&#30707;&#27833;\&#30707;&#27833;&#34920;&#26684;\28&#21608;&#20116;\&#26368;&#26032;&#28342;&#21058;&#27833;&#21608;&#25253;&#65306;&#23665;&#19996;&#22320;&#28860;&#30707;&#33041;&#27833;&#20215;&#26684;&#36208;&#21183;&#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宋体"/>
                <a:ea typeface="宋体"/>
                <a:cs typeface="宋体"/>
              </a:defRPr>
            </a:pPr>
            <a:r>
              <a:rPr lang="zh-CN" altLang="en-US"/>
              <a:t>世界原油期货走势图</a:t>
            </a:r>
          </a:p>
        </c:rich>
      </c:tx>
      <c:layout>
        <c:manualLayout>
          <c:xMode val="edge"/>
          <c:yMode val="edge"/>
          <c:x val="0.35253761413626111"/>
          <c:y val="6.8685160948886839E-2"/>
        </c:manualLayout>
      </c:layout>
    </c:title>
    <c:plotArea>
      <c:layout>
        <c:manualLayout>
          <c:layoutTarget val="inner"/>
          <c:xMode val="edge"/>
          <c:yMode val="edge"/>
          <c:x val="0.12997689549369709"/>
          <c:y val="0.13499424288585207"/>
          <c:w val="0.79055189529880265"/>
          <c:h val="0.76060367454068412"/>
        </c:manualLayout>
      </c:layout>
      <c:lineChart>
        <c:grouping val="standard"/>
        <c:ser>
          <c:idx val="0"/>
          <c:order val="0"/>
          <c:tx>
            <c:strRef>
              <c:f>'世界-走势图'!$B$1</c:f>
              <c:strCache>
                <c:ptCount val="1"/>
                <c:pt idx="0">
                  <c:v>WTI</c:v>
                </c:pt>
              </c:strCache>
            </c:strRef>
          </c:tx>
          <c:spPr>
            <a:ln w="25400" cap="rnd" cmpd="sng" algn="ctr">
              <a:solidFill>
                <a:srgbClr val="0000FF">
                  <a:alpha val="100000"/>
                </a:srgbClr>
              </a:solidFill>
              <a:prstDash val="solid"/>
              <a:round/>
            </a:ln>
          </c:spPr>
          <c:marker>
            <c:symbol val="none"/>
          </c:marker>
          <c:cat>
            <c:numRef>
              <c:f>'世界-走势图'!$A$2:$A$696</c:f>
              <c:numCache>
                <c:formatCode>yyyy/m/d;@</c:formatCode>
                <c:ptCount val="695"/>
                <c:pt idx="0">
                  <c:v>43544</c:v>
                </c:pt>
                <c:pt idx="1">
                  <c:v>43543</c:v>
                </c:pt>
                <c:pt idx="2">
                  <c:v>43542</c:v>
                </c:pt>
                <c:pt idx="3">
                  <c:v>43539</c:v>
                </c:pt>
                <c:pt idx="4">
                  <c:v>43538</c:v>
                </c:pt>
                <c:pt idx="5">
                  <c:v>43537</c:v>
                </c:pt>
                <c:pt idx="6">
                  <c:v>43536</c:v>
                </c:pt>
                <c:pt idx="7">
                  <c:v>43535</c:v>
                </c:pt>
                <c:pt idx="8">
                  <c:v>43532</c:v>
                </c:pt>
                <c:pt idx="9">
                  <c:v>43531</c:v>
                </c:pt>
                <c:pt idx="10">
                  <c:v>43530</c:v>
                </c:pt>
                <c:pt idx="11">
                  <c:v>43529</c:v>
                </c:pt>
                <c:pt idx="12">
                  <c:v>43528</c:v>
                </c:pt>
                <c:pt idx="13">
                  <c:v>43525</c:v>
                </c:pt>
                <c:pt idx="14">
                  <c:v>43524</c:v>
                </c:pt>
                <c:pt idx="15">
                  <c:v>43523</c:v>
                </c:pt>
                <c:pt idx="16">
                  <c:v>43522</c:v>
                </c:pt>
                <c:pt idx="17">
                  <c:v>43521</c:v>
                </c:pt>
                <c:pt idx="18">
                  <c:v>43518</c:v>
                </c:pt>
                <c:pt idx="19">
                  <c:v>43517</c:v>
                </c:pt>
                <c:pt idx="20">
                  <c:v>43516</c:v>
                </c:pt>
                <c:pt idx="21">
                  <c:v>43515</c:v>
                </c:pt>
                <c:pt idx="22">
                  <c:v>43514</c:v>
                </c:pt>
                <c:pt idx="23">
                  <c:v>43511</c:v>
                </c:pt>
                <c:pt idx="24">
                  <c:v>43510</c:v>
                </c:pt>
                <c:pt idx="25">
                  <c:v>43509</c:v>
                </c:pt>
                <c:pt idx="26">
                  <c:v>43508</c:v>
                </c:pt>
                <c:pt idx="27">
                  <c:v>43507</c:v>
                </c:pt>
                <c:pt idx="28">
                  <c:v>43504</c:v>
                </c:pt>
                <c:pt idx="29">
                  <c:v>43503</c:v>
                </c:pt>
                <c:pt idx="30">
                  <c:v>43502</c:v>
                </c:pt>
                <c:pt idx="31">
                  <c:v>43501</c:v>
                </c:pt>
                <c:pt idx="32">
                  <c:v>43500</c:v>
                </c:pt>
                <c:pt idx="33">
                  <c:v>43497</c:v>
                </c:pt>
                <c:pt idx="34">
                  <c:v>43496</c:v>
                </c:pt>
                <c:pt idx="35">
                  <c:v>43495</c:v>
                </c:pt>
                <c:pt idx="36">
                  <c:v>43494</c:v>
                </c:pt>
                <c:pt idx="37">
                  <c:v>43493</c:v>
                </c:pt>
                <c:pt idx="38">
                  <c:v>43490</c:v>
                </c:pt>
                <c:pt idx="39">
                  <c:v>43489</c:v>
                </c:pt>
                <c:pt idx="40">
                  <c:v>43488</c:v>
                </c:pt>
                <c:pt idx="41">
                  <c:v>43487</c:v>
                </c:pt>
                <c:pt idx="42">
                  <c:v>43486</c:v>
                </c:pt>
                <c:pt idx="43">
                  <c:v>43483</c:v>
                </c:pt>
                <c:pt idx="44">
                  <c:v>43482</c:v>
                </c:pt>
                <c:pt idx="45">
                  <c:v>43481</c:v>
                </c:pt>
                <c:pt idx="46">
                  <c:v>43480</c:v>
                </c:pt>
                <c:pt idx="47">
                  <c:v>43479</c:v>
                </c:pt>
                <c:pt idx="48">
                  <c:v>43476</c:v>
                </c:pt>
                <c:pt idx="49">
                  <c:v>43475</c:v>
                </c:pt>
                <c:pt idx="50">
                  <c:v>43474</c:v>
                </c:pt>
                <c:pt idx="51">
                  <c:v>43473</c:v>
                </c:pt>
                <c:pt idx="52">
                  <c:v>43472</c:v>
                </c:pt>
                <c:pt idx="53">
                  <c:v>43469</c:v>
                </c:pt>
                <c:pt idx="54">
                  <c:v>43468</c:v>
                </c:pt>
                <c:pt idx="55">
                  <c:v>43467</c:v>
                </c:pt>
                <c:pt idx="56">
                  <c:v>43466</c:v>
                </c:pt>
                <c:pt idx="57">
                  <c:v>43465</c:v>
                </c:pt>
                <c:pt idx="58">
                  <c:v>43462</c:v>
                </c:pt>
                <c:pt idx="59">
                  <c:v>43461</c:v>
                </c:pt>
                <c:pt idx="60">
                  <c:v>43460</c:v>
                </c:pt>
                <c:pt idx="61">
                  <c:v>43459</c:v>
                </c:pt>
                <c:pt idx="62">
                  <c:v>43458</c:v>
                </c:pt>
                <c:pt idx="63">
                  <c:v>43455</c:v>
                </c:pt>
                <c:pt idx="64">
                  <c:v>43454</c:v>
                </c:pt>
                <c:pt idx="65">
                  <c:v>43453</c:v>
                </c:pt>
                <c:pt idx="66">
                  <c:v>43452</c:v>
                </c:pt>
                <c:pt idx="67">
                  <c:v>43451</c:v>
                </c:pt>
                <c:pt idx="68">
                  <c:v>43448</c:v>
                </c:pt>
                <c:pt idx="69">
                  <c:v>43447</c:v>
                </c:pt>
                <c:pt idx="70">
                  <c:v>43446</c:v>
                </c:pt>
                <c:pt idx="71">
                  <c:v>43445</c:v>
                </c:pt>
                <c:pt idx="72">
                  <c:v>43444</c:v>
                </c:pt>
                <c:pt idx="73">
                  <c:v>43441</c:v>
                </c:pt>
                <c:pt idx="74">
                  <c:v>43440</c:v>
                </c:pt>
                <c:pt idx="75">
                  <c:v>43439</c:v>
                </c:pt>
                <c:pt idx="76">
                  <c:v>43438</c:v>
                </c:pt>
                <c:pt idx="77">
                  <c:v>43437</c:v>
                </c:pt>
                <c:pt idx="78">
                  <c:v>43434</c:v>
                </c:pt>
                <c:pt idx="79">
                  <c:v>43433</c:v>
                </c:pt>
                <c:pt idx="80">
                  <c:v>43432</c:v>
                </c:pt>
                <c:pt idx="81">
                  <c:v>43431</c:v>
                </c:pt>
                <c:pt idx="82">
                  <c:v>43430</c:v>
                </c:pt>
                <c:pt idx="83">
                  <c:v>43427</c:v>
                </c:pt>
                <c:pt idx="84">
                  <c:v>43426</c:v>
                </c:pt>
                <c:pt idx="85">
                  <c:v>43425</c:v>
                </c:pt>
                <c:pt idx="86">
                  <c:v>43424</c:v>
                </c:pt>
                <c:pt idx="87">
                  <c:v>43423</c:v>
                </c:pt>
                <c:pt idx="88">
                  <c:v>43420</c:v>
                </c:pt>
                <c:pt idx="89">
                  <c:v>43419</c:v>
                </c:pt>
                <c:pt idx="90">
                  <c:v>43418</c:v>
                </c:pt>
                <c:pt idx="91">
                  <c:v>43417</c:v>
                </c:pt>
                <c:pt idx="92">
                  <c:v>43416</c:v>
                </c:pt>
                <c:pt idx="93">
                  <c:v>43413</c:v>
                </c:pt>
                <c:pt idx="94">
                  <c:v>43412</c:v>
                </c:pt>
                <c:pt idx="95">
                  <c:v>43411</c:v>
                </c:pt>
                <c:pt idx="96">
                  <c:v>43410</c:v>
                </c:pt>
                <c:pt idx="97">
                  <c:v>43409</c:v>
                </c:pt>
                <c:pt idx="98">
                  <c:v>43406</c:v>
                </c:pt>
                <c:pt idx="99">
                  <c:v>43405</c:v>
                </c:pt>
                <c:pt idx="100">
                  <c:v>43404</c:v>
                </c:pt>
                <c:pt idx="101">
                  <c:v>43403</c:v>
                </c:pt>
                <c:pt idx="102">
                  <c:v>43402</c:v>
                </c:pt>
                <c:pt idx="103">
                  <c:v>43399</c:v>
                </c:pt>
                <c:pt idx="104">
                  <c:v>43398</c:v>
                </c:pt>
                <c:pt idx="105">
                  <c:v>43397</c:v>
                </c:pt>
                <c:pt idx="106">
                  <c:v>43396</c:v>
                </c:pt>
                <c:pt idx="107">
                  <c:v>43395</c:v>
                </c:pt>
                <c:pt idx="108">
                  <c:v>43392</c:v>
                </c:pt>
                <c:pt idx="109">
                  <c:v>43391</c:v>
                </c:pt>
                <c:pt idx="110">
                  <c:v>43390</c:v>
                </c:pt>
                <c:pt idx="111">
                  <c:v>43389</c:v>
                </c:pt>
                <c:pt idx="112">
                  <c:v>43388</c:v>
                </c:pt>
                <c:pt idx="113">
                  <c:v>43385</c:v>
                </c:pt>
                <c:pt idx="114">
                  <c:v>43384</c:v>
                </c:pt>
                <c:pt idx="115">
                  <c:v>43383</c:v>
                </c:pt>
                <c:pt idx="116">
                  <c:v>43382</c:v>
                </c:pt>
                <c:pt idx="117">
                  <c:v>43381</c:v>
                </c:pt>
                <c:pt idx="118">
                  <c:v>43378</c:v>
                </c:pt>
                <c:pt idx="119">
                  <c:v>43377</c:v>
                </c:pt>
                <c:pt idx="120">
                  <c:v>43376</c:v>
                </c:pt>
                <c:pt idx="121">
                  <c:v>43375</c:v>
                </c:pt>
                <c:pt idx="122">
                  <c:v>43374</c:v>
                </c:pt>
                <c:pt idx="123">
                  <c:v>43371</c:v>
                </c:pt>
                <c:pt idx="124">
                  <c:v>43370</c:v>
                </c:pt>
                <c:pt idx="125">
                  <c:v>43369</c:v>
                </c:pt>
                <c:pt idx="126">
                  <c:v>43368</c:v>
                </c:pt>
                <c:pt idx="127">
                  <c:v>43367</c:v>
                </c:pt>
                <c:pt idx="128">
                  <c:v>43364</c:v>
                </c:pt>
                <c:pt idx="129">
                  <c:v>43363</c:v>
                </c:pt>
                <c:pt idx="130">
                  <c:v>43362</c:v>
                </c:pt>
                <c:pt idx="131">
                  <c:v>43361</c:v>
                </c:pt>
                <c:pt idx="132">
                  <c:v>43360</c:v>
                </c:pt>
                <c:pt idx="133">
                  <c:v>43357</c:v>
                </c:pt>
                <c:pt idx="134">
                  <c:v>43356</c:v>
                </c:pt>
                <c:pt idx="135">
                  <c:v>43355</c:v>
                </c:pt>
                <c:pt idx="136">
                  <c:v>43354</c:v>
                </c:pt>
                <c:pt idx="137">
                  <c:v>43353</c:v>
                </c:pt>
                <c:pt idx="138">
                  <c:v>43350</c:v>
                </c:pt>
                <c:pt idx="139">
                  <c:v>43349</c:v>
                </c:pt>
                <c:pt idx="140">
                  <c:v>43348</c:v>
                </c:pt>
                <c:pt idx="141">
                  <c:v>43347</c:v>
                </c:pt>
                <c:pt idx="142">
                  <c:v>43346</c:v>
                </c:pt>
                <c:pt idx="143">
                  <c:v>43343</c:v>
                </c:pt>
                <c:pt idx="144">
                  <c:v>43342</c:v>
                </c:pt>
                <c:pt idx="145">
                  <c:v>43341</c:v>
                </c:pt>
                <c:pt idx="146">
                  <c:v>43340</c:v>
                </c:pt>
                <c:pt idx="147">
                  <c:v>43339</c:v>
                </c:pt>
                <c:pt idx="148">
                  <c:v>43336</c:v>
                </c:pt>
                <c:pt idx="149">
                  <c:v>43335</c:v>
                </c:pt>
                <c:pt idx="150">
                  <c:v>43334</c:v>
                </c:pt>
                <c:pt idx="151">
                  <c:v>43333</c:v>
                </c:pt>
                <c:pt idx="152">
                  <c:v>43332</c:v>
                </c:pt>
                <c:pt idx="153">
                  <c:v>43329</c:v>
                </c:pt>
                <c:pt idx="154">
                  <c:v>43328</c:v>
                </c:pt>
                <c:pt idx="155">
                  <c:v>43327</c:v>
                </c:pt>
                <c:pt idx="156">
                  <c:v>43326</c:v>
                </c:pt>
                <c:pt idx="157">
                  <c:v>43325</c:v>
                </c:pt>
                <c:pt idx="158">
                  <c:v>43322</c:v>
                </c:pt>
                <c:pt idx="159">
                  <c:v>43321</c:v>
                </c:pt>
                <c:pt idx="160">
                  <c:v>43320</c:v>
                </c:pt>
                <c:pt idx="161">
                  <c:v>43319</c:v>
                </c:pt>
                <c:pt idx="162">
                  <c:v>43318</c:v>
                </c:pt>
                <c:pt idx="163">
                  <c:v>43315</c:v>
                </c:pt>
                <c:pt idx="164">
                  <c:v>43314</c:v>
                </c:pt>
                <c:pt idx="165">
                  <c:v>43313</c:v>
                </c:pt>
                <c:pt idx="166">
                  <c:v>43312</c:v>
                </c:pt>
                <c:pt idx="167">
                  <c:v>43311</c:v>
                </c:pt>
                <c:pt idx="168">
                  <c:v>43308</c:v>
                </c:pt>
                <c:pt idx="169">
                  <c:v>43307</c:v>
                </c:pt>
                <c:pt idx="170">
                  <c:v>43306</c:v>
                </c:pt>
                <c:pt idx="171">
                  <c:v>43305</c:v>
                </c:pt>
                <c:pt idx="172">
                  <c:v>43304</c:v>
                </c:pt>
                <c:pt idx="173">
                  <c:v>43301</c:v>
                </c:pt>
                <c:pt idx="174">
                  <c:v>43300</c:v>
                </c:pt>
                <c:pt idx="175">
                  <c:v>43299</c:v>
                </c:pt>
                <c:pt idx="176">
                  <c:v>43298</c:v>
                </c:pt>
                <c:pt idx="177">
                  <c:v>43297</c:v>
                </c:pt>
                <c:pt idx="178">
                  <c:v>43294</c:v>
                </c:pt>
                <c:pt idx="179">
                  <c:v>43293</c:v>
                </c:pt>
                <c:pt idx="180">
                  <c:v>43292</c:v>
                </c:pt>
                <c:pt idx="181">
                  <c:v>43291</c:v>
                </c:pt>
                <c:pt idx="182">
                  <c:v>43290</c:v>
                </c:pt>
                <c:pt idx="183">
                  <c:v>43287</c:v>
                </c:pt>
                <c:pt idx="184">
                  <c:v>43286</c:v>
                </c:pt>
                <c:pt idx="185">
                  <c:v>43285</c:v>
                </c:pt>
                <c:pt idx="186">
                  <c:v>43284</c:v>
                </c:pt>
                <c:pt idx="187">
                  <c:v>43283</c:v>
                </c:pt>
                <c:pt idx="188">
                  <c:v>43280</c:v>
                </c:pt>
                <c:pt idx="189">
                  <c:v>43279</c:v>
                </c:pt>
                <c:pt idx="190">
                  <c:v>43278</c:v>
                </c:pt>
                <c:pt idx="191">
                  <c:v>43277</c:v>
                </c:pt>
                <c:pt idx="192">
                  <c:v>43276</c:v>
                </c:pt>
                <c:pt idx="193">
                  <c:v>43273</c:v>
                </c:pt>
                <c:pt idx="194">
                  <c:v>43272</c:v>
                </c:pt>
                <c:pt idx="195">
                  <c:v>43271</c:v>
                </c:pt>
                <c:pt idx="196">
                  <c:v>43270</c:v>
                </c:pt>
                <c:pt idx="197">
                  <c:v>43269</c:v>
                </c:pt>
                <c:pt idx="198">
                  <c:v>43266</c:v>
                </c:pt>
                <c:pt idx="199">
                  <c:v>43265</c:v>
                </c:pt>
                <c:pt idx="200">
                  <c:v>43264</c:v>
                </c:pt>
                <c:pt idx="201">
                  <c:v>43263</c:v>
                </c:pt>
                <c:pt idx="202">
                  <c:v>43262</c:v>
                </c:pt>
                <c:pt idx="203">
                  <c:v>43259</c:v>
                </c:pt>
                <c:pt idx="204">
                  <c:v>43258</c:v>
                </c:pt>
                <c:pt idx="205">
                  <c:v>43257</c:v>
                </c:pt>
                <c:pt idx="206">
                  <c:v>43256</c:v>
                </c:pt>
                <c:pt idx="207">
                  <c:v>43255</c:v>
                </c:pt>
                <c:pt idx="208">
                  <c:v>43252</c:v>
                </c:pt>
                <c:pt idx="209">
                  <c:v>43251</c:v>
                </c:pt>
                <c:pt idx="210">
                  <c:v>43250</c:v>
                </c:pt>
                <c:pt idx="211">
                  <c:v>43249</c:v>
                </c:pt>
                <c:pt idx="212">
                  <c:v>43248</c:v>
                </c:pt>
                <c:pt idx="213">
                  <c:v>43245</c:v>
                </c:pt>
                <c:pt idx="214">
                  <c:v>43244</c:v>
                </c:pt>
                <c:pt idx="215">
                  <c:v>43243</c:v>
                </c:pt>
                <c:pt idx="216">
                  <c:v>43242</c:v>
                </c:pt>
                <c:pt idx="217">
                  <c:v>43241</c:v>
                </c:pt>
                <c:pt idx="218">
                  <c:v>43238</c:v>
                </c:pt>
                <c:pt idx="219">
                  <c:v>43237</c:v>
                </c:pt>
                <c:pt idx="220">
                  <c:v>43236</c:v>
                </c:pt>
                <c:pt idx="221">
                  <c:v>43235</c:v>
                </c:pt>
                <c:pt idx="222">
                  <c:v>43234</c:v>
                </c:pt>
                <c:pt idx="223">
                  <c:v>43231</c:v>
                </c:pt>
                <c:pt idx="224">
                  <c:v>43230</c:v>
                </c:pt>
                <c:pt idx="225">
                  <c:v>43229</c:v>
                </c:pt>
                <c:pt idx="226">
                  <c:v>43228</c:v>
                </c:pt>
                <c:pt idx="227">
                  <c:v>43227</c:v>
                </c:pt>
                <c:pt idx="228">
                  <c:v>43224</c:v>
                </c:pt>
                <c:pt idx="229">
                  <c:v>43223</c:v>
                </c:pt>
                <c:pt idx="230">
                  <c:v>43222</c:v>
                </c:pt>
                <c:pt idx="231">
                  <c:v>43221</c:v>
                </c:pt>
                <c:pt idx="232">
                  <c:v>43220</c:v>
                </c:pt>
                <c:pt idx="233">
                  <c:v>43217</c:v>
                </c:pt>
                <c:pt idx="234">
                  <c:v>43216</c:v>
                </c:pt>
                <c:pt idx="235">
                  <c:v>43215</c:v>
                </c:pt>
                <c:pt idx="236">
                  <c:v>43214</c:v>
                </c:pt>
                <c:pt idx="237">
                  <c:v>43213</c:v>
                </c:pt>
                <c:pt idx="238">
                  <c:v>43210</c:v>
                </c:pt>
                <c:pt idx="239">
                  <c:v>43209</c:v>
                </c:pt>
                <c:pt idx="240">
                  <c:v>43208</c:v>
                </c:pt>
                <c:pt idx="241">
                  <c:v>43207</c:v>
                </c:pt>
                <c:pt idx="242">
                  <c:v>43206</c:v>
                </c:pt>
                <c:pt idx="243">
                  <c:v>43203</c:v>
                </c:pt>
                <c:pt idx="244">
                  <c:v>43202</c:v>
                </c:pt>
                <c:pt idx="245">
                  <c:v>43201</c:v>
                </c:pt>
                <c:pt idx="246">
                  <c:v>43200</c:v>
                </c:pt>
                <c:pt idx="247">
                  <c:v>43199</c:v>
                </c:pt>
                <c:pt idx="248">
                  <c:v>43196</c:v>
                </c:pt>
                <c:pt idx="249">
                  <c:v>43195</c:v>
                </c:pt>
                <c:pt idx="250">
                  <c:v>43194</c:v>
                </c:pt>
                <c:pt idx="251">
                  <c:v>43193</c:v>
                </c:pt>
                <c:pt idx="252">
                  <c:v>43192</c:v>
                </c:pt>
                <c:pt idx="253">
                  <c:v>43189</c:v>
                </c:pt>
                <c:pt idx="254">
                  <c:v>43188</c:v>
                </c:pt>
                <c:pt idx="255">
                  <c:v>43187</c:v>
                </c:pt>
                <c:pt idx="256">
                  <c:v>43186</c:v>
                </c:pt>
                <c:pt idx="257">
                  <c:v>43185</c:v>
                </c:pt>
                <c:pt idx="258">
                  <c:v>43182</c:v>
                </c:pt>
                <c:pt idx="259">
                  <c:v>43181</c:v>
                </c:pt>
                <c:pt idx="260">
                  <c:v>43180</c:v>
                </c:pt>
                <c:pt idx="261">
                  <c:v>43179</c:v>
                </c:pt>
                <c:pt idx="262">
                  <c:v>43178</c:v>
                </c:pt>
                <c:pt idx="263">
                  <c:v>43175</c:v>
                </c:pt>
                <c:pt idx="264">
                  <c:v>43174</c:v>
                </c:pt>
                <c:pt idx="265">
                  <c:v>43173</c:v>
                </c:pt>
                <c:pt idx="266">
                  <c:v>43172</c:v>
                </c:pt>
                <c:pt idx="267">
                  <c:v>43171</c:v>
                </c:pt>
                <c:pt idx="268">
                  <c:v>43168</c:v>
                </c:pt>
                <c:pt idx="269">
                  <c:v>43167</c:v>
                </c:pt>
                <c:pt idx="270">
                  <c:v>43166</c:v>
                </c:pt>
                <c:pt idx="271">
                  <c:v>43165</c:v>
                </c:pt>
                <c:pt idx="272">
                  <c:v>43164</c:v>
                </c:pt>
                <c:pt idx="273">
                  <c:v>43161</c:v>
                </c:pt>
                <c:pt idx="274">
                  <c:v>43160</c:v>
                </c:pt>
                <c:pt idx="275">
                  <c:v>43159</c:v>
                </c:pt>
                <c:pt idx="276">
                  <c:v>43158</c:v>
                </c:pt>
                <c:pt idx="277">
                  <c:v>43157</c:v>
                </c:pt>
                <c:pt idx="278">
                  <c:v>43154</c:v>
                </c:pt>
                <c:pt idx="279">
                  <c:v>43153</c:v>
                </c:pt>
                <c:pt idx="280">
                  <c:v>43152</c:v>
                </c:pt>
                <c:pt idx="281">
                  <c:v>43143</c:v>
                </c:pt>
                <c:pt idx="282">
                  <c:v>43140</c:v>
                </c:pt>
                <c:pt idx="283">
                  <c:v>43139</c:v>
                </c:pt>
                <c:pt idx="284">
                  <c:v>43138</c:v>
                </c:pt>
                <c:pt idx="285">
                  <c:v>43137</c:v>
                </c:pt>
                <c:pt idx="286">
                  <c:v>43136</c:v>
                </c:pt>
                <c:pt idx="287">
                  <c:v>43133</c:v>
                </c:pt>
                <c:pt idx="288">
                  <c:v>43132</c:v>
                </c:pt>
                <c:pt idx="289">
                  <c:v>43131</c:v>
                </c:pt>
                <c:pt idx="290">
                  <c:v>43130</c:v>
                </c:pt>
                <c:pt idx="291">
                  <c:v>43129</c:v>
                </c:pt>
                <c:pt idx="292">
                  <c:v>43126</c:v>
                </c:pt>
                <c:pt idx="293">
                  <c:v>43125</c:v>
                </c:pt>
                <c:pt idx="294">
                  <c:v>43124</c:v>
                </c:pt>
                <c:pt idx="295">
                  <c:v>43123</c:v>
                </c:pt>
                <c:pt idx="296">
                  <c:v>43122</c:v>
                </c:pt>
                <c:pt idx="297">
                  <c:v>43119</c:v>
                </c:pt>
                <c:pt idx="298">
                  <c:v>43118</c:v>
                </c:pt>
                <c:pt idx="299">
                  <c:v>43117</c:v>
                </c:pt>
                <c:pt idx="300">
                  <c:v>43116</c:v>
                </c:pt>
                <c:pt idx="301">
                  <c:v>43115</c:v>
                </c:pt>
                <c:pt idx="302">
                  <c:v>43112</c:v>
                </c:pt>
                <c:pt idx="303">
                  <c:v>43111</c:v>
                </c:pt>
                <c:pt idx="304">
                  <c:v>43110</c:v>
                </c:pt>
                <c:pt idx="305">
                  <c:v>43109</c:v>
                </c:pt>
                <c:pt idx="306">
                  <c:v>43108</c:v>
                </c:pt>
                <c:pt idx="307">
                  <c:v>43105</c:v>
                </c:pt>
                <c:pt idx="308">
                  <c:v>43104</c:v>
                </c:pt>
                <c:pt idx="309">
                  <c:v>43103</c:v>
                </c:pt>
                <c:pt idx="310">
                  <c:v>43102</c:v>
                </c:pt>
                <c:pt idx="311">
                  <c:v>43101</c:v>
                </c:pt>
                <c:pt idx="312">
                  <c:v>43098</c:v>
                </c:pt>
                <c:pt idx="313">
                  <c:v>43097</c:v>
                </c:pt>
                <c:pt idx="314">
                  <c:v>43096</c:v>
                </c:pt>
                <c:pt idx="315">
                  <c:v>43095</c:v>
                </c:pt>
                <c:pt idx="316">
                  <c:v>43094</c:v>
                </c:pt>
                <c:pt idx="317">
                  <c:v>43091</c:v>
                </c:pt>
                <c:pt idx="318">
                  <c:v>43090</c:v>
                </c:pt>
                <c:pt idx="319">
                  <c:v>43089</c:v>
                </c:pt>
                <c:pt idx="320">
                  <c:v>43088</c:v>
                </c:pt>
                <c:pt idx="321">
                  <c:v>43087</c:v>
                </c:pt>
                <c:pt idx="322">
                  <c:v>43084</c:v>
                </c:pt>
                <c:pt idx="323">
                  <c:v>43083</c:v>
                </c:pt>
                <c:pt idx="324">
                  <c:v>43082</c:v>
                </c:pt>
                <c:pt idx="325">
                  <c:v>43081</c:v>
                </c:pt>
                <c:pt idx="326">
                  <c:v>43080</c:v>
                </c:pt>
                <c:pt idx="327">
                  <c:v>43077</c:v>
                </c:pt>
                <c:pt idx="328">
                  <c:v>43076</c:v>
                </c:pt>
                <c:pt idx="329">
                  <c:v>43075</c:v>
                </c:pt>
                <c:pt idx="330">
                  <c:v>43074</c:v>
                </c:pt>
                <c:pt idx="331">
                  <c:v>43073</c:v>
                </c:pt>
                <c:pt idx="332">
                  <c:v>43070</c:v>
                </c:pt>
                <c:pt idx="333">
                  <c:v>43069</c:v>
                </c:pt>
                <c:pt idx="334">
                  <c:v>43068</c:v>
                </c:pt>
                <c:pt idx="335">
                  <c:v>43067</c:v>
                </c:pt>
                <c:pt idx="336">
                  <c:v>43066</c:v>
                </c:pt>
                <c:pt idx="337">
                  <c:v>43063</c:v>
                </c:pt>
                <c:pt idx="338">
                  <c:v>43062</c:v>
                </c:pt>
                <c:pt idx="339">
                  <c:v>43061</c:v>
                </c:pt>
                <c:pt idx="340">
                  <c:v>43060</c:v>
                </c:pt>
                <c:pt idx="341">
                  <c:v>43059</c:v>
                </c:pt>
                <c:pt idx="342">
                  <c:v>43056</c:v>
                </c:pt>
                <c:pt idx="343">
                  <c:v>43055</c:v>
                </c:pt>
                <c:pt idx="344">
                  <c:v>43054</c:v>
                </c:pt>
                <c:pt idx="345">
                  <c:v>43053</c:v>
                </c:pt>
                <c:pt idx="346">
                  <c:v>43052</c:v>
                </c:pt>
                <c:pt idx="347">
                  <c:v>43049</c:v>
                </c:pt>
                <c:pt idx="348">
                  <c:v>43048</c:v>
                </c:pt>
                <c:pt idx="349">
                  <c:v>43047</c:v>
                </c:pt>
                <c:pt idx="350">
                  <c:v>43046</c:v>
                </c:pt>
                <c:pt idx="351">
                  <c:v>43045</c:v>
                </c:pt>
                <c:pt idx="352">
                  <c:v>43042</c:v>
                </c:pt>
                <c:pt idx="353">
                  <c:v>43041</c:v>
                </c:pt>
                <c:pt idx="354">
                  <c:v>43040</c:v>
                </c:pt>
                <c:pt idx="355">
                  <c:v>43039</c:v>
                </c:pt>
                <c:pt idx="356">
                  <c:v>43038</c:v>
                </c:pt>
                <c:pt idx="357">
                  <c:v>43035</c:v>
                </c:pt>
                <c:pt idx="358">
                  <c:v>43034</c:v>
                </c:pt>
                <c:pt idx="359">
                  <c:v>43033</c:v>
                </c:pt>
                <c:pt idx="360">
                  <c:v>43032</c:v>
                </c:pt>
                <c:pt idx="361">
                  <c:v>43031</c:v>
                </c:pt>
                <c:pt idx="362">
                  <c:v>43028</c:v>
                </c:pt>
                <c:pt idx="363">
                  <c:v>43027</c:v>
                </c:pt>
                <c:pt idx="364">
                  <c:v>43026</c:v>
                </c:pt>
                <c:pt idx="365">
                  <c:v>43025</c:v>
                </c:pt>
                <c:pt idx="366">
                  <c:v>43024</c:v>
                </c:pt>
                <c:pt idx="367">
                  <c:v>43021</c:v>
                </c:pt>
                <c:pt idx="368">
                  <c:v>43020</c:v>
                </c:pt>
                <c:pt idx="369">
                  <c:v>43019</c:v>
                </c:pt>
                <c:pt idx="370">
                  <c:v>43018</c:v>
                </c:pt>
                <c:pt idx="371">
                  <c:v>43017</c:v>
                </c:pt>
                <c:pt idx="372">
                  <c:v>43014</c:v>
                </c:pt>
                <c:pt idx="373">
                  <c:v>43007</c:v>
                </c:pt>
                <c:pt idx="374">
                  <c:v>43006</c:v>
                </c:pt>
                <c:pt idx="375">
                  <c:v>43005</c:v>
                </c:pt>
                <c:pt idx="376">
                  <c:v>43004</c:v>
                </c:pt>
                <c:pt idx="377">
                  <c:v>43003</c:v>
                </c:pt>
                <c:pt idx="378">
                  <c:v>43000</c:v>
                </c:pt>
                <c:pt idx="379">
                  <c:v>42999</c:v>
                </c:pt>
                <c:pt idx="380">
                  <c:v>42998</c:v>
                </c:pt>
                <c:pt idx="381">
                  <c:v>42997</c:v>
                </c:pt>
                <c:pt idx="382">
                  <c:v>42996</c:v>
                </c:pt>
                <c:pt idx="383">
                  <c:v>42993</c:v>
                </c:pt>
                <c:pt idx="384">
                  <c:v>42992</c:v>
                </c:pt>
                <c:pt idx="385">
                  <c:v>42991</c:v>
                </c:pt>
                <c:pt idx="386">
                  <c:v>42990</c:v>
                </c:pt>
                <c:pt idx="387">
                  <c:v>42989</c:v>
                </c:pt>
                <c:pt idx="388">
                  <c:v>42986</c:v>
                </c:pt>
                <c:pt idx="389">
                  <c:v>42985</c:v>
                </c:pt>
                <c:pt idx="390">
                  <c:v>42984</c:v>
                </c:pt>
                <c:pt idx="391">
                  <c:v>42983</c:v>
                </c:pt>
                <c:pt idx="392">
                  <c:v>42982</c:v>
                </c:pt>
                <c:pt idx="393">
                  <c:v>42979</c:v>
                </c:pt>
                <c:pt idx="394">
                  <c:v>42978</c:v>
                </c:pt>
                <c:pt idx="395">
                  <c:v>42977</c:v>
                </c:pt>
                <c:pt idx="396">
                  <c:v>42976</c:v>
                </c:pt>
                <c:pt idx="397">
                  <c:v>42975</c:v>
                </c:pt>
                <c:pt idx="398">
                  <c:v>42972</c:v>
                </c:pt>
                <c:pt idx="399">
                  <c:v>42971</c:v>
                </c:pt>
                <c:pt idx="400">
                  <c:v>42970</c:v>
                </c:pt>
                <c:pt idx="401">
                  <c:v>42969</c:v>
                </c:pt>
                <c:pt idx="402">
                  <c:v>42968</c:v>
                </c:pt>
                <c:pt idx="403">
                  <c:v>42965</c:v>
                </c:pt>
                <c:pt idx="404">
                  <c:v>42964</c:v>
                </c:pt>
                <c:pt idx="405">
                  <c:v>42963</c:v>
                </c:pt>
                <c:pt idx="406">
                  <c:v>42962</c:v>
                </c:pt>
                <c:pt idx="407">
                  <c:v>42961</c:v>
                </c:pt>
                <c:pt idx="408">
                  <c:v>42958</c:v>
                </c:pt>
                <c:pt idx="409">
                  <c:v>42957</c:v>
                </c:pt>
                <c:pt idx="410">
                  <c:v>42956</c:v>
                </c:pt>
                <c:pt idx="411">
                  <c:v>42955</c:v>
                </c:pt>
                <c:pt idx="412">
                  <c:v>42954</c:v>
                </c:pt>
                <c:pt idx="413">
                  <c:v>42951</c:v>
                </c:pt>
                <c:pt idx="414">
                  <c:v>42950</c:v>
                </c:pt>
                <c:pt idx="415">
                  <c:v>42949</c:v>
                </c:pt>
                <c:pt idx="416">
                  <c:v>42948</c:v>
                </c:pt>
                <c:pt idx="417">
                  <c:v>42947</c:v>
                </c:pt>
                <c:pt idx="418">
                  <c:v>42944</c:v>
                </c:pt>
                <c:pt idx="419">
                  <c:v>42943</c:v>
                </c:pt>
                <c:pt idx="420">
                  <c:v>42942</c:v>
                </c:pt>
                <c:pt idx="421">
                  <c:v>42941</c:v>
                </c:pt>
                <c:pt idx="422">
                  <c:v>42940</c:v>
                </c:pt>
                <c:pt idx="423">
                  <c:v>42937</c:v>
                </c:pt>
                <c:pt idx="424">
                  <c:v>42936</c:v>
                </c:pt>
                <c:pt idx="425">
                  <c:v>42935</c:v>
                </c:pt>
                <c:pt idx="426">
                  <c:v>42934</c:v>
                </c:pt>
                <c:pt idx="427">
                  <c:v>42933</c:v>
                </c:pt>
                <c:pt idx="428">
                  <c:v>42930</c:v>
                </c:pt>
                <c:pt idx="429">
                  <c:v>42929</c:v>
                </c:pt>
                <c:pt idx="430">
                  <c:v>42928</c:v>
                </c:pt>
                <c:pt idx="431">
                  <c:v>42927</c:v>
                </c:pt>
                <c:pt idx="432">
                  <c:v>42926</c:v>
                </c:pt>
                <c:pt idx="433">
                  <c:v>42923</c:v>
                </c:pt>
                <c:pt idx="434">
                  <c:v>42922</c:v>
                </c:pt>
                <c:pt idx="435">
                  <c:v>42921</c:v>
                </c:pt>
                <c:pt idx="436">
                  <c:v>42920</c:v>
                </c:pt>
                <c:pt idx="437">
                  <c:v>42919</c:v>
                </c:pt>
                <c:pt idx="438">
                  <c:v>42916</c:v>
                </c:pt>
                <c:pt idx="439">
                  <c:v>42915</c:v>
                </c:pt>
                <c:pt idx="440">
                  <c:v>42914</c:v>
                </c:pt>
                <c:pt idx="441">
                  <c:v>42913</c:v>
                </c:pt>
                <c:pt idx="442">
                  <c:v>42912</c:v>
                </c:pt>
                <c:pt idx="443">
                  <c:v>42909</c:v>
                </c:pt>
                <c:pt idx="444">
                  <c:v>42908</c:v>
                </c:pt>
                <c:pt idx="445">
                  <c:v>42907</c:v>
                </c:pt>
                <c:pt idx="446">
                  <c:v>42906</c:v>
                </c:pt>
                <c:pt idx="447">
                  <c:v>42905</c:v>
                </c:pt>
                <c:pt idx="448">
                  <c:v>42902</c:v>
                </c:pt>
                <c:pt idx="449">
                  <c:v>42901</c:v>
                </c:pt>
                <c:pt idx="450">
                  <c:v>42900</c:v>
                </c:pt>
                <c:pt idx="451">
                  <c:v>42899</c:v>
                </c:pt>
                <c:pt idx="452">
                  <c:v>42898</c:v>
                </c:pt>
                <c:pt idx="453">
                  <c:v>42895</c:v>
                </c:pt>
                <c:pt idx="454">
                  <c:v>42894</c:v>
                </c:pt>
                <c:pt idx="455">
                  <c:v>42893</c:v>
                </c:pt>
                <c:pt idx="456">
                  <c:v>42892</c:v>
                </c:pt>
                <c:pt idx="457">
                  <c:v>42891</c:v>
                </c:pt>
                <c:pt idx="458">
                  <c:v>42888</c:v>
                </c:pt>
                <c:pt idx="459">
                  <c:v>42887</c:v>
                </c:pt>
                <c:pt idx="460">
                  <c:v>42886</c:v>
                </c:pt>
                <c:pt idx="461">
                  <c:v>42885</c:v>
                </c:pt>
                <c:pt idx="462">
                  <c:v>42884</c:v>
                </c:pt>
                <c:pt idx="463">
                  <c:v>42881</c:v>
                </c:pt>
                <c:pt idx="464">
                  <c:v>42880</c:v>
                </c:pt>
                <c:pt idx="465">
                  <c:v>42879</c:v>
                </c:pt>
                <c:pt idx="466">
                  <c:v>42878</c:v>
                </c:pt>
                <c:pt idx="467">
                  <c:v>42877</c:v>
                </c:pt>
                <c:pt idx="468">
                  <c:v>42874</c:v>
                </c:pt>
                <c:pt idx="469">
                  <c:v>42873</c:v>
                </c:pt>
                <c:pt idx="470">
                  <c:v>42872</c:v>
                </c:pt>
                <c:pt idx="471">
                  <c:v>42871</c:v>
                </c:pt>
                <c:pt idx="472">
                  <c:v>42870</c:v>
                </c:pt>
                <c:pt idx="473">
                  <c:v>42867</c:v>
                </c:pt>
                <c:pt idx="474">
                  <c:v>42866</c:v>
                </c:pt>
                <c:pt idx="475">
                  <c:v>42865</c:v>
                </c:pt>
                <c:pt idx="476">
                  <c:v>42864</c:v>
                </c:pt>
                <c:pt idx="477">
                  <c:v>42863</c:v>
                </c:pt>
                <c:pt idx="478">
                  <c:v>42860</c:v>
                </c:pt>
                <c:pt idx="479">
                  <c:v>42859</c:v>
                </c:pt>
                <c:pt idx="480">
                  <c:v>42858</c:v>
                </c:pt>
                <c:pt idx="481">
                  <c:v>42857</c:v>
                </c:pt>
                <c:pt idx="482">
                  <c:v>42856</c:v>
                </c:pt>
                <c:pt idx="483">
                  <c:v>42853</c:v>
                </c:pt>
                <c:pt idx="484">
                  <c:v>42852</c:v>
                </c:pt>
                <c:pt idx="485">
                  <c:v>42851</c:v>
                </c:pt>
                <c:pt idx="486">
                  <c:v>42850</c:v>
                </c:pt>
                <c:pt idx="487">
                  <c:v>42849</c:v>
                </c:pt>
                <c:pt idx="488">
                  <c:v>42846</c:v>
                </c:pt>
                <c:pt idx="489">
                  <c:v>42845</c:v>
                </c:pt>
                <c:pt idx="490">
                  <c:v>42844</c:v>
                </c:pt>
                <c:pt idx="491">
                  <c:v>42843</c:v>
                </c:pt>
                <c:pt idx="492">
                  <c:v>42842</c:v>
                </c:pt>
                <c:pt idx="493">
                  <c:v>42838</c:v>
                </c:pt>
                <c:pt idx="494">
                  <c:v>42837</c:v>
                </c:pt>
                <c:pt idx="495">
                  <c:v>42836</c:v>
                </c:pt>
                <c:pt idx="496">
                  <c:v>42835</c:v>
                </c:pt>
                <c:pt idx="497">
                  <c:v>42832</c:v>
                </c:pt>
                <c:pt idx="498">
                  <c:v>42831</c:v>
                </c:pt>
                <c:pt idx="499">
                  <c:v>42830</c:v>
                </c:pt>
                <c:pt idx="500">
                  <c:v>42829</c:v>
                </c:pt>
                <c:pt idx="501">
                  <c:v>42828</c:v>
                </c:pt>
                <c:pt idx="502">
                  <c:v>42825</c:v>
                </c:pt>
                <c:pt idx="503">
                  <c:v>42824</c:v>
                </c:pt>
                <c:pt idx="504">
                  <c:v>42823</c:v>
                </c:pt>
                <c:pt idx="505">
                  <c:v>42822</c:v>
                </c:pt>
                <c:pt idx="506">
                  <c:v>42821</c:v>
                </c:pt>
                <c:pt idx="507">
                  <c:v>42818</c:v>
                </c:pt>
                <c:pt idx="508">
                  <c:v>42817</c:v>
                </c:pt>
                <c:pt idx="509">
                  <c:v>42816</c:v>
                </c:pt>
                <c:pt idx="510">
                  <c:v>42815</c:v>
                </c:pt>
                <c:pt idx="511">
                  <c:v>42814</c:v>
                </c:pt>
                <c:pt idx="512">
                  <c:v>42811</c:v>
                </c:pt>
                <c:pt idx="513">
                  <c:v>42810</c:v>
                </c:pt>
                <c:pt idx="514">
                  <c:v>42809</c:v>
                </c:pt>
                <c:pt idx="515">
                  <c:v>42808</c:v>
                </c:pt>
                <c:pt idx="516">
                  <c:v>42807</c:v>
                </c:pt>
                <c:pt idx="517">
                  <c:v>42804</c:v>
                </c:pt>
                <c:pt idx="518">
                  <c:v>42803</c:v>
                </c:pt>
                <c:pt idx="519">
                  <c:v>42802</c:v>
                </c:pt>
                <c:pt idx="520">
                  <c:v>42801</c:v>
                </c:pt>
                <c:pt idx="521">
                  <c:v>42800</c:v>
                </c:pt>
                <c:pt idx="522">
                  <c:v>42797</c:v>
                </c:pt>
                <c:pt idx="523">
                  <c:v>42796</c:v>
                </c:pt>
                <c:pt idx="524">
                  <c:v>42795</c:v>
                </c:pt>
                <c:pt idx="525">
                  <c:v>42794</c:v>
                </c:pt>
                <c:pt idx="526">
                  <c:v>42793</c:v>
                </c:pt>
                <c:pt idx="527">
                  <c:v>42790</c:v>
                </c:pt>
                <c:pt idx="528">
                  <c:v>42789</c:v>
                </c:pt>
                <c:pt idx="529">
                  <c:v>42788</c:v>
                </c:pt>
                <c:pt idx="530">
                  <c:v>42787</c:v>
                </c:pt>
                <c:pt idx="531">
                  <c:v>42786</c:v>
                </c:pt>
                <c:pt idx="532">
                  <c:v>42783</c:v>
                </c:pt>
                <c:pt idx="533">
                  <c:v>42782</c:v>
                </c:pt>
                <c:pt idx="534">
                  <c:v>42781</c:v>
                </c:pt>
                <c:pt idx="535">
                  <c:v>42780</c:v>
                </c:pt>
                <c:pt idx="536">
                  <c:v>42779</c:v>
                </c:pt>
                <c:pt idx="537">
                  <c:v>42776</c:v>
                </c:pt>
                <c:pt idx="538">
                  <c:v>42775</c:v>
                </c:pt>
                <c:pt idx="539">
                  <c:v>42774</c:v>
                </c:pt>
                <c:pt idx="540">
                  <c:v>42773</c:v>
                </c:pt>
                <c:pt idx="541">
                  <c:v>42772</c:v>
                </c:pt>
                <c:pt idx="542">
                  <c:v>42769</c:v>
                </c:pt>
                <c:pt idx="543">
                  <c:v>42768</c:v>
                </c:pt>
                <c:pt idx="544">
                  <c:v>42767</c:v>
                </c:pt>
                <c:pt idx="545">
                  <c:v>42766</c:v>
                </c:pt>
                <c:pt idx="546">
                  <c:v>42765</c:v>
                </c:pt>
                <c:pt idx="547">
                  <c:v>42762</c:v>
                </c:pt>
                <c:pt idx="548">
                  <c:v>42761</c:v>
                </c:pt>
                <c:pt idx="549">
                  <c:v>42760</c:v>
                </c:pt>
                <c:pt idx="550">
                  <c:v>42759</c:v>
                </c:pt>
                <c:pt idx="551">
                  <c:v>42758</c:v>
                </c:pt>
                <c:pt idx="552">
                  <c:v>42755</c:v>
                </c:pt>
                <c:pt idx="553">
                  <c:v>42754</c:v>
                </c:pt>
                <c:pt idx="554">
                  <c:v>42753</c:v>
                </c:pt>
                <c:pt idx="555">
                  <c:v>42752</c:v>
                </c:pt>
                <c:pt idx="556">
                  <c:v>42751</c:v>
                </c:pt>
                <c:pt idx="557">
                  <c:v>42748</c:v>
                </c:pt>
                <c:pt idx="558">
                  <c:v>42747</c:v>
                </c:pt>
                <c:pt idx="559">
                  <c:v>42746</c:v>
                </c:pt>
                <c:pt idx="560">
                  <c:v>42745</c:v>
                </c:pt>
                <c:pt idx="561">
                  <c:v>42744</c:v>
                </c:pt>
                <c:pt idx="562">
                  <c:v>42741</c:v>
                </c:pt>
                <c:pt idx="563">
                  <c:v>42740</c:v>
                </c:pt>
                <c:pt idx="564">
                  <c:v>42739</c:v>
                </c:pt>
                <c:pt idx="565">
                  <c:v>42738</c:v>
                </c:pt>
                <c:pt idx="566">
                  <c:v>42734</c:v>
                </c:pt>
                <c:pt idx="567">
                  <c:v>42733</c:v>
                </c:pt>
                <c:pt idx="568">
                  <c:v>42732</c:v>
                </c:pt>
                <c:pt idx="569">
                  <c:v>42731</c:v>
                </c:pt>
                <c:pt idx="570">
                  <c:v>42727</c:v>
                </c:pt>
                <c:pt idx="571">
                  <c:v>42726</c:v>
                </c:pt>
                <c:pt idx="572">
                  <c:v>42725</c:v>
                </c:pt>
                <c:pt idx="573">
                  <c:v>42724</c:v>
                </c:pt>
                <c:pt idx="574">
                  <c:v>42723</c:v>
                </c:pt>
                <c:pt idx="575">
                  <c:v>42720</c:v>
                </c:pt>
                <c:pt idx="576">
                  <c:v>42719</c:v>
                </c:pt>
                <c:pt idx="577">
                  <c:v>42718</c:v>
                </c:pt>
                <c:pt idx="578">
                  <c:v>42717</c:v>
                </c:pt>
                <c:pt idx="579">
                  <c:v>42716</c:v>
                </c:pt>
                <c:pt idx="580">
                  <c:v>42713</c:v>
                </c:pt>
                <c:pt idx="581">
                  <c:v>42712</c:v>
                </c:pt>
                <c:pt idx="582">
                  <c:v>42711</c:v>
                </c:pt>
                <c:pt idx="583">
                  <c:v>42710</c:v>
                </c:pt>
                <c:pt idx="584">
                  <c:v>42709</c:v>
                </c:pt>
                <c:pt idx="585">
                  <c:v>42706</c:v>
                </c:pt>
                <c:pt idx="586">
                  <c:v>42705</c:v>
                </c:pt>
                <c:pt idx="587">
                  <c:v>42704</c:v>
                </c:pt>
                <c:pt idx="588">
                  <c:v>42703</c:v>
                </c:pt>
                <c:pt idx="589">
                  <c:v>42702</c:v>
                </c:pt>
                <c:pt idx="590">
                  <c:v>42699</c:v>
                </c:pt>
                <c:pt idx="591">
                  <c:v>42698</c:v>
                </c:pt>
                <c:pt idx="592">
                  <c:v>42697</c:v>
                </c:pt>
                <c:pt idx="593">
                  <c:v>42696</c:v>
                </c:pt>
                <c:pt idx="594">
                  <c:v>42695</c:v>
                </c:pt>
                <c:pt idx="595">
                  <c:v>42692</c:v>
                </c:pt>
                <c:pt idx="596">
                  <c:v>42691</c:v>
                </c:pt>
                <c:pt idx="597">
                  <c:v>42690</c:v>
                </c:pt>
                <c:pt idx="598">
                  <c:v>42689</c:v>
                </c:pt>
                <c:pt idx="599">
                  <c:v>42688</c:v>
                </c:pt>
                <c:pt idx="600">
                  <c:v>42685</c:v>
                </c:pt>
                <c:pt idx="601">
                  <c:v>42684</c:v>
                </c:pt>
                <c:pt idx="602">
                  <c:v>42683</c:v>
                </c:pt>
                <c:pt idx="603">
                  <c:v>42682</c:v>
                </c:pt>
                <c:pt idx="604">
                  <c:v>42681</c:v>
                </c:pt>
                <c:pt idx="605">
                  <c:v>42678</c:v>
                </c:pt>
                <c:pt idx="606">
                  <c:v>42677</c:v>
                </c:pt>
                <c:pt idx="607">
                  <c:v>42676</c:v>
                </c:pt>
                <c:pt idx="608">
                  <c:v>42675</c:v>
                </c:pt>
                <c:pt idx="609">
                  <c:v>42674</c:v>
                </c:pt>
                <c:pt idx="610">
                  <c:v>42671</c:v>
                </c:pt>
                <c:pt idx="611">
                  <c:v>42670</c:v>
                </c:pt>
                <c:pt idx="612">
                  <c:v>42669</c:v>
                </c:pt>
                <c:pt idx="613">
                  <c:v>42668</c:v>
                </c:pt>
                <c:pt idx="614">
                  <c:v>42667</c:v>
                </c:pt>
                <c:pt idx="615">
                  <c:v>42664</c:v>
                </c:pt>
                <c:pt idx="616">
                  <c:v>42663</c:v>
                </c:pt>
                <c:pt idx="617">
                  <c:v>42662</c:v>
                </c:pt>
                <c:pt idx="618">
                  <c:v>42661</c:v>
                </c:pt>
                <c:pt idx="619">
                  <c:v>42660</c:v>
                </c:pt>
                <c:pt idx="620">
                  <c:v>42657</c:v>
                </c:pt>
                <c:pt idx="621">
                  <c:v>42656</c:v>
                </c:pt>
                <c:pt idx="622">
                  <c:v>42655</c:v>
                </c:pt>
                <c:pt idx="623">
                  <c:v>42654</c:v>
                </c:pt>
                <c:pt idx="624">
                  <c:v>42653</c:v>
                </c:pt>
                <c:pt idx="625">
                  <c:v>42650</c:v>
                </c:pt>
                <c:pt idx="626">
                  <c:v>42649</c:v>
                </c:pt>
                <c:pt idx="627">
                  <c:v>42648</c:v>
                </c:pt>
                <c:pt idx="628">
                  <c:v>42647</c:v>
                </c:pt>
                <c:pt idx="629">
                  <c:v>42646</c:v>
                </c:pt>
                <c:pt idx="630">
                  <c:v>42643</c:v>
                </c:pt>
                <c:pt idx="631">
                  <c:v>42642</c:v>
                </c:pt>
                <c:pt idx="632">
                  <c:v>42641</c:v>
                </c:pt>
                <c:pt idx="633">
                  <c:v>42640</c:v>
                </c:pt>
                <c:pt idx="634">
                  <c:v>42639</c:v>
                </c:pt>
                <c:pt idx="635">
                  <c:v>42636</c:v>
                </c:pt>
                <c:pt idx="636">
                  <c:v>42635</c:v>
                </c:pt>
                <c:pt idx="637">
                  <c:v>42634</c:v>
                </c:pt>
                <c:pt idx="638">
                  <c:v>42633</c:v>
                </c:pt>
                <c:pt idx="639">
                  <c:v>42632</c:v>
                </c:pt>
                <c:pt idx="640">
                  <c:v>42629</c:v>
                </c:pt>
                <c:pt idx="641">
                  <c:v>42628</c:v>
                </c:pt>
                <c:pt idx="642">
                  <c:v>42627</c:v>
                </c:pt>
                <c:pt idx="643">
                  <c:v>42626</c:v>
                </c:pt>
                <c:pt idx="644">
                  <c:v>42625</c:v>
                </c:pt>
                <c:pt idx="645">
                  <c:v>42622</c:v>
                </c:pt>
                <c:pt idx="646">
                  <c:v>42621</c:v>
                </c:pt>
                <c:pt idx="647">
                  <c:v>42620</c:v>
                </c:pt>
                <c:pt idx="648">
                  <c:v>42619</c:v>
                </c:pt>
                <c:pt idx="649">
                  <c:v>42618</c:v>
                </c:pt>
                <c:pt idx="650">
                  <c:v>42615</c:v>
                </c:pt>
                <c:pt idx="651">
                  <c:v>42614</c:v>
                </c:pt>
                <c:pt idx="652">
                  <c:v>42613</c:v>
                </c:pt>
                <c:pt idx="653">
                  <c:v>42612</c:v>
                </c:pt>
                <c:pt idx="654">
                  <c:v>42611</c:v>
                </c:pt>
                <c:pt idx="655">
                  <c:v>42608</c:v>
                </c:pt>
                <c:pt idx="656">
                  <c:v>42607</c:v>
                </c:pt>
                <c:pt idx="657">
                  <c:v>42606</c:v>
                </c:pt>
                <c:pt idx="658">
                  <c:v>42605</c:v>
                </c:pt>
                <c:pt idx="659">
                  <c:v>42604</c:v>
                </c:pt>
                <c:pt idx="660">
                  <c:v>42601</c:v>
                </c:pt>
                <c:pt idx="661">
                  <c:v>42600</c:v>
                </c:pt>
                <c:pt idx="662">
                  <c:v>42599</c:v>
                </c:pt>
                <c:pt idx="663">
                  <c:v>42598</c:v>
                </c:pt>
                <c:pt idx="664">
                  <c:v>42597</c:v>
                </c:pt>
                <c:pt idx="665">
                  <c:v>42594</c:v>
                </c:pt>
                <c:pt idx="666">
                  <c:v>42593</c:v>
                </c:pt>
                <c:pt idx="667">
                  <c:v>42592</c:v>
                </c:pt>
                <c:pt idx="668">
                  <c:v>42591</c:v>
                </c:pt>
                <c:pt idx="669">
                  <c:v>42590</c:v>
                </c:pt>
                <c:pt idx="670">
                  <c:v>42587</c:v>
                </c:pt>
                <c:pt idx="671">
                  <c:v>42586</c:v>
                </c:pt>
                <c:pt idx="672">
                  <c:v>42585</c:v>
                </c:pt>
                <c:pt idx="673">
                  <c:v>42584</c:v>
                </c:pt>
                <c:pt idx="674">
                  <c:v>42583</c:v>
                </c:pt>
                <c:pt idx="675">
                  <c:v>42580</c:v>
                </c:pt>
                <c:pt idx="676">
                  <c:v>42579</c:v>
                </c:pt>
                <c:pt idx="677">
                  <c:v>42578</c:v>
                </c:pt>
                <c:pt idx="678">
                  <c:v>42577</c:v>
                </c:pt>
                <c:pt idx="679">
                  <c:v>42576</c:v>
                </c:pt>
                <c:pt idx="680">
                  <c:v>42573</c:v>
                </c:pt>
                <c:pt idx="681">
                  <c:v>42572</c:v>
                </c:pt>
                <c:pt idx="682">
                  <c:v>42571</c:v>
                </c:pt>
                <c:pt idx="683">
                  <c:v>42570</c:v>
                </c:pt>
                <c:pt idx="684">
                  <c:v>42569</c:v>
                </c:pt>
                <c:pt idx="685">
                  <c:v>42566</c:v>
                </c:pt>
                <c:pt idx="686">
                  <c:v>42565</c:v>
                </c:pt>
                <c:pt idx="687">
                  <c:v>42564</c:v>
                </c:pt>
                <c:pt idx="688">
                  <c:v>42563</c:v>
                </c:pt>
                <c:pt idx="689">
                  <c:v>42562</c:v>
                </c:pt>
                <c:pt idx="690">
                  <c:v>42559</c:v>
                </c:pt>
                <c:pt idx="691">
                  <c:v>42558</c:v>
                </c:pt>
                <c:pt idx="692">
                  <c:v>42557</c:v>
                </c:pt>
                <c:pt idx="693">
                  <c:v>42556</c:v>
                </c:pt>
                <c:pt idx="694">
                  <c:v>42555</c:v>
                </c:pt>
              </c:numCache>
            </c:numRef>
          </c:cat>
          <c:val>
            <c:numRef>
              <c:f>'世界-走势图'!$B$2:$B$696</c:f>
              <c:numCache>
                <c:formatCode>General</c:formatCode>
                <c:ptCount val="695"/>
                <c:pt idx="0">
                  <c:v>59.83</c:v>
                </c:pt>
                <c:pt idx="1">
                  <c:v>59.03</c:v>
                </c:pt>
                <c:pt idx="2">
                  <c:v>59.09</c:v>
                </c:pt>
                <c:pt idx="3">
                  <c:v>58.52</c:v>
                </c:pt>
                <c:pt idx="4">
                  <c:v>58.61</c:v>
                </c:pt>
                <c:pt idx="5">
                  <c:v>58.260000000000012</c:v>
                </c:pt>
                <c:pt idx="6">
                  <c:v>56.87</c:v>
                </c:pt>
                <c:pt idx="7">
                  <c:v>56.790000000000013</c:v>
                </c:pt>
                <c:pt idx="8">
                  <c:v>56.07</c:v>
                </c:pt>
                <c:pt idx="9">
                  <c:v>56.660000000000011</c:v>
                </c:pt>
                <c:pt idx="10">
                  <c:v>56.220000000000013</c:v>
                </c:pt>
                <c:pt idx="11">
                  <c:v>56.56</c:v>
                </c:pt>
                <c:pt idx="12">
                  <c:v>56.59</c:v>
                </c:pt>
                <c:pt idx="13">
                  <c:v>55.8</c:v>
                </c:pt>
                <c:pt idx="14">
                  <c:v>57.220000000000013</c:v>
                </c:pt>
                <c:pt idx="15">
                  <c:v>56.94</c:v>
                </c:pt>
                <c:pt idx="16">
                  <c:v>55.5</c:v>
                </c:pt>
                <c:pt idx="17">
                  <c:v>55.48</c:v>
                </c:pt>
                <c:pt idx="18">
                  <c:v>57.260000000000012</c:v>
                </c:pt>
                <c:pt idx="19">
                  <c:v>56.96</c:v>
                </c:pt>
                <c:pt idx="20">
                  <c:v>56.92</c:v>
                </c:pt>
                <c:pt idx="21">
                  <c:v>56.09</c:v>
                </c:pt>
                <c:pt idx="23">
                  <c:v>55.59</c:v>
                </c:pt>
                <c:pt idx="24">
                  <c:v>54.41</c:v>
                </c:pt>
                <c:pt idx="25">
                  <c:v>53.9</c:v>
                </c:pt>
                <c:pt idx="26">
                  <c:v>53.1</c:v>
                </c:pt>
                <c:pt idx="27">
                  <c:v>52.41</c:v>
                </c:pt>
                <c:pt idx="28">
                  <c:v>52.720000000000013</c:v>
                </c:pt>
                <c:pt idx="29">
                  <c:v>52.64</c:v>
                </c:pt>
                <c:pt idx="30">
                  <c:v>54.01</c:v>
                </c:pt>
                <c:pt idx="31">
                  <c:v>53.660000000000011</c:v>
                </c:pt>
                <c:pt idx="32">
                  <c:v>54.56</c:v>
                </c:pt>
                <c:pt idx="33">
                  <c:v>55.260000000000012</c:v>
                </c:pt>
                <c:pt idx="34">
                  <c:v>53.790000000000013</c:v>
                </c:pt>
                <c:pt idx="35">
                  <c:v>54.230000000000011</c:v>
                </c:pt>
                <c:pt idx="36">
                  <c:v>53.31</c:v>
                </c:pt>
                <c:pt idx="37">
                  <c:v>51.99</c:v>
                </c:pt>
                <c:pt idx="38">
                  <c:v>53.690000000000012</c:v>
                </c:pt>
                <c:pt idx="39">
                  <c:v>53.13</c:v>
                </c:pt>
                <c:pt idx="40">
                  <c:v>52.620000000000012</c:v>
                </c:pt>
                <c:pt idx="41">
                  <c:v>52.57</c:v>
                </c:pt>
                <c:pt idx="43">
                  <c:v>53.8</c:v>
                </c:pt>
                <c:pt idx="44">
                  <c:v>52.07</c:v>
                </c:pt>
                <c:pt idx="45">
                  <c:v>52.31</c:v>
                </c:pt>
                <c:pt idx="46">
                  <c:v>52.11</c:v>
                </c:pt>
                <c:pt idx="47">
                  <c:v>50.51</c:v>
                </c:pt>
                <c:pt idx="48">
                  <c:v>51.59</c:v>
                </c:pt>
                <c:pt idx="49">
                  <c:v>52.59</c:v>
                </c:pt>
                <c:pt idx="50">
                  <c:v>52.36</c:v>
                </c:pt>
                <c:pt idx="51">
                  <c:v>49.78</c:v>
                </c:pt>
                <c:pt idx="52">
                  <c:v>48.52</c:v>
                </c:pt>
                <c:pt idx="53">
                  <c:v>47.96</c:v>
                </c:pt>
                <c:pt idx="54">
                  <c:v>47.09</c:v>
                </c:pt>
                <c:pt idx="55">
                  <c:v>46.54</c:v>
                </c:pt>
                <c:pt idx="58">
                  <c:v>45.33</c:v>
                </c:pt>
                <c:pt idx="59">
                  <c:v>44.61</c:v>
                </c:pt>
                <c:pt idx="60">
                  <c:v>46.220000000000013</c:v>
                </c:pt>
                <c:pt idx="62">
                  <c:v>42.53</c:v>
                </c:pt>
                <c:pt idx="63">
                  <c:v>45.59</c:v>
                </c:pt>
                <c:pt idx="64">
                  <c:v>45.88</c:v>
                </c:pt>
                <c:pt idx="65">
                  <c:v>47.2</c:v>
                </c:pt>
                <c:pt idx="66">
                  <c:v>46.24</c:v>
                </c:pt>
                <c:pt idx="67">
                  <c:v>49.88</c:v>
                </c:pt>
                <c:pt idx="68">
                  <c:v>51.2</c:v>
                </c:pt>
                <c:pt idx="69">
                  <c:v>52.58</c:v>
                </c:pt>
                <c:pt idx="70">
                  <c:v>51.15</c:v>
                </c:pt>
                <c:pt idx="71">
                  <c:v>51.65</c:v>
                </c:pt>
                <c:pt idx="72">
                  <c:v>51</c:v>
                </c:pt>
                <c:pt idx="73">
                  <c:v>52.61</c:v>
                </c:pt>
                <c:pt idx="74">
                  <c:v>51.49</c:v>
                </c:pt>
                <c:pt idx="75">
                  <c:v>52.89</c:v>
                </c:pt>
                <c:pt idx="76">
                  <c:v>53.25</c:v>
                </c:pt>
                <c:pt idx="77">
                  <c:v>52.95</c:v>
                </c:pt>
                <c:pt idx="78">
                  <c:v>50.93</c:v>
                </c:pt>
                <c:pt idx="79">
                  <c:v>51.45</c:v>
                </c:pt>
                <c:pt idx="80">
                  <c:v>50.290000000000013</c:v>
                </c:pt>
                <c:pt idx="81">
                  <c:v>51.56</c:v>
                </c:pt>
                <c:pt idx="82">
                  <c:v>51.63</c:v>
                </c:pt>
                <c:pt idx="83">
                  <c:v>50.42</c:v>
                </c:pt>
                <c:pt idx="85">
                  <c:v>54.63</c:v>
                </c:pt>
                <c:pt idx="86">
                  <c:v>53.43</c:v>
                </c:pt>
                <c:pt idx="87">
                  <c:v>56.760000000000012</c:v>
                </c:pt>
                <c:pt idx="88">
                  <c:v>56.46</c:v>
                </c:pt>
                <c:pt idx="89">
                  <c:v>56.46</c:v>
                </c:pt>
                <c:pt idx="90">
                  <c:v>56.25</c:v>
                </c:pt>
                <c:pt idx="91">
                  <c:v>55.690000000000012</c:v>
                </c:pt>
                <c:pt idx="92">
                  <c:v>59.93</c:v>
                </c:pt>
                <c:pt idx="93">
                  <c:v>60.190000000000012</c:v>
                </c:pt>
                <c:pt idx="94">
                  <c:v>60.67</c:v>
                </c:pt>
                <c:pt idx="95">
                  <c:v>61.67</c:v>
                </c:pt>
                <c:pt idx="96">
                  <c:v>62.21</c:v>
                </c:pt>
                <c:pt idx="97">
                  <c:v>63.1</c:v>
                </c:pt>
                <c:pt idx="98">
                  <c:v>63.14</c:v>
                </c:pt>
                <c:pt idx="99">
                  <c:v>63.690000000000012</c:v>
                </c:pt>
                <c:pt idx="100">
                  <c:v>65.31</c:v>
                </c:pt>
                <c:pt idx="101">
                  <c:v>66.179999999999978</c:v>
                </c:pt>
                <c:pt idx="102">
                  <c:v>67.040000000000006</c:v>
                </c:pt>
                <c:pt idx="103">
                  <c:v>67.59</c:v>
                </c:pt>
                <c:pt idx="104">
                  <c:v>67.33</c:v>
                </c:pt>
                <c:pt idx="105">
                  <c:v>66.819999999999993</c:v>
                </c:pt>
                <c:pt idx="106">
                  <c:v>66.430000000000007</c:v>
                </c:pt>
                <c:pt idx="107">
                  <c:v>69.169999999999987</c:v>
                </c:pt>
                <c:pt idx="108">
                  <c:v>69.11999999999999</c:v>
                </c:pt>
                <c:pt idx="109">
                  <c:v>68.649999999999991</c:v>
                </c:pt>
                <c:pt idx="110">
                  <c:v>69.75</c:v>
                </c:pt>
                <c:pt idx="111">
                  <c:v>71.92</c:v>
                </c:pt>
                <c:pt idx="112">
                  <c:v>71.78</c:v>
                </c:pt>
                <c:pt idx="113">
                  <c:v>71.34</c:v>
                </c:pt>
                <c:pt idx="114">
                  <c:v>70.97</c:v>
                </c:pt>
                <c:pt idx="115">
                  <c:v>73.169999999999987</c:v>
                </c:pt>
                <c:pt idx="116">
                  <c:v>74.959999999999994</c:v>
                </c:pt>
                <c:pt idx="117">
                  <c:v>74.290000000000006</c:v>
                </c:pt>
                <c:pt idx="118">
                  <c:v>74.34</c:v>
                </c:pt>
                <c:pt idx="119">
                  <c:v>74.33</c:v>
                </c:pt>
                <c:pt idx="120">
                  <c:v>76.410000000000025</c:v>
                </c:pt>
                <c:pt idx="121">
                  <c:v>75.23</c:v>
                </c:pt>
                <c:pt idx="122">
                  <c:v>75.3</c:v>
                </c:pt>
                <c:pt idx="123">
                  <c:v>73.25</c:v>
                </c:pt>
                <c:pt idx="124">
                  <c:v>72.11999999999999</c:v>
                </c:pt>
                <c:pt idx="125">
                  <c:v>71.569999999999993</c:v>
                </c:pt>
                <c:pt idx="126">
                  <c:v>72.28</c:v>
                </c:pt>
                <c:pt idx="127">
                  <c:v>72.08</c:v>
                </c:pt>
                <c:pt idx="128">
                  <c:v>70.78</c:v>
                </c:pt>
                <c:pt idx="129">
                  <c:v>70.8</c:v>
                </c:pt>
                <c:pt idx="130">
                  <c:v>71.11999999999999</c:v>
                </c:pt>
                <c:pt idx="131">
                  <c:v>69.849999999999994</c:v>
                </c:pt>
                <c:pt idx="132">
                  <c:v>68.910000000000025</c:v>
                </c:pt>
                <c:pt idx="133">
                  <c:v>68.989999999999995</c:v>
                </c:pt>
                <c:pt idx="134">
                  <c:v>68.59</c:v>
                </c:pt>
                <c:pt idx="135">
                  <c:v>70.36999999999999</c:v>
                </c:pt>
                <c:pt idx="136">
                  <c:v>69.25</c:v>
                </c:pt>
                <c:pt idx="137">
                  <c:v>67.540000000000006</c:v>
                </c:pt>
                <c:pt idx="138">
                  <c:v>67.75</c:v>
                </c:pt>
                <c:pt idx="139">
                  <c:v>67.77</c:v>
                </c:pt>
                <c:pt idx="140">
                  <c:v>68.72</c:v>
                </c:pt>
                <c:pt idx="141">
                  <c:v>69.86999999999999</c:v>
                </c:pt>
                <c:pt idx="143">
                  <c:v>69.8</c:v>
                </c:pt>
                <c:pt idx="144">
                  <c:v>70.25</c:v>
                </c:pt>
                <c:pt idx="145">
                  <c:v>69.510000000000005</c:v>
                </c:pt>
                <c:pt idx="146">
                  <c:v>68.53</c:v>
                </c:pt>
                <c:pt idx="147">
                  <c:v>68.86999999999999</c:v>
                </c:pt>
                <c:pt idx="148">
                  <c:v>68.72</c:v>
                </c:pt>
                <c:pt idx="149">
                  <c:v>67.83</c:v>
                </c:pt>
                <c:pt idx="150">
                  <c:v>67.86</c:v>
                </c:pt>
                <c:pt idx="151">
                  <c:v>67.349999999999994</c:v>
                </c:pt>
                <c:pt idx="152">
                  <c:v>66.430000000000007</c:v>
                </c:pt>
                <c:pt idx="153">
                  <c:v>65.910000000000025</c:v>
                </c:pt>
                <c:pt idx="154">
                  <c:v>65.459999999999994</c:v>
                </c:pt>
                <c:pt idx="155">
                  <c:v>65.010000000000005</c:v>
                </c:pt>
                <c:pt idx="156">
                  <c:v>67.040000000000006</c:v>
                </c:pt>
                <c:pt idx="157">
                  <c:v>67.2</c:v>
                </c:pt>
                <c:pt idx="158">
                  <c:v>67.63</c:v>
                </c:pt>
                <c:pt idx="159">
                  <c:v>66.81</c:v>
                </c:pt>
                <c:pt idx="160">
                  <c:v>66.940000000000026</c:v>
                </c:pt>
                <c:pt idx="161">
                  <c:v>69.169999999999987</c:v>
                </c:pt>
                <c:pt idx="162">
                  <c:v>69.010000000000005</c:v>
                </c:pt>
                <c:pt idx="163">
                  <c:v>68.489999999999995</c:v>
                </c:pt>
                <c:pt idx="164">
                  <c:v>68.959999999999994</c:v>
                </c:pt>
                <c:pt idx="165">
                  <c:v>67.66</c:v>
                </c:pt>
                <c:pt idx="166">
                  <c:v>68.760000000000005</c:v>
                </c:pt>
                <c:pt idx="167">
                  <c:v>70.13</c:v>
                </c:pt>
                <c:pt idx="168">
                  <c:v>68.69</c:v>
                </c:pt>
                <c:pt idx="169">
                  <c:v>69.61</c:v>
                </c:pt>
                <c:pt idx="170">
                  <c:v>69.3</c:v>
                </c:pt>
                <c:pt idx="171">
                  <c:v>68.52</c:v>
                </c:pt>
                <c:pt idx="172">
                  <c:v>67.89</c:v>
                </c:pt>
                <c:pt idx="173">
                  <c:v>70.459999999999994</c:v>
                </c:pt>
                <c:pt idx="174">
                  <c:v>69.459999999999994</c:v>
                </c:pt>
                <c:pt idx="175">
                  <c:v>68.760000000000005</c:v>
                </c:pt>
                <c:pt idx="176">
                  <c:v>68.08</c:v>
                </c:pt>
                <c:pt idx="177">
                  <c:v>68.06</c:v>
                </c:pt>
                <c:pt idx="178">
                  <c:v>71.010000000000005</c:v>
                </c:pt>
                <c:pt idx="179">
                  <c:v>70.33</c:v>
                </c:pt>
                <c:pt idx="180">
                  <c:v>70.38</c:v>
                </c:pt>
                <c:pt idx="181">
                  <c:v>74.11</c:v>
                </c:pt>
                <c:pt idx="182">
                  <c:v>73.849999999999994</c:v>
                </c:pt>
                <c:pt idx="183">
                  <c:v>73.8</c:v>
                </c:pt>
                <c:pt idx="184">
                  <c:v>72.940000000000026</c:v>
                </c:pt>
                <c:pt idx="186">
                  <c:v>73.22</c:v>
                </c:pt>
                <c:pt idx="187">
                  <c:v>73.940000000000026</c:v>
                </c:pt>
                <c:pt idx="188">
                  <c:v>74.149999999999991</c:v>
                </c:pt>
                <c:pt idx="189">
                  <c:v>73.45</c:v>
                </c:pt>
                <c:pt idx="190">
                  <c:v>72.760000000000005</c:v>
                </c:pt>
                <c:pt idx="191">
                  <c:v>70.53</c:v>
                </c:pt>
                <c:pt idx="192">
                  <c:v>68.08</c:v>
                </c:pt>
                <c:pt idx="193">
                  <c:v>68.58</c:v>
                </c:pt>
                <c:pt idx="194">
                  <c:v>65.540000000000006</c:v>
                </c:pt>
                <c:pt idx="195">
                  <c:v>66.22</c:v>
                </c:pt>
                <c:pt idx="196">
                  <c:v>65.069999999999993</c:v>
                </c:pt>
                <c:pt idx="197">
                  <c:v>65.849999999999994</c:v>
                </c:pt>
                <c:pt idx="198">
                  <c:v>65.06</c:v>
                </c:pt>
                <c:pt idx="199">
                  <c:v>66.89</c:v>
                </c:pt>
                <c:pt idx="200">
                  <c:v>66.64</c:v>
                </c:pt>
                <c:pt idx="201">
                  <c:v>66.36</c:v>
                </c:pt>
                <c:pt idx="202">
                  <c:v>66.099999999999994</c:v>
                </c:pt>
                <c:pt idx="203">
                  <c:v>65.739999999999995</c:v>
                </c:pt>
                <c:pt idx="204">
                  <c:v>65.95</c:v>
                </c:pt>
                <c:pt idx="205">
                  <c:v>64.73</c:v>
                </c:pt>
                <c:pt idx="206">
                  <c:v>65.52</c:v>
                </c:pt>
                <c:pt idx="207">
                  <c:v>64.75</c:v>
                </c:pt>
                <c:pt idx="208">
                  <c:v>65.81</c:v>
                </c:pt>
                <c:pt idx="209">
                  <c:v>67.040000000000006</c:v>
                </c:pt>
                <c:pt idx="210">
                  <c:v>68.209999999999994</c:v>
                </c:pt>
                <c:pt idx="211">
                  <c:v>66.73</c:v>
                </c:pt>
                <c:pt idx="213">
                  <c:v>67.88</c:v>
                </c:pt>
                <c:pt idx="214">
                  <c:v>70.709999999999994</c:v>
                </c:pt>
                <c:pt idx="215">
                  <c:v>71.84</c:v>
                </c:pt>
                <c:pt idx="216">
                  <c:v>72.13</c:v>
                </c:pt>
                <c:pt idx="217">
                  <c:v>72.239999999999995</c:v>
                </c:pt>
                <c:pt idx="218">
                  <c:v>71.28</c:v>
                </c:pt>
                <c:pt idx="219">
                  <c:v>71.489999999999995</c:v>
                </c:pt>
                <c:pt idx="220">
                  <c:v>71.489999999999995</c:v>
                </c:pt>
                <c:pt idx="221">
                  <c:v>71.31</c:v>
                </c:pt>
                <c:pt idx="222">
                  <c:v>70.959999999999994</c:v>
                </c:pt>
                <c:pt idx="223">
                  <c:v>70.7</c:v>
                </c:pt>
                <c:pt idx="224">
                  <c:v>71.36</c:v>
                </c:pt>
                <c:pt idx="225">
                  <c:v>71.14</c:v>
                </c:pt>
                <c:pt idx="226">
                  <c:v>69.06</c:v>
                </c:pt>
                <c:pt idx="227">
                  <c:v>70.73</c:v>
                </c:pt>
                <c:pt idx="228">
                  <c:v>69.72</c:v>
                </c:pt>
                <c:pt idx="229">
                  <c:v>68.430000000000007</c:v>
                </c:pt>
                <c:pt idx="230">
                  <c:v>67.930000000000007</c:v>
                </c:pt>
                <c:pt idx="231">
                  <c:v>67.25</c:v>
                </c:pt>
                <c:pt idx="232">
                  <c:v>68.569999999999993</c:v>
                </c:pt>
                <c:pt idx="233">
                  <c:v>68.099999999999994</c:v>
                </c:pt>
                <c:pt idx="234">
                  <c:v>68.19</c:v>
                </c:pt>
                <c:pt idx="235">
                  <c:v>68.05</c:v>
                </c:pt>
                <c:pt idx="236">
                  <c:v>67.7</c:v>
                </c:pt>
                <c:pt idx="237">
                  <c:v>68.64</c:v>
                </c:pt>
                <c:pt idx="238">
                  <c:v>68.38</c:v>
                </c:pt>
                <c:pt idx="239">
                  <c:v>68.290000000000006</c:v>
                </c:pt>
                <c:pt idx="240">
                  <c:v>68.47</c:v>
                </c:pt>
                <c:pt idx="241">
                  <c:v>66.52</c:v>
                </c:pt>
                <c:pt idx="242">
                  <c:v>66.22</c:v>
                </c:pt>
                <c:pt idx="243">
                  <c:v>67.39</c:v>
                </c:pt>
                <c:pt idx="244">
                  <c:v>67.069999999999993</c:v>
                </c:pt>
                <c:pt idx="245">
                  <c:v>66.819999999999993</c:v>
                </c:pt>
                <c:pt idx="246">
                  <c:v>65.510000000000005</c:v>
                </c:pt>
                <c:pt idx="247">
                  <c:v>63.42</c:v>
                </c:pt>
                <c:pt idx="248">
                  <c:v>62.06</c:v>
                </c:pt>
                <c:pt idx="249">
                  <c:v>63.54</c:v>
                </c:pt>
                <c:pt idx="250">
                  <c:v>63.37</c:v>
                </c:pt>
                <c:pt idx="251">
                  <c:v>63.51</c:v>
                </c:pt>
                <c:pt idx="252">
                  <c:v>63.01</c:v>
                </c:pt>
                <c:pt idx="254">
                  <c:v>64.940000000000026</c:v>
                </c:pt>
                <c:pt idx="255">
                  <c:v>64.38</c:v>
                </c:pt>
                <c:pt idx="256">
                  <c:v>65.25</c:v>
                </c:pt>
                <c:pt idx="257">
                  <c:v>65.55</c:v>
                </c:pt>
                <c:pt idx="258">
                  <c:v>65.88</c:v>
                </c:pt>
                <c:pt idx="259">
                  <c:v>64.3</c:v>
                </c:pt>
                <c:pt idx="260">
                  <c:v>65.169999999999987</c:v>
                </c:pt>
                <c:pt idx="261">
                  <c:v>63.4</c:v>
                </c:pt>
                <c:pt idx="262">
                  <c:v>62.06</c:v>
                </c:pt>
                <c:pt idx="263">
                  <c:v>62.34</c:v>
                </c:pt>
                <c:pt idx="264">
                  <c:v>61.190000000000012</c:v>
                </c:pt>
                <c:pt idx="265">
                  <c:v>60.96</c:v>
                </c:pt>
                <c:pt idx="266">
                  <c:v>60.71</c:v>
                </c:pt>
                <c:pt idx="267">
                  <c:v>61.36</c:v>
                </c:pt>
                <c:pt idx="268">
                  <c:v>62.04</c:v>
                </c:pt>
                <c:pt idx="269">
                  <c:v>60.120000000000012</c:v>
                </c:pt>
                <c:pt idx="270">
                  <c:v>61.15</c:v>
                </c:pt>
                <c:pt idx="271">
                  <c:v>62.6</c:v>
                </c:pt>
                <c:pt idx="272">
                  <c:v>62.57</c:v>
                </c:pt>
                <c:pt idx="273">
                  <c:v>61.25</c:v>
                </c:pt>
                <c:pt idx="274">
                  <c:v>60.99</c:v>
                </c:pt>
                <c:pt idx="275">
                  <c:v>61.64</c:v>
                </c:pt>
                <c:pt idx="276">
                  <c:v>63.01</c:v>
                </c:pt>
                <c:pt idx="277">
                  <c:v>63.91</c:v>
                </c:pt>
                <c:pt idx="278">
                  <c:v>63.55</c:v>
                </c:pt>
                <c:pt idx="279">
                  <c:v>62.77</c:v>
                </c:pt>
                <c:pt idx="280">
                  <c:v>61.68</c:v>
                </c:pt>
                <c:pt idx="281">
                  <c:v>59.290000000000013</c:v>
                </c:pt>
                <c:pt idx="282">
                  <c:v>59.2</c:v>
                </c:pt>
                <c:pt idx="283">
                  <c:v>61.45</c:v>
                </c:pt>
                <c:pt idx="284">
                  <c:v>61.790000000000013</c:v>
                </c:pt>
                <c:pt idx="285">
                  <c:v>63.39</c:v>
                </c:pt>
                <c:pt idx="286">
                  <c:v>64.149999999999991</c:v>
                </c:pt>
                <c:pt idx="287">
                  <c:v>64.45</c:v>
                </c:pt>
                <c:pt idx="288">
                  <c:v>65.8</c:v>
                </c:pt>
                <c:pt idx="289">
                  <c:v>64.73</c:v>
                </c:pt>
                <c:pt idx="290">
                  <c:v>64.5</c:v>
                </c:pt>
                <c:pt idx="291">
                  <c:v>65.56</c:v>
                </c:pt>
                <c:pt idx="292">
                  <c:v>66.14</c:v>
                </c:pt>
                <c:pt idx="293">
                  <c:v>65.510000000000005</c:v>
                </c:pt>
                <c:pt idx="294">
                  <c:v>65.61</c:v>
                </c:pt>
                <c:pt idx="295">
                  <c:v>64.47</c:v>
                </c:pt>
                <c:pt idx="296">
                  <c:v>63.49</c:v>
                </c:pt>
                <c:pt idx="297">
                  <c:v>63.37</c:v>
                </c:pt>
                <c:pt idx="298">
                  <c:v>63.95</c:v>
                </c:pt>
                <c:pt idx="299">
                  <c:v>63.97</c:v>
                </c:pt>
                <c:pt idx="300">
                  <c:v>63.730000000000011</c:v>
                </c:pt>
                <c:pt idx="302">
                  <c:v>64.3</c:v>
                </c:pt>
                <c:pt idx="303">
                  <c:v>63.8</c:v>
                </c:pt>
                <c:pt idx="304">
                  <c:v>63.57</c:v>
                </c:pt>
                <c:pt idx="305">
                  <c:v>62.96</c:v>
                </c:pt>
                <c:pt idx="306">
                  <c:v>61.730000000000011</c:v>
                </c:pt>
                <c:pt idx="307">
                  <c:v>61.44</c:v>
                </c:pt>
                <c:pt idx="308">
                  <c:v>62.01</c:v>
                </c:pt>
                <c:pt idx="309">
                  <c:v>61.63</c:v>
                </c:pt>
                <c:pt idx="310">
                  <c:v>60.37</c:v>
                </c:pt>
                <c:pt idx="312">
                  <c:v>60.42</c:v>
                </c:pt>
                <c:pt idx="313">
                  <c:v>59.84</c:v>
                </c:pt>
                <c:pt idx="314">
                  <c:v>59.64</c:v>
                </c:pt>
                <c:pt idx="315">
                  <c:v>59.97</c:v>
                </c:pt>
                <c:pt idx="317">
                  <c:v>58.47</c:v>
                </c:pt>
                <c:pt idx="318">
                  <c:v>58.36</c:v>
                </c:pt>
                <c:pt idx="319">
                  <c:v>58.09</c:v>
                </c:pt>
                <c:pt idx="320">
                  <c:v>57.46</c:v>
                </c:pt>
                <c:pt idx="321">
                  <c:v>57.160000000000011</c:v>
                </c:pt>
                <c:pt idx="322">
                  <c:v>57.3</c:v>
                </c:pt>
                <c:pt idx="323">
                  <c:v>57.04</c:v>
                </c:pt>
                <c:pt idx="324">
                  <c:v>56.6</c:v>
                </c:pt>
                <c:pt idx="325">
                  <c:v>57.14</c:v>
                </c:pt>
                <c:pt idx="326">
                  <c:v>57.99</c:v>
                </c:pt>
                <c:pt idx="327">
                  <c:v>57.36</c:v>
                </c:pt>
                <c:pt idx="328">
                  <c:v>56.690000000000012</c:v>
                </c:pt>
                <c:pt idx="329">
                  <c:v>55.96</c:v>
                </c:pt>
                <c:pt idx="330">
                  <c:v>57.620000000000012</c:v>
                </c:pt>
                <c:pt idx="331">
                  <c:v>57.47</c:v>
                </c:pt>
                <c:pt idx="332">
                  <c:v>58.36</c:v>
                </c:pt>
                <c:pt idx="333">
                  <c:v>57.4</c:v>
                </c:pt>
                <c:pt idx="334">
                  <c:v>57.3</c:v>
                </c:pt>
                <c:pt idx="335">
                  <c:v>57.99</c:v>
                </c:pt>
                <c:pt idx="336">
                  <c:v>58.11</c:v>
                </c:pt>
                <c:pt idx="337">
                  <c:v>58.95</c:v>
                </c:pt>
                <c:pt idx="339">
                  <c:v>58.02</c:v>
                </c:pt>
                <c:pt idx="340">
                  <c:v>56.83</c:v>
                </c:pt>
                <c:pt idx="341">
                  <c:v>56.09</c:v>
                </c:pt>
                <c:pt idx="342">
                  <c:v>56.55</c:v>
                </c:pt>
                <c:pt idx="343">
                  <c:v>55.14</c:v>
                </c:pt>
                <c:pt idx="344">
                  <c:v>55.33</c:v>
                </c:pt>
                <c:pt idx="345">
                  <c:v>55.7</c:v>
                </c:pt>
                <c:pt idx="346">
                  <c:v>56.760000000000012</c:v>
                </c:pt>
                <c:pt idx="347">
                  <c:v>56.74</c:v>
                </c:pt>
                <c:pt idx="348">
                  <c:v>57.17</c:v>
                </c:pt>
                <c:pt idx="349">
                  <c:v>56.81</c:v>
                </c:pt>
                <c:pt idx="350">
                  <c:v>57.2</c:v>
                </c:pt>
                <c:pt idx="351">
                  <c:v>57.35</c:v>
                </c:pt>
                <c:pt idx="352">
                  <c:v>55.64</c:v>
                </c:pt>
                <c:pt idx="353">
                  <c:v>54.54</c:v>
                </c:pt>
                <c:pt idx="354">
                  <c:v>54.3</c:v>
                </c:pt>
                <c:pt idx="355">
                  <c:v>54.38</c:v>
                </c:pt>
                <c:pt idx="356">
                  <c:v>54.15</c:v>
                </c:pt>
                <c:pt idx="357">
                  <c:v>53.9</c:v>
                </c:pt>
                <c:pt idx="358">
                  <c:v>52.64</c:v>
                </c:pt>
                <c:pt idx="359">
                  <c:v>52.18</c:v>
                </c:pt>
                <c:pt idx="360">
                  <c:v>52.47</c:v>
                </c:pt>
                <c:pt idx="361">
                  <c:v>51.9</c:v>
                </c:pt>
                <c:pt idx="362">
                  <c:v>51.47</c:v>
                </c:pt>
                <c:pt idx="363">
                  <c:v>51.290000000000013</c:v>
                </c:pt>
                <c:pt idx="364">
                  <c:v>52.04</c:v>
                </c:pt>
                <c:pt idx="365">
                  <c:v>51.88</c:v>
                </c:pt>
                <c:pt idx="366">
                  <c:v>51.87</c:v>
                </c:pt>
                <c:pt idx="367">
                  <c:v>51.45</c:v>
                </c:pt>
                <c:pt idx="368">
                  <c:v>50.6</c:v>
                </c:pt>
                <c:pt idx="369">
                  <c:v>51.3</c:v>
                </c:pt>
                <c:pt idx="370">
                  <c:v>50.92</c:v>
                </c:pt>
                <c:pt idx="371">
                  <c:v>49.58</c:v>
                </c:pt>
                <c:pt idx="372">
                  <c:v>49.290000000000013</c:v>
                </c:pt>
                <c:pt idx="373">
                  <c:v>51.67</c:v>
                </c:pt>
                <c:pt idx="374">
                  <c:v>51.56</c:v>
                </c:pt>
                <c:pt idx="375">
                  <c:v>52.14</c:v>
                </c:pt>
                <c:pt idx="376">
                  <c:v>51.88</c:v>
                </c:pt>
                <c:pt idx="377">
                  <c:v>52.220000000000013</c:v>
                </c:pt>
                <c:pt idx="378">
                  <c:v>50.660000000000011</c:v>
                </c:pt>
                <c:pt idx="379">
                  <c:v>50.55</c:v>
                </c:pt>
                <c:pt idx="380">
                  <c:v>50.41</c:v>
                </c:pt>
                <c:pt idx="381">
                  <c:v>49.48</c:v>
                </c:pt>
                <c:pt idx="382">
                  <c:v>49.91</c:v>
                </c:pt>
                <c:pt idx="383">
                  <c:v>49.89</c:v>
                </c:pt>
                <c:pt idx="384">
                  <c:v>49.89</c:v>
                </c:pt>
                <c:pt idx="385">
                  <c:v>49.3</c:v>
                </c:pt>
                <c:pt idx="386">
                  <c:v>48.230000000000011</c:v>
                </c:pt>
                <c:pt idx="387">
                  <c:v>48.07</c:v>
                </c:pt>
                <c:pt idx="388">
                  <c:v>47.48</c:v>
                </c:pt>
                <c:pt idx="389">
                  <c:v>49.09</c:v>
                </c:pt>
                <c:pt idx="390">
                  <c:v>49.160000000000011</c:v>
                </c:pt>
                <c:pt idx="391">
                  <c:v>48.660000000000011</c:v>
                </c:pt>
                <c:pt idx="393">
                  <c:v>47.290000000000013</c:v>
                </c:pt>
                <c:pt idx="394">
                  <c:v>47.230000000000011</c:v>
                </c:pt>
                <c:pt idx="395">
                  <c:v>45.96</c:v>
                </c:pt>
                <c:pt idx="396">
                  <c:v>46.44</c:v>
                </c:pt>
                <c:pt idx="397">
                  <c:v>46.57</c:v>
                </c:pt>
                <c:pt idx="398">
                  <c:v>47.87</c:v>
                </c:pt>
                <c:pt idx="399">
                  <c:v>47.43</c:v>
                </c:pt>
                <c:pt idx="400">
                  <c:v>48.41</c:v>
                </c:pt>
                <c:pt idx="401">
                  <c:v>47.64</c:v>
                </c:pt>
                <c:pt idx="402">
                  <c:v>47.37</c:v>
                </c:pt>
                <c:pt idx="403">
                  <c:v>48.51</c:v>
                </c:pt>
                <c:pt idx="404">
                  <c:v>47.09</c:v>
                </c:pt>
                <c:pt idx="405">
                  <c:v>46.78</c:v>
                </c:pt>
                <c:pt idx="406">
                  <c:v>47.55</c:v>
                </c:pt>
                <c:pt idx="407">
                  <c:v>47.59</c:v>
                </c:pt>
                <c:pt idx="408">
                  <c:v>48.82</c:v>
                </c:pt>
                <c:pt idx="409">
                  <c:v>48.59</c:v>
                </c:pt>
                <c:pt idx="410">
                  <c:v>49.56</c:v>
                </c:pt>
                <c:pt idx="411">
                  <c:v>49.17</c:v>
                </c:pt>
                <c:pt idx="412">
                  <c:v>49.39</c:v>
                </c:pt>
                <c:pt idx="413">
                  <c:v>49.58</c:v>
                </c:pt>
                <c:pt idx="414">
                  <c:v>49.3</c:v>
                </c:pt>
                <c:pt idx="415">
                  <c:v>49.59</c:v>
                </c:pt>
                <c:pt idx="416">
                  <c:v>49.160000000000011</c:v>
                </c:pt>
                <c:pt idx="417">
                  <c:v>50.17</c:v>
                </c:pt>
                <c:pt idx="418">
                  <c:v>49.71</c:v>
                </c:pt>
                <c:pt idx="419">
                  <c:v>49.04</c:v>
                </c:pt>
                <c:pt idx="420">
                  <c:v>48.75</c:v>
                </c:pt>
                <c:pt idx="421">
                  <c:v>47.89</c:v>
                </c:pt>
                <c:pt idx="422">
                  <c:v>46.34</c:v>
                </c:pt>
                <c:pt idx="423">
                  <c:v>45.77</c:v>
                </c:pt>
                <c:pt idx="424">
                  <c:v>46.790000000000013</c:v>
                </c:pt>
                <c:pt idx="425">
                  <c:v>47.120000000000012</c:v>
                </c:pt>
                <c:pt idx="426">
                  <c:v>46.4</c:v>
                </c:pt>
                <c:pt idx="427">
                  <c:v>46.02</c:v>
                </c:pt>
                <c:pt idx="428">
                  <c:v>46.54</c:v>
                </c:pt>
                <c:pt idx="429">
                  <c:v>46.08</c:v>
                </c:pt>
                <c:pt idx="430">
                  <c:v>45.49</c:v>
                </c:pt>
                <c:pt idx="431">
                  <c:v>45.04</c:v>
                </c:pt>
                <c:pt idx="432">
                  <c:v>44.4</c:v>
                </c:pt>
                <c:pt idx="433">
                  <c:v>44.230000000000011</c:v>
                </c:pt>
                <c:pt idx="434">
                  <c:v>45.52</c:v>
                </c:pt>
                <c:pt idx="435">
                  <c:v>45.13</c:v>
                </c:pt>
                <c:pt idx="436">
                  <c:v>47.08</c:v>
                </c:pt>
                <c:pt idx="437">
                  <c:v>47.07</c:v>
                </c:pt>
                <c:pt idx="438">
                  <c:v>46.04</c:v>
                </c:pt>
                <c:pt idx="439">
                  <c:v>44.93</c:v>
                </c:pt>
                <c:pt idx="440">
                  <c:v>44.74</c:v>
                </c:pt>
                <c:pt idx="441">
                  <c:v>44.24</c:v>
                </c:pt>
                <c:pt idx="442">
                  <c:v>43.38</c:v>
                </c:pt>
                <c:pt idx="443">
                  <c:v>43.01</c:v>
                </c:pt>
                <c:pt idx="444">
                  <c:v>42.74</c:v>
                </c:pt>
                <c:pt idx="445">
                  <c:v>42.53</c:v>
                </c:pt>
                <c:pt idx="446">
                  <c:v>43.230000000000011</c:v>
                </c:pt>
                <c:pt idx="447">
                  <c:v>44.2</c:v>
                </c:pt>
                <c:pt idx="448">
                  <c:v>44.74</c:v>
                </c:pt>
                <c:pt idx="449">
                  <c:v>44.46</c:v>
                </c:pt>
                <c:pt idx="450">
                  <c:v>44.730000000000011</c:v>
                </c:pt>
                <c:pt idx="451">
                  <c:v>46.46</c:v>
                </c:pt>
                <c:pt idx="452">
                  <c:v>46.08</c:v>
                </c:pt>
                <c:pt idx="453">
                  <c:v>45.83</c:v>
                </c:pt>
                <c:pt idx="454">
                  <c:v>45.64</c:v>
                </c:pt>
                <c:pt idx="455">
                  <c:v>45.720000000000013</c:v>
                </c:pt>
                <c:pt idx="456">
                  <c:v>48.190000000000012</c:v>
                </c:pt>
                <c:pt idx="457">
                  <c:v>47.4</c:v>
                </c:pt>
                <c:pt idx="458">
                  <c:v>47.660000000000011</c:v>
                </c:pt>
                <c:pt idx="459">
                  <c:v>48.36</c:v>
                </c:pt>
                <c:pt idx="460">
                  <c:v>48.32</c:v>
                </c:pt>
                <c:pt idx="461">
                  <c:v>49.660000000000011</c:v>
                </c:pt>
                <c:pt idx="463">
                  <c:v>49.8</c:v>
                </c:pt>
                <c:pt idx="464">
                  <c:v>48.9</c:v>
                </c:pt>
                <c:pt idx="465">
                  <c:v>51.36</c:v>
                </c:pt>
                <c:pt idx="466">
                  <c:v>51.47</c:v>
                </c:pt>
                <c:pt idx="467">
                  <c:v>50.730000000000011</c:v>
                </c:pt>
                <c:pt idx="468">
                  <c:v>50.33</c:v>
                </c:pt>
                <c:pt idx="469">
                  <c:v>49.35</c:v>
                </c:pt>
                <c:pt idx="470">
                  <c:v>49.07</c:v>
                </c:pt>
                <c:pt idx="471">
                  <c:v>48.660000000000011</c:v>
                </c:pt>
                <c:pt idx="472">
                  <c:v>48.85</c:v>
                </c:pt>
                <c:pt idx="473">
                  <c:v>47.84</c:v>
                </c:pt>
                <c:pt idx="474">
                  <c:v>47.83</c:v>
                </c:pt>
                <c:pt idx="475">
                  <c:v>47.33</c:v>
                </c:pt>
                <c:pt idx="476">
                  <c:v>45.88</c:v>
                </c:pt>
                <c:pt idx="477">
                  <c:v>46.43</c:v>
                </c:pt>
                <c:pt idx="478">
                  <c:v>46.220000000000013</c:v>
                </c:pt>
                <c:pt idx="479">
                  <c:v>45.52</c:v>
                </c:pt>
                <c:pt idx="480">
                  <c:v>47.82</c:v>
                </c:pt>
                <c:pt idx="481">
                  <c:v>47.660000000000011</c:v>
                </c:pt>
                <c:pt idx="482">
                  <c:v>48.84</c:v>
                </c:pt>
                <c:pt idx="483">
                  <c:v>49.33</c:v>
                </c:pt>
                <c:pt idx="484">
                  <c:v>48.97</c:v>
                </c:pt>
                <c:pt idx="485">
                  <c:v>49.620000000000012</c:v>
                </c:pt>
                <c:pt idx="486">
                  <c:v>49.56</c:v>
                </c:pt>
                <c:pt idx="487">
                  <c:v>49.230000000000011</c:v>
                </c:pt>
                <c:pt idx="488">
                  <c:v>49.620000000000012</c:v>
                </c:pt>
                <c:pt idx="489">
                  <c:v>50.27</c:v>
                </c:pt>
                <c:pt idx="490">
                  <c:v>50.44</c:v>
                </c:pt>
                <c:pt idx="491">
                  <c:v>52.41</c:v>
                </c:pt>
                <c:pt idx="492">
                  <c:v>52.65</c:v>
                </c:pt>
                <c:pt idx="493">
                  <c:v>53.18</c:v>
                </c:pt>
                <c:pt idx="494">
                  <c:v>53.11</c:v>
                </c:pt>
                <c:pt idx="495">
                  <c:v>53.4</c:v>
                </c:pt>
                <c:pt idx="496">
                  <c:v>53.08</c:v>
                </c:pt>
                <c:pt idx="497">
                  <c:v>52.24</c:v>
                </c:pt>
                <c:pt idx="498">
                  <c:v>51.7</c:v>
                </c:pt>
                <c:pt idx="499">
                  <c:v>51.15</c:v>
                </c:pt>
                <c:pt idx="500">
                  <c:v>51.03</c:v>
                </c:pt>
                <c:pt idx="501">
                  <c:v>50.24</c:v>
                </c:pt>
                <c:pt idx="502">
                  <c:v>50.6</c:v>
                </c:pt>
                <c:pt idx="503">
                  <c:v>50.35</c:v>
                </c:pt>
                <c:pt idx="504">
                  <c:v>49.51</c:v>
                </c:pt>
                <c:pt idx="505">
                  <c:v>48.37</c:v>
                </c:pt>
                <c:pt idx="506">
                  <c:v>47.730000000000011</c:v>
                </c:pt>
                <c:pt idx="507">
                  <c:v>47.97</c:v>
                </c:pt>
                <c:pt idx="508">
                  <c:v>47.7</c:v>
                </c:pt>
                <c:pt idx="509">
                  <c:v>48.04</c:v>
                </c:pt>
                <c:pt idx="510">
                  <c:v>47.34</c:v>
                </c:pt>
                <c:pt idx="511">
                  <c:v>48.220000000000013</c:v>
                </c:pt>
                <c:pt idx="512">
                  <c:v>48.78</c:v>
                </c:pt>
                <c:pt idx="513">
                  <c:v>48.75</c:v>
                </c:pt>
                <c:pt idx="514">
                  <c:v>48.86</c:v>
                </c:pt>
                <c:pt idx="515">
                  <c:v>47.720000000000013</c:v>
                </c:pt>
                <c:pt idx="516">
                  <c:v>48.4</c:v>
                </c:pt>
                <c:pt idx="517">
                  <c:v>48.49</c:v>
                </c:pt>
                <c:pt idx="518">
                  <c:v>49.28</c:v>
                </c:pt>
                <c:pt idx="519">
                  <c:v>50.28</c:v>
                </c:pt>
                <c:pt idx="520">
                  <c:v>53.14</c:v>
                </c:pt>
                <c:pt idx="521">
                  <c:v>53.2</c:v>
                </c:pt>
                <c:pt idx="522">
                  <c:v>53.33</c:v>
                </c:pt>
                <c:pt idx="523">
                  <c:v>52.61</c:v>
                </c:pt>
                <c:pt idx="524">
                  <c:v>53.83</c:v>
                </c:pt>
                <c:pt idx="525">
                  <c:v>54.01</c:v>
                </c:pt>
                <c:pt idx="526">
                  <c:v>54.05</c:v>
                </c:pt>
                <c:pt idx="527">
                  <c:v>53.99</c:v>
                </c:pt>
                <c:pt idx="528">
                  <c:v>54.45</c:v>
                </c:pt>
                <c:pt idx="529">
                  <c:v>53.59</c:v>
                </c:pt>
                <c:pt idx="530">
                  <c:v>54.06</c:v>
                </c:pt>
                <c:pt idx="532">
                  <c:v>53.4</c:v>
                </c:pt>
                <c:pt idx="533">
                  <c:v>53.36</c:v>
                </c:pt>
                <c:pt idx="534">
                  <c:v>53.11</c:v>
                </c:pt>
                <c:pt idx="535">
                  <c:v>53.2</c:v>
                </c:pt>
                <c:pt idx="536">
                  <c:v>52.93</c:v>
                </c:pt>
                <c:pt idx="537">
                  <c:v>53.86</c:v>
                </c:pt>
                <c:pt idx="538">
                  <c:v>53</c:v>
                </c:pt>
                <c:pt idx="539">
                  <c:v>52.34</c:v>
                </c:pt>
                <c:pt idx="540">
                  <c:v>52.17</c:v>
                </c:pt>
                <c:pt idx="541">
                  <c:v>53.01</c:v>
                </c:pt>
                <c:pt idx="542">
                  <c:v>53.83</c:v>
                </c:pt>
                <c:pt idx="543">
                  <c:v>53.54</c:v>
                </c:pt>
                <c:pt idx="544">
                  <c:v>53.88</c:v>
                </c:pt>
                <c:pt idx="545">
                  <c:v>52.81</c:v>
                </c:pt>
                <c:pt idx="546">
                  <c:v>52.63</c:v>
                </c:pt>
                <c:pt idx="547">
                  <c:v>53.17</c:v>
                </c:pt>
                <c:pt idx="548">
                  <c:v>53.78</c:v>
                </c:pt>
                <c:pt idx="549">
                  <c:v>52.75</c:v>
                </c:pt>
                <c:pt idx="550">
                  <c:v>53.18</c:v>
                </c:pt>
                <c:pt idx="551">
                  <c:v>52.75</c:v>
                </c:pt>
                <c:pt idx="552">
                  <c:v>52.42</c:v>
                </c:pt>
                <c:pt idx="553">
                  <c:v>51.37</c:v>
                </c:pt>
                <c:pt idx="554">
                  <c:v>51.08</c:v>
                </c:pt>
                <c:pt idx="555">
                  <c:v>52.48</c:v>
                </c:pt>
                <c:pt idx="557">
                  <c:v>52.37</c:v>
                </c:pt>
                <c:pt idx="558">
                  <c:v>53.01</c:v>
                </c:pt>
                <c:pt idx="559">
                  <c:v>52.25</c:v>
                </c:pt>
                <c:pt idx="560">
                  <c:v>50.82</c:v>
                </c:pt>
                <c:pt idx="561">
                  <c:v>51.96</c:v>
                </c:pt>
                <c:pt idx="562">
                  <c:v>53.99</c:v>
                </c:pt>
                <c:pt idx="563">
                  <c:v>53.760000000000012</c:v>
                </c:pt>
                <c:pt idx="564">
                  <c:v>53.260000000000012</c:v>
                </c:pt>
                <c:pt idx="565">
                  <c:v>52.33</c:v>
                </c:pt>
                <c:pt idx="566">
                  <c:v>53.720000000000013</c:v>
                </c:pt>
                <c:pt idx="567">
                  <c:v>53.77</c:v>
                </c:pt>
                <c:pt idx="568">
                  <c:v>54.06</c:v>
                </c:pt>
                <c:pt idx="569">
                  <c:v>53.9</c:v>
                </c:pt>
                <c:pt idx="570">
                  <c:v>53.02</c:v>
                </c:pt>
                <c:pt idx="571">
                  <c:v>52.95</c:v>
                </c:pt>
                <c:pt idx="572">
                  <c:v>52.49</c:v>
                </c:pt>
                <c:pt idx="573">
                  <c:v>52.230000000000011</c:v>
                </c:pt>
                <c:pt idx="574">
                  <c:v>52.120000000000012</c:v>
                </c:pt>
                <c:pt idx="575">
                  <c:v>51.9</c:v>
                </c:pt>
                <c:pt idx="576">
                  <c:v>50.9</c:v>
                </c:pt>
                <c:pt idx="577">
                  <c:v>51.04</c:v>
                </c:pt>
                <c:pt idx="578">
                  <c:v>52.98</c:v>
                </c:pt>
                <c:pt idx="579">
                  <c:v>52.83</c:v>
                </c:pt>
                <c:pt idx="580">
                  <c:v>51.5</c:v>
                </c:pt>
                <c:pt idx="581">
                  <c:v>50.84</c:v>
                </c:pt>
                <c:pt idx="582">
                  <c:v>49.77</c:v>
                </c:pt>
                <c:pt idx="583">
                  <c:v>50.93</c:v>
                </c:pt>
                <c:pt idx="584">
                  <c:v>51.790000000000013</c:v>
                </c:pt>
                <c:pt idx="585">
                  <c:v>51.68</c:v>
                </c:pt>
                <c:pt idx="586">
                  <c:v>51.06</c:v>
                </c:pt>
                <c:pt idx="587">
                  <c:v>49.44</c:v>
                </c:pt>
                <c:pt idx="588">
                  <c:v>45.230000000000011</c:v>
                </c:pt>
                <c:pt idx="589">
                  <c:v>47.08</c:v>
                </c:pt>
                <c:pt idx="590">
                  <c:v>46.06</c:v>
                </c:pt>
                <c:pt idx="592">
                  <c:v>47.96</c:v>
                </c:pt>
                <c:pt idx="593">
                  <c:v>48.03</c:v>
                </c:pt>
                <c:pt idx="594">
                  <c:v>47.49</c:v>
                </c:pt>
                <c:pt idx="595">
                  <c:v>45.690000000000012</c:v>
                </c:pt>
                <c:pt idx="596">
                  <c:v>45.42</c:v>
                </c:pt>
                <c:pt idx="597">
                  <c:v>45.57</c:v>
                </c:pt>
                <c:pt idx="598">
                  <c:v>45.81</c:v>
                </c:pt>
                <c:pt idx="599">
                  <c:v>43.32</c:v>
                </c:pt>
                <c:pt idx="600">
                  <c:v>43.41</c:v>
                </c:pt>
                <c:pt idx="601">
                  <c:v>44.660000000000011</c:v>
                </c:pt>
                <c:pt idx="602">
                  <c:v>45.27</c:v>
                </c:pt>
                <c:pt idx="603">
                  <c:v>44.98</c:v>
                </c:pt>
                <c:pt idx="604">
                  <c:v>44.89</c:v>
                </c:pt>
                <c:pt idx="605">
                  <c:v>44.07</c:v>
                </c:pt>
                <c:pt idx="606">
                  <c:v>44.660000000000011</c:v>
                </c:pt>
                <c:pt idx="607">
                  <c:v>45.34</c:v>
                </c:pt>
                <c:pt idx="608">
                  <c:v>46.67</c:v>
                </c:pt>
                <c:pt idx="609">
                  <c:v>46.86</c:v>
                </c:pt>
                <c:pt idx="610">
                  <c:v>48.7</c:v>
                </c:pt>
                <c:pt idx="611">
                  <c:v>49.720000000000013</c:v>
                </c:pt>
                <c:pt idx="612">
                  <c:v>49.18</c:v>
                </c:pt>
                <c:pt idx="613">
                  <c:v>49.96</c:v>
                </c:pt>
                <c:pt idx="614">
                  <c:v>50.52</c:v>
                </c:pt>
                <c:pt idx="615">
                  <c:v>50.85</c:v>
                </c:pt>
                <c:pt idx="616">
                  <c:v>50.43</c:v>
                </c:pt>
                <c:pt idx="617">
                  <c:v>51.6</c:v>
                </c:pt>
                <c:pt idx="618">
                  <c:v>50.290000000000013</c:v>
                </c:pt>
                <c:pt idx="619">
                  <c:v>49.94</c:v>
                </c:pt>
                <c:pt idx="620">
                  <c:v>50.35</c:v>
                </c:pt>
                <c:pt idx="621">
                  <c:v>50.44</c:v>
                </c:pt>
                <c:pt idx="622">
                  <c:v>50.18</c:v>
                </c:pt>
                <c:pt idx="623">
                  <c:v>50.790000000000013</c:v>
                </c:pt>
                <c:pt idx="624">
                  <c:v>51.35</c:v>
                </c:pt>
                <c:pt idx="625">
                  <c:v>49.81</c:v>
                </c:pt>
                <c:pt idx="626">
                  <c:v>50.44</c:v>
                </c:pt>
                <c:pt idx="627">
                  <c:v>49.83</c:v>
                </c:pt>
                <c:pt idx="628">
                  <c:v>48.690000000000012</c:v>
                </c:pt>
                <c:pt idx="629">
                  <c:v>48.81</c:v>
                </c:pt>
                <c:pt idx="630">
                  <c:v>48.24</c:v>
                </c:pt>
                <c:pt idx="631">
                  <c:v>47.83</c:v>
                </c:pt>
                <c:pt idx="632">
                  <c:v>47.05</c:v>
                </c:pt>
                <c:pt idx="633">
                  <c:v>44.67</c:v>
                </c:pt>
                <c:pt idx="634">
                  <c:v>45.93</c:v>
                </c:pt>
                <c:pt idx="635">
                  <c:v>44.48</c:v>
                </c:pt>
                <c:pt idx="636">
                  <c:v>46.32</c:v>
                </c:pt>
                <c:pt idx="637">
                  <c:v>45.34</c:v>
                </c:pt>
                <c:pt idx="638">
                  <c:v>43.44</c:v>
                </c:pt>
                <c:pt idx="639">
                  <c:v>43.3</c:v>
                </c:pt>
                <c:pt idx="640">
                  <c:v>43.03</c:v>
                </c:pt>
                <c:pt idx="641">
                  <c:v>43.91</c:v>
                </c:pt>
                <c:pt idx="642">
                  <c:v>43.58</c:v>
                </c:pt>
                <c:pt idx="643">
                  <c:v>44.9</c:v>
                </c:pt>
                <c:pt idx="644">
                  <c:v>46.290000000000013</c:v>
                </c:pt>
                <c:pt idx="645">
                  <c:v>45.88</c:v>
                </c:pt>
                <c:pt idx="646">
                  <c:v>47.620000000000012</c:v>
                </c:pt>
                <c:pt idx="647">
                  <c:v>45.5</c:v>
                </c:pt>
                <c:pt idx="648">
                  <c:v>44.83</c:v>
                </c:pt>
                <c:pt idx="650">
                  <c:v>44.44</c:v>
                </c:pt>
                <c:pt idx="651">
                  <c:v>43.160000000000011</c:v>
                </c:pt>
                <c:pt idx="652">
                  <c:v>44.7</c:v>
                </c:pt>
                <c:pt idx="653">
                  <c:v>46.35</c:v>
                </c:pt>
                <c:pt idx="654">
                  <c:v>46.98</c:v>
                </c:pt>
                <c:pt idx="655">
                  <c:v>47.64</c:v>
                </c:pt>
                <c:pt idx="656">
                  <c:v>47.33</c:v>
                </c:pt>
                <c:pt idx="657">
                  <c:v>46.77</c:v>
                </c:pt>
                <c:pt idx="658">
                  <c:v>48.1</c:v>
                </c:pt>
                <c:pt idx="659">
                  <c:v>47.05</c:v>
                </c:pt>
                <c:pt idx="660">
                  <c:v>48.52</c:v>
                </c:pt>
                <c:pt idx="661">
                  <c:v>48.220000000000013</c:v>
                </c:pt>
                <c:pt idx="662">
                  <c:v>46.790000000000013</c:v>
                </c:pt>
                <c:pt idx="663">
                  <c:v>46.58</c:v>
                </c:pt>
                <c:pt idx="664">
                  <c:v>45.74</c:v>
                </c:pt>
                <c:pt idx="665">
                  <c:v>44.49</c:v>
                </c:pt>
                <c:pt idx="666">
                  <c:v>43.49</c:v>
                </c:pt>
                <c:pt idx="667">
                  <c:v>41.71</c:v>
                </c:pt>
                <c:pt idx="668">
                  <c:v>42.77</c:v>
                </c:pt>
                <c:pt idx="669">
                  <c:v>43.02</c:v>
                </c:pt>
                <c:pt idx="670">
                  <c:v>41.8</c:v>
                </c:pt>
                <c:pt idx="671">
                  <c:v>41.93</c:v>
                </c:pt>
                <c:pt idx="672">
                  <c:v>40.83</c:v>
                </c:pt>
                <c:pt idx="673">
                  <c:v>39.51</c:v>
                </c:pt>
                <c:pt idx="674">
                  <c:v>40.06</c:v>
                </c:pt>
                <c:pt idx="675">
                  <c:v>41.6</c:v>
                </c:pt>
                <c:pt idx="676">
                  <c:v>41.14</c:v>
                </c:pt>
                <c:pt idx="677">
                  <c:v>41.92</c:v>
                </c:pt>
                <c:pt idx="678">
                  <c:v>42.92</c:v>
                </c:pt>
                <c:pt idx="679">
                  <c:v>43.13</c:v>
                </c:pt>
                <c:pt idx="680">
                  <c:v>44.190000000000012</c:v>
                </c:pt>
                <c:pt idx="681">
                  <c:v>44.75</c:v>
                </c:pt>
                <c:pt idx="682">
                  <c:v>44.94</c:v>
                </c:pt>
                <c:pt idx="683">
                  <c:v>44.65</c:v>
                </c:pt>
                <c:pt idx="684">
                  <c:v>45.24</c:v>
                </c:pt>
                <c:pt idx="685">
                  <c:v>45.95</c:v>
                </c:pt>
                <c:pt idx="686">
                  <c:v>45.68</c:v>
                </c:pt>
                <c:pt idx="687">
                  <c:v>44.75</c:v>
                </c:pt>
                <c:pt idx="688">
                  <c:v>46.8</c:v>
                </c:pt>
                <c:pt idx="689">
                  <c:v>44.760000000000012</c:v>
                </c:pt>
                <c:pt idx="690">
                  <c:v>45.41</c:v>
                </c:pt>
                <c:pt idx="691">
                  <c:v>45.14</c:v>
                </c:pt>
                <c:pt idx="692">
                  <c:v>47.43</c:v>
                </c:pt>
                <c:pt idx="693">
                  <c:v>46.6</c:v>
                </c:pt>
                <c:pt idx="694">
                  <c:v>48.760000000000012</c:v>
                </c:pt>
              </c:numCache>
            </c:numRef>
          </c:val>
        </c:ser>
        <c:ser>
          <c:idx val="1"/>
          <c:order val="1"/>
          <c:tx>
            <c:strRef>
              <c:f>'世界-走势图'!$B$1:$C$1</c:f>
              <c:strCache>
                <c:ptCount val="1"/>
                <c:pt idx="0">
                  <c:v>WTI 布伦特</c:v>
                </c:pt>
              </c:strCache>
            </c:strRef>
          </c:tx>
          <c:spPr>
            <a:ln w="25400" cap="rnd" cmpd="sng" algn="ctr">
              <a:solidFill>
                <a:srgbClr val="FF0000">
                  <a:alpha val="100000"/>
                </a:srgbClr>
              </a:solidFill>
              <a:prstDash val="solid"/>
              <a:round/>
            </a:ln>
          </c:spPr>
          <c:marker>
            <c:symbol val="none"/>
          </c:marker>
          <c:cat>
            <c:numRef>
              <c:f>'世界-走势图'!$A$2:$A$696</c:f>
              <c:numCache>
                <c:formatCode>yyyy/m/d;@</c:formatCode>
                <c:ptCount val="695"/>
                <c:pt idx="0">
                  <c:v>43544</c:v>
                </c:pt>
                <c:pt idx="1">
                  <c:v>43543</c:v>
                </c:pt>
                <c:pt idx="2">
                  <c:v>43542</c:v>
                </c:pt>
                <c:pt idx="3">
                  <c:v>43539</c:v>
                </c:pt>
                <c:pt idx="4">
                  <c:v>43538</c:v>
                </c:pt>
                <c:pt idx="5">
                  <c:v>43537</c:v>
                </c:pt>
                <c:pt idx="6">
                  <c:v>43536</c:v>
                </c:pt>
                <c:pt idx="7">
                  <c:v>43535</c:v>
                </c:pt>
                <c:pt idx="8">
                  <c:v>43532</c:v>
                </c:pt>
                <c:pt idx="9">
                  <c:v>43531</c:v>
                </c:pt>
                <c:pt idx="10">
                  <c:v>43530</c:v>
                </c:pt>
                <c:pt idx="11">
                  <c:v>43529</c:v>
                </c:pt>
                <c:pt idx="12">
                  <c:v>43528</c:v>
                </c:pt>
                <c:pt idx="13">
                  <c:v>43525</c:v>
                </c:pt>
                <c:pt idx="14">
                  <c:v>43524</c:v>
                </c:pt>
                <c:pt idx="15">
                  <c:v>43523</c:v>
                </c:pt>
                <c:pt idx="16">
                  <c:v>43522</c:v>
                </c:pt>
                <c:pt idx="17">
                  <c:v>43521</c:v>
                </c:pt>
                <c:pt idx="18">
                  <c:v>43518</c:v>
                </c:pt>
                <c:pt idx="19">
                  <c:v>43517</c:v>
                </c:pt>
                <c:pt idx="20">
                  <c:v>43516</c:v>
                </c:pt>
                <c:pt idx="21">
                  <c:v>43515</c:v>
                </c:pt>
                <c:pt idx="22">
                  <c:v>43514</c:v>
                </c:pt>
                <c:pt idx="23">
                  <c:v>43511</c:v>
                </c:pt>
                <c:pt idx="24">
                  <c:v>43510</c:v>
                </c:pt>
                <c:pt idx="25">
                  <c:v>43509</c:v>
                </c:pt>
                <c:pt idx="26">
                  <c:v>43508</c:v>
                </c:pt>
                <c:pt idx="27">
                  <c:v>43507</c:v>
                </c:pt>
                <c:pt idx="28">
                  <c:v>43504</c:v>
                </c:pt>
                <c:pt idx="29">
                  <c:v>43503</c:v>
                </c:pt>
                <c:pt idx="30">
                  <c:v>43502</c:v>
                </c:pt>
                <c:pt idx="31">
                  <c:v>43501</c:v>
                </c:pt>
                <c:pt idx="32">
                  <c:v>43500</c:v>
                </c:pt>
                <c:pt idx="33">
                  <c:v>43497</c:v>
                </c:pt>
                <c:pt idx="34">
                  <c:v>43496</c:v>
                </c:pt>
                <c:pt idx="35">
                  <c:v>43495</c:v>
                </c:pt>
                <c:pt idx="36">
                  <c:v>43494</c:v>
                </c:pt>
                <c:pt idx="37">
                  <c:v>43493</c:v>
                </c:pt>
                <c:pt idx="38">
                  <c:v>43490</c:v>
                </c:pt>
                <c:pt idx="39">
                  <c:v>43489</c:v>
                </c:pt>
                <c:pt idx="40">
                  <c:v>43488</c:v>
                </c:pt>
                <c:pt idx="41">
                  <c:v>43487</c:v>
                </c:pt>
                <c:pt idx="42">
                  <c:v>43486</c:v>
                </c:pt>
                <c:pt idx="43">
                  <c:v>43483</c:v>
                </c:pt>
                <c:pt idx="44">
                  <c:v>43482</c:v>
                </c:pt>
                <c:pt idx="45">
                  <c:v>43481</c:v>
                </c:pt>
                <c:pt idx="46">
                  <c:v>43480</c:v>
                </c:pt>
                <c:pt idx="47">
                  <c:v>43479</c:v>
                </c:pt>
                <c:pt idx="48">
                  <c:v>43476</c:v>
                </c:pt>
                <c:pt idx="49">
                  <c:v>43475</c:v>
                </c:pt>
                <c:pt idx="50">
                  <c:v>43474</c:v>
                </c:pt>
                <c:pt idx="51">
                  <c:v>43473</c:v>
                </c:pt>
                <c:pt idx="52">
                  <c:v>43472</c:v>
                </c:pt>
                <c:pt idx="53">
                  <c:v>43469</c:v>
                </c:pt>
                <c:pt idx="54">
                  <c:v>43468</c:v>
                </c:pt>
                <c:pt idx="55">
                  <c:v>43467</c:v>
                </c:pt>
                <c:pt idx="56">
                  <c:v>43466</c:v>
                </c:pt>
                <c:pt idx="57">
                  <c:v>43465</c:v>
                </c:pt>
                <c:pt idx="58">
                  <c:v>43462</c:v>
                </c:pt>
                <c:pt idx="59">
                  <c:v>43461</c:v>
                </c:pt>
                <c:pt idx="60">
                  <c:v>43460</c:v>
                </c:pt>
                <c:pt idx="61">
                  <c:v>43459</c:v>
                </c:pt>
                <c:pt idx="62">
                  <c:v>43458</c:v>
                </c:pt>
                <c:pt idx="63">
                  <c:v>43455</c:v>
                </c:pt>
                <c:pt idx="64">
                  <c:v>43454</c:v>
                </c:pt>
                <c:pt idx="65">
                  <c:v>43453</c:v>
                </c:pt>
                <c:pt idx="66">
                  <c:v>43452</c:v>
                </c:pt>
                <c:pt idx="67">
                  <c:v>43451</c:v>
                </c:pt>
                <c:pt idx="68">
                  <c:v>43448</c:v>
                </c:pt>
                <c:pt idx="69">
                  <c:v>43447</c:v>
                </c:pt>
                <c:pt idx="70">
                  <c:v>43446</c:v>
                </c:pt>
                <c:pt idx="71">
                  <c:v>43445</c:v>
                </c:pt>
                <c:pt idx="72">
                  <c:v>43444</c:v>
                </c:pt>
                <c:pt idx="73">
                  <c:v>43441</c:v>
                </c:pt>
                <c:pt idx="74">
                  <c:v>43440</c:v>
                </c:pt>
                <c:pt idx="75">
                  <c:v>43439</c:v>
                </c:pt>
                <c:pt idx="76">
                  <c:v>43438</c:v>
                </c:pt>
                <c:pt idx="77">
                  <c:v>43437</c:v>
                </c:pt>
                <c:pt idx="78">
                  <c:v>43434</c:v>
                </c:pt>
                <c:pt idx="79">
                  <c:v>43433</c:v>
                </c:pt>
                <c:pt idx="80">
                  <c:v>43432</c:v>
                </c:pt>
                <c:pt idx="81">
                  <c:v>43431</c:v>
                </c:pt>
                <c:pt idx="82">
                  <c:v>43430</c:v>
                </c:pt>
                <c:pt idx="83">
                  <c:v>43427</c:v>
                </c:pt>
                <c:pt idx="84">
                  <c:v>43426</c:v>
                </c:pt>
                <c:pt idx="85">
                  <c:v>43425</c:v>
                </c:pt>
                <c:pt idx="86">
                  <c:v>43424</c:v>
                </c:pt>
                <c:pt idx="87">
                  <c:v>43423</c:v>
                </c:pt>
                <c:pt idx="88">
                  <c:v>43420</c:v>
                </c:pt>
                <c:pt idx="89">
                  <c:v>43419</c:v>
                </c:pt>
                <c:pt idx="90">
                  <c:v>43418</c:v>
                </c:pt>
                <c:pt idx="91">
                  <c:v>43417</c:v>
                </c:pt>
                <c:pt idx="92">
                  <c:v>43416</c:v>
                </c:pt>
                <c:pt idx="93">
                  <c:v>43413</c:v>
                </c:pt>
                <c:pt idx="94">
                  <c:v>43412</c:v>
                </c:pt>
                <c:pt idx="95">
                  <c:v>43411</c:v>
                </c:pt>
                <c:pt idx="96">
                  <c:v>43410</c:v>
                </c:pt>
                <c:pt idx="97">
                  <c:v>43409</c:v>
                </c:pt>
                <c:pt idx="98">
                  <c:v>43406</c:v>
                </c:pt>
                <c:pt idx="99">
                  <c:v>43405</c:v>
                </c:pt>
                <c:pt idx="100">
                  <c:v>43404</c:v>
                </c:pt>
                <c:pt idx="101">
                  <c:v>43403</c:v>
                </c:pt>
                <c:pt idx="102">
                  <c:v>43402</c:v>
                </c:pt>
                <c:pt idx="103">
                  <c:v>43399</c:v>
                </c:pt>
                <c:pt idx="104">
                  <c:v>43398</c:v>
                </c:pt>
                <c:pt idx="105">
                  <c:v>43397</c:v>
                </c:pt>
                <c:pt idx="106">
                  <c:v>43396</c:v>
                </c:pt>
                <c:pt idx="107">
                  <c:v>43395</c:v>
                </c:pt>
                <c:pt idx="108">
                  <c:v>43392</c:v>
                </c:pt>
                <c:pt idx="109">
                  <c:v>43391</c:v>
                </c:pt>
                <c:pt idx="110">
                  <c:v>43390</c:v>
                </c:pt>
                <c:pt idx="111">
                  <c:v>43389</c:v>
                </c:pt>
                <c:pt idx="112">
                  <c:v>43388</c:v>
                </c:pt>
                <c:pt idx="113">
                  <c:v>43385</c:v>
                </c:pt>
                <c:pt idx="114">
                  <c:v>43384</c:v>
                </c:pt>
                <c:pt idx="115">
                  <c:v>43383</c:v>
                </c:pt>
                <c:pt idx="116">
                  <c:v>43382</c:v>
                </c:pt>
                <c:pt idx="117">
                  <c:v>43381</c:v>
                </c:pt>
                <c:pt idx="118">
                  <c:v>43378</c:v>
                </c:pt>
                <c:pt idx="119">
                  <c:v>43377</c:v>
                </c:pt>
                <c:pt idx="120">
                  <c:v>43376</c:v>
                </c:pt>
                <c:pt idx="121">
                  <c:v>43375</c:v>
                </c:pt>
                <c:pt idx="122">
                  <c:v>43374</c:v>
                </c:pt>
                <c:pt idx="123">
                  <c:v>43371</c:v>
                </c:pt>
                <c:pt idx="124">
                  <c:v>43370</c:v>
                </c:pt>
                <c:pt idx="125">
                  <c:v>43369</c:v>
                </c:pt>
                <c:pt idx="126">
                  <c:v>43368</c:v>
                </c:pt>
                <c:pt idx="127">
                  <c:v>43367</c:v>
                </c:pt>
                <c:pt idx="128">
                  <c:v>43364</c:v>
                </c:pt>
                <c:pt idx="129">
                  <c:v>43363</c:v>
                </c:pt>
                <c:pt idx="130">
                  <c:v>43362</c:v>
                </c:pt>
                <c:pt idx="131">
                  <c:v>43361</c:v>
                </c:pt>
                <c:pt idx="132">
                  <c:v>43360</c:v>
                </c:pt>
                <c:pt idx="133">
                  <c:v>43357</c:v>
                </c:pt>
                <c:pt idx="134">
                  <c:v>43356</c:v>
                </c:pt>
                <c:pt idx="135">
                  <c:v>43355</c:v>
                </c:pt>
                <c:pt idx="136">
                  <c:v>43354</c:v>
                </c:pt>
                <c:pt idx="137">
                  <c:v>43353</c:v>
                </c:pt>
                <c:pt idx="138">
                  <c:v>43350</c:v>
                </c:pt>
                <c:pt idx="139">
                  <c:v>43349</c:v>
                </c:pt>
                <c:pt idx="140">
                  <c:v>43348</c:v>
                </c:pt>
                <c:pt idx="141">
                  <c:v>43347</c:v>
                </c:pt>
                <c:pt idx="142">
                  <c:v>43346</c:v>
                </c:pt>
                <c:pt idx="143">
                  <c:v>43343</c:v>
                </c:pt>
                <c:pt idx="144">
                  <c:v>43342</c:v>
                </c:pt>
                <c:pt idx="145">
                  <c:v>43341</c:v>
                </c:pt>
                <c:pt idx="146">
                  <c:v>43340</c:v>
                </c:pt>
                <c:pt idx="147">
                  <c:v>43339</c:v>
                </c:pt>
                <c:pt idx="148">
                  <c:v>43336</c:v>
                </c:pt>
                <c:pt idx="149">
                  <c:v>43335</c:v>
                </c:pt>
                <c:pt idx="150">
                  <c:v>43334</c:v>
                </c:pt>
                <c:pt idx="151">
                  <c:v>43333</c:v>
                </c:pt>
                <c:pt idx="152">
                  <c:v>43332</c:v>
                </c:pt>
                <c:pt idx="153">
                  <c:v>43329</c:v>
                </c:pt>
                <c:pt idx="154">
                  <c:v>43328</c:v>
                </c:pt>
                <c:pt idx="155">
                  <c:v>43327</c:v>
                </c:pt>
                <c:pt idx="156">
                  <c:v>43326</c:v>
                </c:pt>
                <c:pt idx="157">
                  <c:v>43325</c:v>
                </c:pt>
                <c:pt idx="158">
                  <c:v>43322</c:v>
                </c:pt>
                <c:pt idx="159">
                  <c:v>43321</c:v>
                </c:pt>
                <c:pt idx="160">
                  <c:v>43320</c:v>
                </c:pt>
                <c:pt idx="161">
                  <c:v>43319</c:v>
                </c:pt>
                <c:pt idx="162">
                  <c:v>43318</c:v>
                </c:pt>
                <c:pt idx="163">
                  <c:v>43315</c:v>
                </c:pt>
                <c:pt idx="164">
                  <c:v>43314</c:v>
                </c:pt>
                <c:pt idx="165">
                  <c:v>43313</c:v>
                </c:pt>
                <c:pt idx="166">
                  <c:v>43312</c:v>
                </c:pt>
                <c:pt idx="167">
                  <c:v>43311</c:v>
                </c:pt>
                <c:pt idx="168">
                  <c:v>43308</c:v>
                </c:pt>
                <c:pt idx="169">
                  <c:v>43307</c:v>
                </c:pt>
                <c:pt idx="170">
                  <c:v>43306</c:v>
                </c:pt>
                <c:pt idx="171">
                  <c:v>43305</c:v>
                </c:pt>
                <c:pt idx="172">
                  <c:v>43304</c:v>
                </c:pt>
                <c:pt idx="173">
                  <c:v>43301</c:v>
                </c:pt>
                <c:pt idx="174">
                  <c:v>43300</c:v>
                </c:pt>
                <c:pt idx="175">
                  <c:v>43299</c:v>
                </c:pt>
                <c:pt idx="176">
                  <c:v>43298</c:v>
                </c:pt>
                <c:pt idx="177">
                  <c:v>43297</c:v>
                </c:pt>
                <c:pt idx="178">
                  <c:v>43294</c:v>
                </c:pt>
                <c:pt idx="179">
                  <c:v>43293</c:v>
                </c:pt>
                <c:pt idx="180">
                  <c:v>43292</c:v>
                </c:pt>
                <c:pt idx="181">
                  <c:v>43291</c:v>
                </c:pt>
                <c:pt idx="182">
                  <c:v>43290</c:v>
                </c:pt>
                <c:pt idx="183">
                  <c:v>43287</c:v>
                </c:pt>
                <c:pt idx="184">
                  <c:v>43286</c:v>
                </c:pt>
                <c:pt idx="185">
                  <c:v>43285</c:v>
                </c:pt>
                <c:pt idx="186">
                  <c:v>43284</c:v>
                </c:pt>
                <c:pt idx="187">
                  <c:v>43283</c:v>
                </c:pt>
                <c:pt idx="188">
                  <c:v>43280</c:v>
                </c:pt>
                <c:pt idx="189">
                  <c:v>43279</c:v>
                </c:pt>
                <c:pt idx="190">
                  <c:v>43278</c:v>
                </c:pt>
                <c:pt idx="191">
                  <c:v>43277</c:v>
                </c:pt>
                <c:pt idx="192">
                  <c:v>43276</c:v>
                </c:pt>
                <c:pt idx="193">
                  <c:v>43273</c:v>
                </c:pt>
                <c:pt idx="194">
                  <c:v>43272</c:v>
                </c:pt>
                <c:pt idx="195">
                  <c:v>43271</c:v>
                </c:pt>
                <c:pt idx="196">
                  <c:v>43270</c:v>
                </c:pt>
                <c:pt idx="197">
                  <c:v>43269</c:v>
                </c:pt>
                <c:pt idx="198">
                  <c:v>43266</c:v>
                </c:pt>
                <c:pt idx="199">
                  <c:v>43265</c:v>
                </c:pt>
                <c:pt idx="200">
                  <c:v>43264</c:v>
                </c:pt>
                <c:pt idx="201">
                  <c:v>43263</c:v>
                </c:pt>
                <c:pt idx="202">
                  <c:v>43262</c:v>
                </c:pt>
                <c:pt idx="203">
                  <c:v>43259</c:v>
                </c:pt>
                <c:pt idx="204">
                  <c:v>43258</c:v>
                </c:pt>
                <c:pt idx="205">
                  <c:v>43257</c:v>
                </c:pt>
                <c:pt idx="206">
                  <c:v>43256</c:v>
                </c:pt>
                <c:pt idx="207">
                  <c:v>43255</c:v>
                </c:pt>
                <c:pt idx="208">
                  <c:v>43252</c:v>
                </c:pt>
                <c:pt idx="209">
                  <c:v>43251</c:v>
                </c:pt>
                <c:pt idx="210">
                  <c:v>43250</c:v>
                </c:pt>
                <c:pt idx="211">
                  <c:v>43249</c:v>
                </c:pt>
                <c:pt idx="212">
                  <c:v>43248</c:v>
                </c:pt>
                <c:pt idx="213">
                  <c:v>43245</c:v>
                </c:pt>
                <c:pt idx="214">
                  <c:v>43244</c:v>
                </c:pt>
                <c:pt idx="215">
                  <c:v>43243</c:v>
                </c:pt>
                <c:pt idx="216">
                  <c:v>43242</c:v>
                </c:pt>
                <c:pt idx="217">
                  <c:v>43241</c:v>
                </c:pt>
                <c:pt idx="218">
                  <c:v>43238</c:v>
                </c:pt>
                <c:pt idx="219">
                  <c:v>43237</c:v>
                </c:pt>
                <c:pt idx="220">
                  <c:v>43236</c:v>
                </c:pt>
                <c:pt idx="221">
                  <c:v>43235</c:v>
                </c:pt>
                <c:pt idx="222">
                  <c:v>43234</c:v>
                </c:pt>
                <c:pt idx="223">
                  <c:v>43231</c:v>
                </c:pt>
                <c:pt idx="224">
                  <c:v>43230</c:v>
                </c:pt>
                <c:pt idx="225">
                  <c:v>43229</c:v>
                </c:pt>
                <c:pt idx="226">
                  <c:v>43228</c:v>
                </c:pt>
                <c:pt idx="227">
                  <c:v>43227</c:v>
                </c:pt>
                <c:pt idx="228">
                  <c:v>43224</c:v>
                </c:pt>
                <c:pt idx="229">
                  <c:v>43223</c:v>
                </c:pt>
                <c:pt idx="230">
                  <c:v>43222</c:v>
                </c:pt>
                <c:pt idx="231">
                  <c:v>43221</c:v>
                </c:pt>
                <c:pt idx="232">
                  <c:v>43220</c:v>
                </c:pt>
                <c:pt idx="233">
                  <c:v>43217</c:v>
                </c:pt>
                <c:pt idx="234">
                  <c:v>43216</c:v>
                </c:pt>
                <c:pt idx="235">
                  <c:v>43215</c:v>
                </c:pt>
                <c:pt idx="236">
                  <c:v>43214</c:v>
                </c:pt>
                <c:pt idx="237">
                  <c:v>43213</c:v>
                </c:pt>
                <c:pt idx="238">
                  <c:v>43210</c:v>
                </c:pt>
                <c:pt idx="239">
                  <c:v>43209</c:v>
                </c:pt>
                <c:pt idx="240">
                  <c:v>43208</c:v>
                </c:pt>
                <c:pt idx="241">
                  <c:v>43207</c:v>
                </c:pt>
                <c:pt idx="242">
                  <c:v>43206</c:v>
                </c:pt>
                <c:pt idx="243">
                  <c:v>43203</c:v>
                </c:pt>
                <c:pt idx="244">
                  <c:v>43202</c:v>
                </c:pt>
                <c:pt idx="245">
                  <c:v>43201</c:v>
                </c:pt>
                <c:pt idx="246">
                  <c:v>43200</c:v>
                </c:pt>
                <c:pt idx="247">
                  <c:v>43199</c:v>
                </c:pt>
                <c:pt idx="248">
                  <c:v>43196</c:v>
                </c:pt>
                <c:pt idx="249">
                  <c:v>43195</c:v>
                </c:pt>
                <c:pt idx="250">
                  <c:v>43194</c:v>
                </c:pt>
                <c:pt idx="251">
                  <c:v>43193</c:v>
                </c:pt>
                <c:pt idx="252">
                  <c:v>43192</c:v>
                </c:pt>
                <c:pt idx="253">
                  <c:v>43189</c:v>
                </c:pt>
                <c:pt idx="254">
                  <c:v>43188</c:v>
                </c:pt>
                <c:pt idx="255">
                  <c:v>43187</c:v>
                </c:pt>
                <c:pt idx="256">
                  <c:v>43186</c:v>
                </c:pt>
                <c:pt idx="257">
                  <c:v>43185</c:v>
                </c:pt>
                <c:pt idx="258">
                  <c:v>43182</c:v>
                </c:pt>
                <c:pt idx="259">
                  <c:v>43181</c:v>
                </c:pt>
                <c:pt idx="260">
                  <c:v>43180</c:v>
                </c:pt>
                <c:pt idx="261">
                  <c:v>43179</c:v>
                </c:pt>
                <c:pt idx="262">
                  <c:v>43178</c:v>
                </c:pt>
                <c:pt idx="263">
                  <c:v>43175</c:v>
                </c:pt>
                <c:pt idx="264">
                  <c:v>43174</c:v>
                </c:pt>
                <c:pt idx="265">
                  <c:v>43173</c:v>
                </c:pt>
                <c:pt idx="266">
                  <c:v>43172</c:v>
                </c:pt>
                <c:pt idx="267">
                  <c:v>43171</c:v>
                </c:pt>
                <c:pt idx="268">
                  <c:v>43168</c:v>
                </c:pt>
                <c:pt idx="269">
                  <c:v>43167</c:v>
                </c:pt>
                <c:pt idx="270">
                  <c:v>43166</c:v>
                </c:pt>
                <c:pt idx="271">
                  <c:v>43165</c:v>
                </c:pt>
                <c:pt idx="272">
                  <c:v>43164</c:v>
                </c:pt>
                <c:pt idx="273">
                  <c:v>43161</c:v>
                </c:pt>
                <c:pt idx="274">
                  <c:v>43160</c:v>
                </c:pt>
                <c:pt idx="275">
                  <c:v>43159</c:v>
                </c:pt>
                <c:pt idx="276">
                  <c:v>43158</c:v>
                </c:pt>
                <c:pt idx="277">
                  <c:v>43157</c:v>
                </c:pt>
                <c:pt idx="278">
                  <c:v>43154</c:v>
                </c:pt>
                <c:pt idx="279">
                  <c:v>43153</c:v>
                </c:pt>
                <c:pt idx="280">
                  <c:v>43152</c:v>
                </c:pt>
                <c:pt idx="281">
                  <c:v>43143</c:v>
                </c:pt>
                <c:pt idx="282">
                  <c:v>43140</c:v>
                </c:pt>
                <c:pt idx="283">
                  <c:v>43139</c:v>
                </c:pt>
                <c:pt idx="284">
                  <c:v>43138</c:v>
                </c:pt>
                <c:pt idx="285">
                  <c:v>43137</c:v>
                </c:pt>
                <c:pt idx="286">
                  <c:v>43136</c:v>
                </c:pt>
                <c:pt idx="287">
                  <c:v>43133</c:v>
                </c:pt>
                <c:pt idx="288">
                  <c:v>43132</c:v>
                </c:pt>
                <c:pt idx="289">
                  <c:v>43131</c:v>
                </c:pt>
                <c:pt idx="290">
                  <c:v>43130</c:v>
                </c:pt>
                <c:pt idx="291">
                  <c:v>43129</c:v>
                </c:pt>
                <c:pt idx="292">
                  <c:v>43126</c:v>
                </c:pt>
                <c:pt idx="293">
                  <c:v>43125</c:v>
                </c:pt>
                <c:pt idx="294">
                  <c:v>43124</c:v>
                </c:pt>
                <c:pt idx="295">
                  <c:v>43123</c:v>
                </c:pt>
                <c:pt idx="296">
                  <c:v>43122</c:v>
                </c:pt>
                <c:pt idx="297">
                  <c:v>43119</c:v>
                </c:pt>
                <c:pt idx="298">
                  <c:v>43118</c:v>
                </c:pt>
                <c:pt idx="299">
                  <c:v>43117</c:v>
                </c:pt>
                <c:pt idx="300">
                  <c:v>43116</c:v>
                </c:pt>
                <c:pt idx="301">
                  <c:v>43115</c:v>
                </c:pt>
                <c:pt idx="302">
                  <c:v>43112</c:v>
                </c:pt>
                <c:pt idx="303">
                  <c:v>43111</c:v>
                </c:pt>
                <c:pt idx="304">
                  <c:v>43110</c:v>
                </c:pt>
                <c:pt idx="305">
                  <c:v>43109</c:v>
                </c:pt>
                <c:pt idx="306">
                  <c:v>43108</c:v>
                </c:pt>
                <c:pt idx="307">
                  <c:v>43105</c:v>
                </c:pt>
                <c:pt idx="308">
                  <c:v>43104</c:v>
                </c:pt>
                <c:pt idx="309">
                  <c:v>43103</c:v>
                </c:pt>
                <c:pt idx="310">
                  <c:v>43102</c:v>
                </c:pt>
                <c:pt idx="311">
                  <c:v>43101</c:v>
                </c:pt>
                <c:pt idx="312">
                  <c:v>43098</c:v>
                </c:pt>
                <c:pt idx="313">
                  <c:v>43097</c:v>
                </c:pt>
                <c:pt idx="314">
                  <c:v>43096</c:v>
                </c:pt>
                <c:pt idx="315">
                  <c:v>43095</c:v>
                </c:pt>
                <c:pt idx="316">
                  <c:v>43094</c:v>
                </c:pt>
                <c:pt idx="317">
                  <c:v>43091</c:v>
                </c:pt>
                <c:pt idx="318">
                  <c:v>43090</c:v>
                </c:pt>
                <c:pt idx="319">
                  <c:v>43089</c:v>
                </c:pt>
                <c:pt idx="320">
                  <c:v>43088</c:v>
                </c:pt>
                <c:pt idx="321">
                  <c:v>43087</c:v>
                </c:pt>
                <c:pt idx="322">
                  <c:v>43084</c:v>
                </c:pt>
                <c:pt idx="323">
                  <c:v>43083</c:v>
                </c:pt>
                <c:pt idx="324">
                  <c:v>43082</c:v>
                </c:pt>
                <c:pt idx="325">
                  <c:v>43081</c:v>
                </c:pt>
                <c:pt idx="326">
                  <c:v>43080</c:v>
                </c:pt>
                <c:pt idx="327">
                  <c:v>43077</c:v>
                </c:pt>
                <c:pt idx="328">
                  <c:v>43076</c:v>
                </c:pt>
                <c:pt idx="329">
                  <c:v>43075</c:v>
                </c:pt>
                <c:pt idx="330">
                  <c:v>43074</c:v>
                </c:pt>
                <c:pt idx="331">
                  <c:v>43073</c:v>
                </c:pt>
                <c:pt idx="332">
                  <c:v>43070</c:v>
                </c:pt>
                <c:pt idx="333">
                  <c:v>43069</c:v>
                </c:pt>
                <c:pt idx="334">
                  <c:v>43068</c:v>
                </c:pt>
                <c:pt idx="335">
                  <c:v>43067</c:v>
                </c:pt>
                <c:pt idx="336">
                  <c:v>43066</c:v>
                </c:pt>
                <c:pt idx="337">
                  <c:v>43063</c:v>
                </c:pt>
                <c:pt idx="338">
                  <c:v>43062</c:v>
                </c:pt>
                <c:pt idx="339">
                  <c:v>43061</c:v>
                </c:pt>
                <c:pt idx="340">
                  <c:v>43060</c:v>
                </c:pt>
                <c:pt idx="341">
                  <c:v>43059</c:v>
                </c:pt>
                <c:pt idx="342">
                  <c:v>43056</c:v>
                </c:pt>
                <c:pt idx="343">
                  <c:v>43055</c:v>
                </c:pt>
                <c:pt idx="344">
                  <c:v>43054</c:v>
                </c:pt>
                <c:pt idx="345">
                  <c:v>43053</c:v>
                </c:pt>
                <c:pt idx="346">
                  <c:v>43052</c:v>
                </c:pt>
                <c:pt idx="347">
                  <c:v>43049</c:v>
                </c:pt>
                <c:pt idx="348">
                  <c:v>43048</c:v>
                </c:pt>
                <c:pt idx="349">
                  <c:v>43047</c:v>
                </c:pt>
                <c:pt idx="350">
                  <c:v>43046</c:v>
                </c:pt>
                <c:pt idx="351">
                  <c:v>43045</c:v>
                </c:pt>
                <c:pt idx="352">
                  <c:v>43042</c:v>
                </c:pt>
                <c:pt idx="353">
                  <c:v>43041</c:v>
                </c:pt>
                <c:pt idx="354">
                  <c:v>43040</c:v>
                </c:pt>
                <c:pt idx="355">
                  <c:v>43039</c:v>
                </c:pt>
                <c:pt idx="356">
                  <c:v>43038</c:v>
                </c:pt>
                <c:pt idx="357">
                  <c:v>43035</c:v>
                </c:pt>
                <c:pt idx="358">
                  <c:v>43034</c:v>
                </c:pt>
                <c:pt idx="359">
                  <c:v>43033</c:v>
                </c:pt>
                <c:pt idx="360">
                  <c:v>43032</c:v>
                </c:pt>
                <c:pt idx="361">
                  <c:v>43031</c:v>
                </c:pt>
                <c:pt idx="362">
                  <c:v>43028</c:v>
                </c:pt>
                <c:pt idx="363">
                  <c:v>43027</c:v>
                </c:pt>
                <c:pt idx="364">
                  <c:v>43026</c:v>
                </c:pt>
                <c:pt idx="365">
                  <c:v>43025</c:v>
                </c:pt>
                <c:pt idx="366">
                  <c:v>43024</c:v>
                </c:pt>
                <c:pt idx="367">
                  <c:v>43021</c:v>
                </c:pt>
                <c:pt idx="368">
                  <c:v>43020</c:v>
                </c:pt>
                <c:pt idx="369">
                  <c:v>43019</c:v>
                </c:pt>
                <c:pt idx="370">
                  <c:v>43018</c:v>
                </c:pt>
                <c:pt idx="371">
                  <c:v>43017</c:v>
                </c:pt>
                <c:pt idx="372">
                  <c:v>43014</c:v>
                </c:pt>
                <c:pt idx="373">
                  <c:v>43007</c:v>
                </c:pt>
                <c:pt idx="374">
                  <c:v>43006</c:v>
                </c:pt>
                <c:pt idx="375">
                  <c:v>43005</c:v>
                </c:pt>
                <c:pt idx="376">
                  <c:v>43004</c:v>
                </c:pt>
                <c:pt idx="377">
                  <c:v>43003</c:v>
                </c:pt>
                <c:pt idx="378">
                  <c:v>43000</c:v>
                </c:pt>
                <c:pt idx="379">
                  <c:v>42999</c:v>
                </c:pt>
                <c:pt idx="380">
                  <c:v>42998</c:v>
                </c:pt>
                <c:pt idx="381">
                  <c:v>42997</c:v>
                </c:pt>
                <c:pt idx="382">
                  <c:v>42996</c:v>
                </c:pt>
                <c:pt idx="383">
                  <c:v>42993</c:v>
                </c:pt>
                <c:pt idx="384">
                  <c:v>42992</c:v>
                </c:pt>
                <c:pt idx="385">
                  <c:v>42991</c:v>
                </c:pt>
                <c:pt idx="386">
                  <c:v>42990</c:v>
                </c:pt>
                <c:pt idx="387">
                  <c:v>42989</c:v>
                </c:pt>
                <c:pt idx="388">
                  <c:v>42986</c:v>
                </c:pt>
                <c:pt idx="389">
                  <c:v>42985</c:v>
                </c:pt>
                <c:pt idx="390">
                  <c:v>42984</c:v>
                </c:pt>
                <c:pt idx="391">
                  <c:v>42983</c:v>
                </c:pt>
                <c:pt idx="392">
                  <c:v>42982</c:v>
                </c:pt>
                <c:pt idx="393">
                  <c:v>42979</c:v>
                </c:pt>
                <c:pt idx="394">
                  <c:v>42978</c:v>
                </c:pt>
                <c:pt idx="395">
                  <c:v>42977</c:v>
                </c:pt>
                <c:pt idx="396">
                  <c:v>42976</c:v>
                </c:pt>
                <c:pt idx="397">
                  <c:v>42975</c:v>
                </c:pt>
                <c:pt idx="398">
                  <c:v>42972</c:v>
                </c:pt>
                <c:pt idx="399">
                  <c:v>42971</c:v>
                </c:pt>
                <c:pt idx="400">
                  <c:v>42970</c:v>
                </c:pt>
                <c:pt idx="401">
                  <c:v>42969</c:v>
                </c:pt>
                <c:pt idx="402">
                  <c:v>42968</c:v>
                </c:pt>
                <c:pt idx="403">
                  <c:v>42965</c:v>
                </c:pt>
                <c:pt idx="404">
                  <c:v>42964</c:v>
                </c:pt>
                <c:pt idx="405">
                  <c:v>42963</c:v>
                </c:pt>
                <c:pt idx="406">
                  <c:v>42962</c:v>
                </c:pt>
                <c:pt idx="407">
                  <c:v>42961</c:v>
                </c:pt>
                <c:pt idx="408">
                  <c:v>42958</c:v>
                </c:pt>
                <c:pt idx="409">
                  <c:v>42957</c:v>
                </c:pt>
                <c:pt idx="410">
                  <c:v>42956</c:v>
                </c:pt>
                <c:pt idx="411">
                  <c:v>42955</c:v>
                </c:pt>
                <c:pt idx="412">
                  <c:v>42954</c:v>
                </c:pt>
                <c:pt idx="413">
                  <c:v>42951</c:v>
                </c:pt>
                <c:pt idx="414">
                  <c:v>42950</c:v>
                </c:pt>
                <c:pt idx="415">
                  <c:v>42949</c:v>
                </c:pt>
                <c:pt idx="416">
                  <c:v>42948</c:v>
                </c:pt>
                <c:pt idx="417">
                  <c:v>42947</c:v>
                </c:pt>
                <c:pt idx="418">
                  <c:v>42944</c:v>
                </c:pt>
                <c:pt idx="419">
                  <c:v>42943</c:v>
                </c:pt>
                <c:pt idx="420">
                  <c:v>42942</c:v>
                </c:pt>
                <c:pt idx="421">
                  <c:v>42941</c:v>
                </c:pt>
                <c:pt idx="422">
                  <c:v>42940</c:v>
                </c:pt>
                <c:pt idx="423">
                  <c:v>42937</c:v>
                </c:pt>
                <c:pt idx="424">
                  <c:v>42936</c:v>
                </c:pt>
                <c:pt idx="425">
                  <c:v>42935</c:v>
                </c:pt>
                <c:pt idx="426">
                  <c:v>42934</c:v>
                </c:pt>
                <c:pt idx="427">
                  <c:v>42933</c:v>
                </c:pt>
                <c:pt idx="428">
                  <c:v>42930</c:v>
                </c:pt>
                <c:pt idx="429">
                  <c:v>42929</c:v>
                </c:pt>
                <c:pt idx="430">
                  <c:v>42928</c:v>
                </c:pt>
                <c:pt idx="431">
                  <c:v>42927</c:v>
                </c:pt>
                <c:pt idx="432">
                  <c:v>42926</c:v>
                </c:pt>
                <c:pt idx="433">
                  <c:v>42923</c:v>
                </c:pt>
                <c:pt idx="434">
                  <c:v>42922</c:v>
                </c:pt>
                <c:pt idx="435">
                  <c:v>42921</c:v>
                </c:pt>
                <c:pt idx="436">
                  <c:v>42920</c:v>
                </c:pt>
                <c:pt idx="437">
                  <c:v>42919</c:v>
                </c:pt>
                <c:pt idx="438">
                  <c:v>42916</c:v>
                </c:pt>
                <c:pt idx="439">
                  <c:v>42915</c:v>
                </c:pt>
                <c:pt idx="440">
                  <c:v>42914</c:v>
                </c:pt>
                <c:pt idx="441">
                  <c:v>42913</c:v>
                </c:pt>
                <c:pt idx="442">
                  <c:v>42912</c:v>
                </c:pt>
                <c:pt idx="443">
                  <c:v>42909</c:v>
                </c:pt>
                <c:pt idx="444">
                  <c:v>42908</c:v>
                </c:pt>
                <c:pt idx="445">
                  <c:v>42907</c:v>
                </c:pt>
                <c:pt idx="446">
                  <c:v>42906</c:v>
                </c:pt>
                <c:pt idx="447">
                  <c:v>42905</c:v>
                </c:pt>
                <c:pt idx="448">
                  <c:v>42902</c:v>
                </c:pt>
                <c:pt idx="449">
                  <c:v>42901</c:v>
                </c:pt>
                <c:pt idx="450">
                  <c:v>42900</c:v>
                </c:pt>
                <c:pt idx="451">
                  <c:v>42899</c:v>
                </c:pt>
                <c:pt idx="452">
                  <c:v>42898</c:v>
                </c:pt>
                <c:pt idx="453">
                  <c:v>42895</c:v>
                </c:pt>
                <c:pt idx="454">
                  <c:v>42894</c:v>
                </c:pt>
                <c:pt idx="455">
                  <c:v>42893</c:v>
                </c:pt>
                <c:pt idx="456">
                  <c:v>42892</c:v>
                </c:pt>
                <c:pt idx="457">
                  <c:v>42891</c:v>
                </c:pt>
                <c:pt idx="458">
                  <c:v>42888</c:v>
                </c:pt>
                <c:pt idx="459">
                  <c:v>42887</c:v>
                </c:pt>
                <c:pt idx="460">
                  <c:v>42886</c:v>
                </c:pt>
                <c:pt idx="461">
                  <c:v>42885</c:v>
                </c:pt>
                <c:pt idx="462">
                  <c:v>42884</c:v>
                </c:pt>
                <c:pt idx="463">
                  <c:v>42881</c:v>
                </c:pt>
                <c:pt idx="464">
                  <c:v>42880</c:v>
                </c:pt>
                <c:pt idx="465">
                  <c:v>42879</c:v>
                </c:pt>
                <c:pt idx="466">
                  <c:v>42878</c:v>
                </c:pt>
                <c:pt idx="467">
                  <c:v>42877</c:v>
                </c:pt>
                <c:pt idx="468">
                  <c:v>42874</c:v>
                </c:pt>
                <c:pt idx="469">
                  <c:v>42873</c:v>
                </c:pt>
                <c:pt idx="470">
                  <c:v>42872</c:v>
                </c:pt>
                <c:pt idx="471">
                  <c:v>42871</c:v>
                </c:pt>
                <c:pt idx="472">
                  <c:v>42870</c:v>
                </c:pt>
                <c:pt idx="473">
                  <c:v>42867</c:v>
                </c:pt>
                <c:pt idx="474">
                  <c:v>42866</c:v>
                </c:pt>
                <c:pt idx="475">
                  <c:v>42865</c:v>
                </c:pt>
                <c:pt idx="476">
                  <c:v>42864</c:v>
                </c:pt>
                <c:pt idx="477">
                  <c:v>42863</c:v>
                </c:pt>
                <c:pt idx="478">
                  <c:v>42860</c:v>
                </c:pt>
                <c:pt idx="479">
                  <c:v>42859</c:v>
                </c:pt>
                <c:pt idx="480">
                  <c:v>42858</c:v>
                </c:pt>
                <c:pt idx="481">
                  <c:v>42857</c:v>
                </c:pt>
                <c:pt idx="482">
                  <c:v>42856</c:v>
                </c:pt>
                <c:pt idx="483">
                  <c:v>42853</c:v>
                </c:pt>
                <c:pt idx="484">
                  <c:v>42852</c:v>
                </c:pt>
                <c:pt idx="485">
                  <c:v>42851</c:v>
                </c:pt>
                <c:pt idx="486">
                  <c:v>42850</c:v>
                </c:pt>
                <c:pt idx="487">
                  <c:v>42849</c:v>
                </c:pt>
                <c:pt idx="488">
                  <c:v>42846</c:v>
                </c:pt>
                <c:pt idx="489">
                  <c:v>42845</c:v>
                </c:pt>
                <c:pt idx="490">
                  <c:v>42844</c:v>
                </c:pt>
                <c:pt idx="491">
                  <c:v>42843</c:v>
                </c:pt>
                <c:pt idx="492">
                  <c:v>42842</c:v>
                </c:pt>
                <c:pt idx="493">
                  <c:v>42838</c:v>
                </c:pt>
                <c:pt idx="494">
                  <c:v>42837</c:v>
                </c:pt>
                <c:pt idx="495">
                  <c:v>42836</c:v>
                </c:pt>
                <c:pt idx="496">
                  <c:v>42835</c:v>
                </c:pt>
                <c:pt idx="497">
                  <c:v>42832</c:v>
                </c:pt>
                <c:pt idx="498">
                  <c:v>42831</c:v>
                </c:pt>
                <c:pt idx="499">
                  <c:v>42830</c:v>
                </c:pt>
                <c:pt idx="500">
                  <c:v>42829</c:v>
                </c:pt>
                <c:pt idx="501">
                  <c:v>42828</c:v>
                </c:pt>
                <c:pt idx="502">
                  <c:v>42825</c:v>
                </c:pt>
                <c:pt idx="503">
                  <c:v>42824</c:v>
                </c:pt>
                <c:pt idx="504">
                  <c:v>42823</c:v>
                </c:pt>
                <c:pt idx="505">
                  <c:v>42822</c:v>
                </c:pt>
                <c:pt idx="506">
                  <c:v>42821</c:v>
                </c:pt>
                <c:pt idx="507">
                  <c:v>42818</c:v>
                </c:pt>
                <c:pt idx="508">
                  <c:v>42817</c:v>
                </c:pt>
                <c:pt idx="509">
                  <c:v>42816</c:v>
                </c:pt>
                <c:pt idx="510">
                  <c:v>42815</c:v>
                </c:pt>
                <c:pt idx="511">
                  <c:v>42814</c:v>
                </c:pt>
                <c:pt idx="512">
                  <c:v>42811</c:v>
                </c:pt>
                <c:pt idx="513">
                  <c:v>42810</c:v>
                </c:pt>
                <c:pt idx="514">
                  <c:v>42809</c:v>
                </c:pt>
                <c:pt idx="515">
                  <c:v>42808</c:v>
                </c:pt>
                <c:pt idx="516">
                  <c:v>42807</c:v>
                </c:pt>
                <c:pt idx="517">
                  <c:v>42804</c:v>
                </c:pt>
                <c:pt idx="518">
                  <c:v>42803</c:v>
                </c:pt>
                <c:pt idx="519">
                  <c:v>42802</c:v>
                </c:pt>
                <c:pt idx="520">
                  <c:v>42801</c:v>
                </c:pt>
                <c:pt idx="521">
                  <c:v>42800</c:v>
                </c:pt>
                <c:pt idx="522">
                  <c:v>42797</c:v>
                </c:pt>
                <c:pt idx="523">
                  <c:v>42796</c:v>
                </c:pt>
                <c:pt idx="524">
                  <c:v>42795</c:v>
                </c:pt>
                <c:pt idx="525">
                  <c:v>42794</c:v>
                </c:pt>
                <c:pt idx="526">
                  <c:v>42793</c:v>
                </c:pt>
                <c:pt idx="527">
                  <c:v>42790</c:v>
                </c:pt>
                <c:pt idx="528">
                  <c:v>42789</c:v>
                </c:pt>
                <c:pt idx="529">
                  <c:v>42788</c:v>
                </c:pt>
                <c:pt idx="530">
                  <c:v>42787</c:v>
                </c:pt>
                <c:pt idx="531">
                  <c:v>42786</c:v>
                </c:pt>
                <c:pt idx="532">
                  <c:v>42783</c:v>
                </c:pt>
                <c:pt idx="533">
                  <c:v>42782</c:v>
                </c:pt>
                <c:pt idx="534">
                  <c:v>42781</c:v>
                </c:pt>
                <c:pt idx="535">
                  <c:v>42780</c:v>
                </c:pt>
                <c:pt idx="536">
                  <c:v>42779</c:v>
                </c:pt>
                <c:pt idx="537">
                  <c:v>42776</c:v>
                </c:pt>
                <c:pt idx="538">
                  <c:v>42775</c:v>
                </c:pt>
                <c:pt idx="539">
                  <c:v>42774</c:v>
                </c:pt>
                <c:pt idx="540">
                  <c:v>42773</c:v>
                </c:pt>
                <c:pt idx="541">
                  <c:v>42772</c:v>
                </c:pt>
                <c:pt idx="542">
                  <c:v>42769</c:v>
                </c:pt>
                <c:pt idx="543">
                  <c:v>42768</c:v>
                </c:pt>
                <c:pt idx="544">
                  <c:v>42767</c:v>
                </c:pt>
                <c:pt idx="545">
                  <c:v>42766</c:v>
                </c:pt>
                <c:pt idx="546">
                  <c:v>42765</c:v>
                </c:pt>
                <c:pt idx="547">
                  <c:v>42762</c:v>
                </c:pt>
                <c:pt idx="548">
                  <c:v>42761</c:v>
                </c:pt>
                <c:pt idx="549">
                  <c:v>42760</c:v>
                </c:pt>
                <c:pt idx="550">
                  <c:v>42759</c:v>
                </c:pt>
                <c:pt idx="551">
                  <c:v>42758</c:v>
                </c:pt>
                <c:pt idx="552">
                  <c:v>42755</c:v>
                </c:pt>
                <c:pt idx="553">
                  <c:v>42754</c:v>
                </c:pt>
                <c:pt idx="554">
                  <c:v>42753</c:v>
                </c:pt>
                <c:pt idx="555">
                  <c:v>42752</c:v>
                </c:pt>
                <c:pt idx="556">
                  <c:v>42751</c:v>
                </c:pt>
                <c:pt idx="557">
                  <c:v>42748</c:v>
                </c:pt>
                <c:pt idx="558">
                  <c:v>42747</c:v>
                </c:pt>
                <c:pt idx="559">
                  <c:v>42746</c:v>
                </c:pt>
                <c:pt idx="560">
                  <c:v>42745</c:v>
                </c:pt>
                <c:pt idx="561">
                  <c:v>42744</c:v>
                </c:pt>
                <c:pt idx="562">
                  <c:v>42741</c:v>
                </c:pt>
                <c:pt idx="563">
                  <c:v>42740</c:v>
                </c:pt>
                <c:pt idx="564">
                  <c:v>42739</c:v>
                </c:pt>
                <c:pt idx="565">
                  <c:v>42738</c:v>
                </c:pt>
                <c:pt idx="566">
                  <c:v>42734</c:v>
                </c:pt>
                <c:pt idx="567">
                  <c:v>42733</c:v>
                </c:pt>
                <c:pt idx="568">
                  <c:v>42732</c:v>
                </c:pt>
                <c:pt idx="569">
                  <c:v>42731</c:v>
                </c:pt>
                <c:pt idx="570">
                  <c:v>42727</c:v>
                </c:pt>
                <c:pt idx="571">
                  <c:v>42726</c:v>
                </c:pt>
                <c:pt idx="572">
                  <c:v>42725</c:v>
                </c:pt>
                <c:pt idx="573">
                  <c:v>42724</c:v>
                </c:pt>
                <c:pt idx="574">
                  <c:v>42723</c:v>
                </c:pt>
                <c:pt idx="575">
                  <c:v>42720</c:v>
                </c:pt>
                <c:pt idx="576">
                  <c:v>42719</c:v>
                </c:pt>
                <c:pt idx="577">
                  <c:v>42718</c:v>
                </c:pt>
                <c:pt idx="578">
                  <c:v>42717</c:v>
                </c:pt>
                <c:pt idx="579">
                  <c:v>42716</c:v>
                </c:pt>
                <c:pt idx="580">
                  <c:v>42713</c:v>
                </c:pt>
                <c:pt idx="581">
                  <c:v>42712</c:v>
                </c:pt>
                <c:pt idx="582">
                  <c:v>42711</c:v>
                </c:pt>
                <c:pt idx="583">
                  <c:v>42710</c:v>
                </c:pt>
                <c:pt idx="584">
                  <c:v>42709</c:v>
                </c:pt>
                <c:pt idx="585">
                  <c:v>42706</c:v>
                </c:pt>
                <c:pt idx="586">
                  <c:v>42705</c:v>
                </c:pt>
                <c:pt idx="587">
                  <c:v>42704</c:v>
                </c:pt>
                <c:pt idx="588">
                  <c:v>42703</c:v>
                </c:pt>
                <c:pt idx="589">
                  <c:v>42702</c:v>
                </c:pt>
                <c:pt idx="590">
                  <c:v>42699</c:v>
                </c:pt>
                <c:pt idx="591">
                  <c:v>42698</c:v>
                </c:pt>
                <c:pt idx="592">
                  <c:v>42697</c:v>
                </c:pt>
                <c:pt idx="593">
                  <c:v>42696</c:v>
                </c:pt>
                <c:pt idx="594">
                  <c:v>42695</c:v>
                </c:pt>
                <c:pt idx="595">
                  <c:v>42692</c:v>
                </c:pt>
                <c:pt idx="596">
                  <c:v>42691</c:v>
                </c:pt>
                <c:pt idx="597">
                  <c:v>42690</c:v>
                </c:pt>
                <c:pt idx="598">
                  <c:v>42689</c:v>
                </c:pt>
                <c:pt idx="599">
                  <c:v>42688</c:v>
                </c:pt>
                <c:pt idx="600">
                  <c:v>42685</c:v>
                </c:pt>
                <c:pt idx="601">
                  <c:v>42684</c:v>
                </c:pt>
                <c:pt idx="602">
                  <c:v>42683</c:v>
                </c:pt>
                <c:pt idx="603">
                  <c:v>42682</c:v>
                </c:pt>
                <c:pt idx="604">
                  <c:v>42681</c:v>
                </c:pt>
                <c:pt idx="605">
                  <c:v>42678</c:v>
                </c:pt>
                <c:pt idx="606">
                  <c:v>42677</c:v>
                </c:pt>
                <c:pt idx="607">
                  <c:v>42676</c:v>
                </c:pt>
                <c:pt idx="608">
                  <c:v>42675</c:v>
                </c:pt>
                <c:pt idx="609">
                  <c:v>42674</c:v>
                </c:pt>
                <c:pt idx="610">
                  <c:v>42671</c:v>
                </c:pt>
                <c:pt idx="611">
                  <c:v>42670</c:v>
                </c:pt>
                <c:pt idx="612">
                  <c:v>42669</c:v>
                </c:pt>
                <c:pt idx="613">
                  <c:v>42668</c:v>
                </c:pt>
                <c:pt idx="614">
                  <c:v>42667</c:v>
                </c:pt>
                <c:pt idx="615">
                  <c:v>42664</c:v>
                </c:pt>
                <c:pt idx="616">
                  <c:v>42663</c:v>
                </c:pt>
                <c:pt idx="617">
                  <c:v>42662</c:v>
                </c:pt>
                <c:pt idx="618">
                  <c:v>42661</c:v>
                </c:pt>
                <c:pt idx="619">
                  <c:v>42660</c:v>
                </c:pt>
                <c:pt idx="620">
                  <c:v>42657</c:v>
                </c:pt>
                <c:pt idx="621">
                  <c:v>42656</c:v>
                </c:pt>
                <c:pt idx="622">
                  <c:v>42655</c:v>
                </c:pt>
                <c:pt idx="623">
                  <c:v>42654</c:v>
                </c:pt>
                <c:pt idx="624">
                  <c:v>42653</c:v>
                </c:pt>
                <c:pt idx="625">
                  <c:v>42650</c:v>
                </c:pt>
                <c:pt idx="626">
                  <c:v>42649</c:v>
                </c:pt>
                <c:pt idx="627">
                  <c:v>42648</c:v>
                </c:pt>
                <c:pt idx="628">
                  <c:v>42647</c:v>
                </c:pt>
                <c:pt idx="629">
                  <c:v>42646</c:v>
                </c:pt>
                <c:pt idx="630">
                  <c:v>42643</c:v>
                </c:pt>
                <c:pt idx="631">
                  <c:v>42642</c:v>
                </c:pt>
                <c:pt idx="632">
                  <c:v>42641</c:v>
                </c:pt>
                <c:pt idx="633">
                  <c:v>42640</c:v>
                </c:pt>
                <c:pt idx="634">
                  <c:v>42639</c:v>
                </c:pt>
                <c:pt idx="635">
                  <c:v>42636</c:v>
                </c:pt>
                <c:pt idx="636">
                  <c:v>42635</c:v>
                </c:pt>
                <c:pt idx="637">
                  <c:v>42634</c:v>
                </c:pt>
                <c:pt idx="638">
                  <c:v>42633</c:v>
                </c:pt>
                <c:pt idx="639">
                  <c:v>42632</c:v>
                </c:pt>
                <c:pt idx="640">
                  <c:v>42629</c:v>
                </c:pt>
                <c:pt idx="641">
                  <c:v>42628</c:v>
                </c:pt>
                <c:pt idx="642">
                  <c:v>42627</c:v>
                </c:pt>
                <c:pt idx="643">
                  <c:v>42626</c:v>
                </c:pt>
                <c:pt idx="644">
                  <c:v>42625</c:v>
                </c:pt>
                <c:pt idx="645">
                  <c:v>42622</c:v>
                </c:pt>
                <c:pt idx="646">
                  <c:v>42621</c:v>
                </c:pt>
                <c:pt idx="647">
                  <c:v>42620</c:v>
                </c:pt>
                <c:pt idx="648">
                  <c:v>42619</c:v>
                </c:pt>
                <c:pt idx="649">
                  <c:v>42618</c:v>
                </c:pt>
                <c:pt idx="650">
                  <c:v>42615</c:v>
                </c:pt>
                <c:pt idx="651">
                  <c:v>42614</c:v>
                </c:pt>
                <c:pt idx="652">
                  <c:v>42613</c:v>
                </c:pt>
                <c:pt idx="653">
                  <c:v>42612</c:v>
                </c:pt>
                <c:pt idx="654">
                  <c:v>42611</c:v>
                </c:pt>
                <c:pt idx="655">
                  <c:v>42608</c:v>
                </c:pt>
                <c:pt idx="656">
                  <c:v>42607</c:v>
                </c:pt>
                <c:pt idx="657">
                  <c:v>42606</c:v>
                </c:pt>
                <c:pt idx="658">
                  <c:v>42605</c:v>
                </c:pt>
                <c:pt idx="659">
                  <c:v>42604</c:v>
                </c:pt>
                <c:pt idx="660">
                  <c:v>42601</c:v>
                </c:pt>
                <c:pt idx="661">
                  <c:v>42600</c:v>
                </c:pt>
                <c:pt idx="662">
                  <c:v>42599</c:v>
                </c:pt>
                <c:pt idx="663">
                  <c:v>42598</c:v>
                </c:pt>
                <c:pt idx="664">
                  <c:v>42597</c:v>
                </c:pt>
                <c:pt idx="665">
                  <c:v>42594</c:v>
                </c:pt>
                <c:pt idx="666">
                  <c:v>42593</c:v>
                </c:pt>
                <c:pt idx="667">
                  <c:v>42592</c:v>
                </c:pt>
                <c:pt idx="668">
                  <c:v>42591</c:v>
                </c:pt>
                <c:pt idx="669">
                  <c:v>42590</c:v>
                </c:pt>
                <c:pt idx="670">
                  <c:v>42587</c:v>
                </c:pt>
                <c:pt idx="671">
                  <c:v>42586</c:v>
                </c:pt>
                <c:pt idx="672">
                  <c:v>42585</c:v>
                </c:pt>
                <c:pt idx="673">
                  <c:v>42584</c:v>
                </c:pt>
                <c:pt idx="674">
                  <c:v>42583</c:v>
                </c:pt>
                <c:pt idx="675">
                  <c:v>42580</c:v>
                </c:pt>
                <c:pt idx="676">
                  <c:v>42579</c:v>
                </c:pt>
                <c:pt idx="677">
                  <c:v>42578</c:v>
                </c:pt>
                <c:pt idx="678">
                  <c:v>42577</c:v>
                </c:pt>
                <c:pt idx="679">
                  <c:v>42576</c:v>
                </c:pt>
                <c:pt idx="680">
                  <c:v>42573</c:v>
                </c:pt>
                <c:pt idx="681">
                  <c:v>42572</c:v>
                </c:pt>
                <c:pt idx="682">
                  <c:v>42571</c:v>
                </c:pt>
                <c:pt idx="683">
                  <c:v>42570</c:v>
                </c:pt>
                <c:pt idx="684">
                  <c:v>42569</c:v>
                </c:pt>
                <c:pt idx="685">
                  <c:v>42566</c:v>
                </c:pt>
                <c:pt idx="686">
                  <c:v>42565</c:v>
                </c:pt>
                <c:pt idx="687">
                  <c:v>42564</c:v>
                </c:pt>
                <c:pt idx="688">
                  <c:v>42563</c:v>
                </c:pt>
                <c:pt idx="689">
                  <c:v>42562</c:v>
                </c:pt>
                <c:pt idx="690">
                  <c:v>42559</c:v>
                </c:pt>
                <c:pt idx="691">
                  <c:v>42558</c:v>
                </c:pt>
                <c:pt idx="692">
                  <c:v>42557</c:v>
                </c:pt>
                <c:pt idx="693">
                  <c:v>42556</c:v>
                </c:pt>
                <c:pt idx="694">
                  <c:v>42555</c:v>
                </c:pt>
              </c:numCache>
            </c:numRef>
          </c:cat>
          <c:val>
            <c:numRef>
              <c:f>'世界-走势图'!$C$2:$C$696</c:f>
              <c:numCache>
                <c:formatCode>General</c:formatCode>
                <c:ptCount val="695"/>
                <c:pt idx="0">
                  <c:v>68.5</c:v>
                </c:pt>
                <c:pt idx="1">
                  <c:v>67.61</c:v>
                </c:pt>
                <c:pt idx="2">
                  <c:v>67.540000000000006</c:v>
                </c:pt>
                <c:pt idx="3">
                  <c:v>67.16</c:v>
                </c:pt>
                <c:pt idx="4">
                  <c:v>67.23</c:v>
                </c:pt>
                <c:pt idx="5">
                  <c:v>67.55</c:v>
                </c:pt>
                <c:pt idx="6">
                  <c:v>66.669999999999987</c:v>
                </c:pt>
                <c:pt idx="7">
                  <c:v>66.58</c:v>
                </c:pt>
                <c:pt idx="8">
                  <c:v>65.739999999999995</c:v>
                </c:pt>
                <c:pt idx="9">
                  <c:v>66.3</c:v>
                </c:pt>
                <c:pt idx="10">
                  <c:v>65.989999999999995</c:v>
                </c:pt>
                <c:pt idx="11">
                  <c:v>65.86</c:v>
                </c:pt>
                <c:pt idx="12">
                  <c:v>65.669999999999987</c:v>
                </c:pt>
                <c:pt idx="13">
                  <c:v>65.069999999999993</c:v>
                </c:pt>
                <c:pt idx="14">
                  <c:v>66.03</c:v>
                </c:pt>
                <c:pt idx="15">
                  <c:v>66.39</c:v>
                </c:pt>
                <c:pt idx="16">
                  <c:v>65.209999999999994</c:v>
                </c:pt>
                <c:pt idx="17">
                  <c:v>64.760000000000005</c:v>
                </c:pt>
                <c:pt idx="18">
                  <c:v>67.11999999999999</c:v>
                </c:pt>
                <c:pt idx="19">
                  <c:v>67.069999999999993</c:v>
                </c:pt>
                <c:pt idx="20">
                  <c:v>67.08</c:v>
                </c:pt>
                <c:pt idx="21">
                  <c:v>66.45</c:v>
                </c:pt>
                <c:pt idx="22">
                  <c:v>66.5</c:v>
                </c:pt>
                <c:pt idx="23">
                  <c:v>66.25</c:v>
                </c:pt>
                <c:pt idx="24">
                  <c:v>64.569999999999993</c:v>
                </c:pt>
                <c:pt idx="25">
                  <c:v>63.61</c:v>
                </c:pt>
                <c:pt idx="26">
                  <c:v>62.42</c:v>
                </c:pt>
                <c:pt idx="27">
                  <c:v>61.51</c:v>
                </c:pt>
                <c:pt idx="28">
                  <c:v>62.1</c:v>
                </c:pt>
                <c:pt idx="29">
                  <c:v>61.63</c:v>
                </c:pt>
                <c:pt idx="30">
                  <c:v>62.690000000000012</c:v>
                </c:pt>
                <c:pt idx="31">
                  <c:v>61.98</c:v>
                </c:pt>
                <c:pt idx="32">
                  <c:v>62.51</c:v>
                </c:pt>
                <c:pt idx="33">
                  <c:v>62.75</c:v>
                </c:pt>
                <c:pt idx="34">
                  <c:v>61.89</c:v>
                </c:pt>
                <c:pt idx="35">
                  <c:v>61.65</c:v>
                </c:pt>
                <c:pt idx="36">
                  <c:v>61.32</c:v>
                </c:pt>
                <c:pt idx="37">
                  <c:v>59.93</c:v>
                </c:pt>
                <c:pt idx="38">
                  <c:v>61.64</c:v>
                </c:pt>
                <c:pt idx="39">
                  <c:v>61.09</c:v>
                </c:pt>
                <c:pt idx="40">
                  <c:v>61.14</c:v>
                </c:pt>
                <c:pt idx="41">
                  <c:v>61.5</c:v>
                </c:pt>
                <c:pt idx="42">
                  <c:v>62.74</c:v>
                </c:pt>
                <c:pt idx="43">
                  <c:v>62.720000000000013</c:v>
                </c:pt>
                <c:pt idx="44">
                  <c:v>61.18</c:v>
                </c:pt>
                <c:pt idx="45">
                  <c:v>61.32</c:v>
                </c:pt>
                <c:pt idx="46">
                  <c:v>60.64</c:v>
                </c:pt>
                <c:pt idx="47">
                  <c:v>58.99</c:v>
                </c:pt>
                <c:pt idx="48">
                  <c:v>60.48</c:v>
                </c:pt>
                <c:pt idx="49">
                  <c:v>61.68</c:v>
                </c:pt>
                <c:pt idx="50">
                  <c:v>61.44</c:v>
                </c:pt>
                <c:pt idx="51">
                  <c:v>58.720000000000013</c:v>
                </c:pt>
                <c:pt idx="52">
                  <c:v>57.33</c:v>
                </c:pt>
                <c:pt idx="53">
                  <c:v>57.06</c:v>
                </c:pt>
                <c:pt idx="54">
                  <c:v>55.95</c:v>
                </c:pt>
                <c:pt idx="55">
                  <c:v>54.91</c:v>
                </c:pt>
                <c:pt idx="58">
                  <c:v>52.2</c:v>
                </c:pt>
                <c:pt idx="59">
                  <c:v>52.160000000000011</c:v>
                </c:pt>
                <c:pt idx="60">
                  <c:v>54.47</c:v>
                </c:pt>
                <c:pt idx="62">
                  <c:v>50.47</c:v>
                </c:pt>
                <c:pt idx="63">
                  <c:v>53.82</c:v>
                </c:pt>
                <c:pt idx="64">
                  <c:v>54.35</c:v>
                </c:pt>
                <c:pt idx="65">
                  <c:v>57.24</c:v>
                </c:pt>
                <c:pt idx="66">
                  <c:v>56.260000000000012</c:v>
                </c:pt>
                <c:pt idx="67">
                  <c:v>59.61</c:v>
                </c:pt>
                <c:pt idx="68">
                  <c:v>60.28</c:v>
                </c:pt>
                <c:pt idx="69">
                  <c:v>61.45</c:v>
                </c:pt>
                <c:pt idx="70">
                  <c:v>60.15</c:v>
                </c:pt>
                <c:pt idx="71">
                  <c:v>60.2</c:v>
                </c:pt>
                <c:pt idx="72">
                  <c:v>59.97</c:v>
                </c:pt>
                <c:pt idx="73">
                  <c:v>61.67</c:v>
                </c:pt>
                <c:pt idx="74">
                  <c:v>60.06</c:v>
                </c:pt>
                <c:pt idx="75">
                  <c:v>61.56</c:v>
                </c:pt>
                <c:pt idx="76">
                  <c:v>62.08</c:v>
                </c:pt>
                <c:pt idx="77">
                  <c:v>61.690000000000012</c:v>
                </c:pt>
                <c:pt idx="78">
                  <c:v>58.71</c:v>
                </c:pt>
                <c:pt idx="79">
                  <c:v>59.51</c:v>
                </c:pt>
                <c:pt idx="80">
                  <c:v>58.760000000000012</c:v>
                </c:pt>
                <c:pt idx="81">
                  <c:v>60.21</c:v>
                </c:pt>
                <c:pt idx="82">
                  <c:v>60.48</c:v>
                </c:pt>
                <c:pt idx="83">
                  <c:v>58.8</c:v>
                </c:pt>
                <c:pt idx="84">
                  <c:v>62.6</c:v>
                </c:pt>
                <c:pt idx="85">
                  <c:v>63.48</c:v>
                </c:pt>
                <c:pt idx="86">
                  <c:v>62.53</c:v>
                </c:pt>
                <c:pt idx="87">
                  <c:v>66.790000000000006</c:v>
                </c:pt>
                <c:pt idx="88">
                  <c:v>66.760000000000005</c:v>
                </c:pt>
                <c:pt idx="89">
                  <c:v>66.61999999999999</c:v>
                </c:pt>
                <c:pt idx="90">
                  <c:v>66.11999999999999</c:v>
                </c:pt>
                <c:pt idx="91">
                  <c:v>65.47</c:v>
                </c:pt>
                <c:pt idx="92">
                  <c:v>70.11999999999999</c:v>
                </c:pt>
                <c:pt idx="93">
                  <c:v>70.179999999999978</c:v>
                </c:pt>
                <c:pt idx="94">
                  <c:v>70.649999999999991</c:v>
                </c:pt>
                <c:pt idx="95">
                  <c:v>72.069999999999993</c:v>
                </c:pt>
                <c:pt idx="96">
                  <c:v>72.13</c:v>
                </c:pt>
                <c:pt idx="97">
                  <c:v>73.169999999999987</c:v>
                </c:pt>
                <c:pt idx="98">
                  <c:v>72.83</c:v>
                </c:pt>
                <c:pt idx="99">
                  <c:v>72.89</c:v>
                </c:pt>
                <c:pt idx="100">
                  <c:v>75.47</c:v>
                </c:pt>
                <c:pt idx="101">
                  <c:v>75.910000000000025</c:v>
                </c:pt>
                <c:pt idx="102">
                  <c:v>77.34</c:v>
                </c:pt>
                <c:pt idx="103">
                  <c:v>77.61999999999999</c:v>
                </c:pt>
                <c:pt idx="104">
                  <c:v>76.89</c:v>
                </c:pt>
                <c:pt idx="105">
                  <c:v>76.169999999999987</c:v>
                </c:pt>
                <c:pt idx="106">
                  <c:v>76.440000000000026</c:v>
                </c:pt>
                <c:pt idx="107">
                  <c:v>79.83</c:v>
                </c:pt>
                <c:pt idx="108">
                  <c:v>79.78</c:v>
                </c:pt>
                <c:pt idx="109">
                  <c:v>79.290000000000006</c:v>
                </c:pt>
                <c:pt idx="110">
                  <c:v>80.05</c:v>
                </c:pt>
                <c:pt idx="111">
                  <c:v>81.410000000000025</c:v>
                </c:pt>
                <c:pt idx="112">
                  <c:v>80.78</c:v>
                </c:pt>
                <c:pt idx="113">
                  <c:v>80.430000000000007</c:v>
                </c:pt>
                <c:pt idx="114">
                  <c:v>80.260000000000005</c:v>
                </c:pt>
                <c:pt idx="115">
                  <c:v>83.09</c:v>
                </c:pt>
                <c:pt idx="116">
                  <c:v>85</c:v>
                </c:pt>
                <c:pt idx="117">
                  <c:v>83.910000000000025</c:v>
                </c:pt>
                <c:pt idx="118">
                  <c:v>84.16</c:v>
                </c:pt>
                <c:pt idx="119">
                  <c:v>84.58</c:v>
                </c:pt>
                <c:pt idx="120">
                  <c:v>86.29</c:v>
                </c:pt>
                <c:pt idx="121">
                  <c:v>84.8</c:v>
                </c:pt>
                <c:pt idx="122">
                  <c:v>84.98</c:v>
                </c:pt>
                <c:pt idx="123">
                  <c:v>82.72</c:v>
                </c:pt>
                <c:pt idx="124">
                  <c:v>81.72</c:v>
                </c:pt>
                <c:pt idx="125">
                  <c:v>81.34</c:v>
                </c:pt>
                <c:pt idx="126">
                  <c:v>81.86999999999999</c:v>
                </c:pt>
                <c:pt idx="127">
                  <c:v>81.2</c:v>
                </c:pt>
                <c:pt idx="128">
                  <c:v>78.8</c:v>
                </c:pt>
                <c:pt idx="129">
                  <c:v>78.7</c:v>
                </c:pt>
                <c:pt idx="130">
                  <c:v>79.400000000000006</c:v>
                </c:pt>
                <c:pt idx="131">
                  <c:v>79.03</c:v>
                </c:pt>
                <c:pt idx="132">
                  <c:v>78.05</c:v>
                </c:pt>
                <c:pt idx="133">
                  <c:v>78.09</c:v>
                </c:pt>
                <c:pt idx="134">
                  <c:v>78.179999999999978</c:v>
                </c:pt>
                <c:pt idx="135">
                  <c:v>79.739999999999995</c:v>
                </c:pt>
                <c:pt idx="136">
                  <c:v>79.06</c:v>
                </c:pt>
                <c:pt idx="137">
                  <c:v>77.36999999999999</c:v>
                </c:pt>
                <c:pt idx="138">
                  <c:v>76.83</c:v>
                </c:pt>
                <c:pt idx="139">
                  <c:v>76.5</c:v>
                </c:pt>
                <c:pt idx="140">
                  <c:v>77.27</c:v>
                </c:pt>
                <c:pt idx="141">
                  <c:v>78.169999999999987</c:v>
                </c:pt>
                <c:pt idx="142">
                  <c:v>78.149999999999991</c:v>
                </c:pt>
                <c:pt idx="143">
                  <c:v>77.42</c:v>
                </c:pt>
                <c:pt idx="144">
                  <c:v>77.77</c:v>
                </c:pt>
                <c:pt idx="145">
                  <c:v>77.14</c:v>
                </c:pt>
                <c:pt idx="146">
                  <c:v>75.95</c:v>
                </c:pt>
                <c:pt idx="147">
                  <c:v>76.209999999999994</c:v>
                </c:pt>
                <c:pt idx="148">
                  <c:v>75.819999999999993</c:v>
                </c:pt>
                <c:pt idx="149">
                  <c:v>74.73</c:v>
                </c:pt>
                <c:pt idx="150">
                  <c:v>74.78</c:v>
                </c:pt>
                <c:pt idx="151">
                  <c:v>72.63</c:v>
                </c:pt>
                <c:pt idx="152">
                  <c:v>72.209999999999994</c:v>
                </c:pt>
                <c:pt idx="153">
                  <c:v>71.83</c:v>
                </c:pt>
                <c:pt idx="154">
                  <c:v>71.430000000000007</c:v>
                </c:pt>
                <c:pt idx="155">
                  <c:v>70.760000000000005</c:v>
                </c:pt>
                <c:pt idx="156">
                  <c:v>72.459999999999994</c:v>
                </c:pt>
                <c:pt idx="157">
                  <c:v>72.61</c:v>
                </c:pt>
                <c:pt idx="158">
                  <c:v>72.81</c:v>
                </c:pt>
                <c:pt idx="159">
                  <c:v>72.069999999999993</c:v>
                </c:pt>
                <c:pt idx="160">
                  <c:v>72.28</c:v>
                </c:pt>
                <c:pt idx="161">
                  <c:v>74.649999999999991</c:v>
                </c:pt>
                <c:pt idx="162">
                  <c:v>73.75</c:v>
                </c:pt>
                <c:pt idx="163">
                  <c:v>73.209999999999994</c:v>
                </c:pt>
                <c:pt idx="164">
                  <c:v>73.45</c:v>
                </c:pt>
                <c:pt idx="165">
                  <c:v>72.39</c:v>
                </c:pt>
                <c:pt idx="166">
                  <c:v>74.25</c:v>
                </c:pt>
                <c:pt idx="167">
                  <c:v>74.97</c:v>
                </c:pt>
                <c:pt idx="168">
                  <c:v>74.290000000000006</c:v>
                </c:pt>
                <c:pt idx="169">
                  <c:v>74.540000000000006</c:v>
                </c:pt>
                <c:pt idx="170">
                  <c:v>73.930000000000007</c:v>
                </c:pt>
                <c:pt idx="171">
                  <c:v>73.440000000000026</c:v>
                </c:pt>
                <c:pt idx="172">
                  <c:v>73.06</c:v>
                </c:pt>
                <c:pt idx="173">
                  <c:v>73.069999999999993</c:v>
                </c:pt>
                <c:pt idx="174">
                  <c:v>72.58</c:v>
                </c:pt>
                <c:pt idx="175">
                  <c:v>72.900000000000006</c:v>
                </c:pt>
                <c:pt idx="176">
                  <c:v>72.16</c:v>
                </c:pt>
                <c:pt idx="177">
                  <c:v>71.84</c:v>
                </c:pt>
                <c:pt idx="178">
                  <c:v>75.33</c:v>
                </c:pt>
                <c:pt idx="179">
                  <c:v>74.45</c:v>
                </c:pt>
                <c:pt idx="180">
                  <c:v>73.400000000000006</c:v>
                </c:pt>
                <c:pt idx="181">
                  <c:v>78.86</c:v>
                </c:pt>
                <c:pt idx="182">
                  <c:v>78.069999999999993</c:v>
                </c:pt>
                <c:pt idx="183">
                  <c:v>77.11</c:v>
                </c:pt>
                <c:pt idx="184">
                  <c:v>77.39</c:v>
                </c:pt>
                <c:pt idx="185">
                  <c:v>78.239999999999995</c:v>
                </c:pt>
                <c:pt idx="186">
                  <c:v>77.45</c:v>
                </c:pt>
                <c:pt idx="187">
                  <c:v>77.3</c:v>
                </c:pt>
                <c:pt idx="188">
                  <c:v>79.440000000000026</c:v>
                </c:pt>
                <c:pt idx="189">
                  <c:v>77.849999999999994</c:v>
                </c:pt>
                <c:pt idx="190">
                  <c:v>77.61999999999999</c:v>
                </c:pt>
                <c:pt idx="191">
                  <c:v>76.31</c:v>
                </c:pt>
                <c:pt idx="192">
                  <c:v>74.73</c:v>
                </c:pt>
                <c:pt idx="193">
                  <c:v>75.55</c:v>
                </c:pt>
                <c:pt idx="194">
                  <c:v>73.05</c:v>
                </c:pt>
                <c:pt idx="195">
                  <c:v>74.739999999999995</c:v>
                </c:pt>
                <c:pt idx="196">
                  <c:v>75.08</c:v>
                </c:pt>
                <c:pt idx="197">
                  <c:v>75.34</c:v>
                </c:pt>
                <c:pt idx="198">
                  <c:v>73.440000000000026</c:v>
                </c:pt>
                <c:pt idx="199">
                  <c:v>75.940000000000026</c:v>
                </c:pt>
                <c:pt idx="200">
                  <c:v>76.739999999999995</c:v>
                </c:pt>
                <c:pt idx="201">
                  <c:v>75.88</c:v>
                </c:pt>
                <c:pt idx="202">
                  <c:v>76.459999999999994</c:v>
                </c:pt>
                <c:pt idx="203">
                  <c:v>76.459999999999994</c:v>
                </c:pt>
                <c:pt idx="204">
                  <c:v>77.319999999999993</c:v>
                </c:pt>
                <c:pt idx="205">
                  <c:v>75.36</c:v>
                </c:pt>
                <c:pt idx="206">
                  <c:v>75.38</c:v>
                </c:pt>
                <c:pt idx="207">
                  <c:v>75.290000000000006</c:v>
                </c:pt>
                <c:pt idx="208">
                  <c:v>76.790000000000006</c:v>
                </c:pt>
                <c:pt idx="209">
                  <c:v>77.59</c:v>
                </c:pt>
                <c:pt idx="210">
                  <c:v>77.5</c:v>
                </c:pt>
                <c:pt idx="211">
                  <c:v>75.39</c:v>
                </c:pt>
                <c:pt idx="212">
                  <c:v>75.3</c:v>
                </c:pt>
                <c:pt idx="213">
                  <c:v>76.440000000000026</c:v>
                </c:pt>
                <c:pt idx="214">
                  <c:v>78.790000000000006</c:v>
                </c:pt>
                <c:pt idx="215">
                  <c:v>79.8</c:v>
                </c:pt>
                <c:pt idx="216">
                  <c:v>79.569999999999993</c:v>
                </c:pt>
                <c:pt idx="217">
                  <c:v>79.22</c:v>
                </c:pt>
                <c:pt idx="218">
                  <c:v>78.510000000000005</c:v>
                </c:pt>
                <c:pt idx="219">
                  <c:v>79.3</c:v>
                </c:pt>
                <c:pt idx="220">
                  <c:v>79.28</c:v>
                </c:pt>
                <c:pt idx="221">
                  <c:v>78.430000000000007</c:v>
                </c:pt>
                <c:pt idx="222">
                  <c:v>78.23</c:v>
                </c:pt>
                <c:pt idx="223">
                  <c:v>77.11999999999999</c:v>
                </c:pt>
                <c:pt idx="224">
                  <c:v>77.47</c:v>
                </c:pt>
                <c:pt idx="225">
                  <c:v>77.209999999999994</c:v>
                </c:pt>
                <c:pt idx="226">
                  <c:v>74.849999999999994</c:v>
                </c:pt>
                <c:pt idx="227">
                  <c:v>76.169999999999987</c:v>
                </c:pt>
                <c:pt idx="228">
                  <c:v>74.86999999999999</c:v>
                </c:pt>
                <c:pt idx="229">
                  <c:v>73.61999999999999</c:v>
                </c:pt>
                <c:pt idx="230">
                  <c:v>73.36</c:v>
                </c:pt>
                <c:pt idx="231">
                  <c:v>73.13</c:v>
                </c:pt>
                <c:pt idx="232">
                  <c:v>75.169999999999987</c:v>
                </c:pt>
                <c:pt idx="233">
                  <c:v>74.64</c:v>
                </c:pt>
                <c:pt idx="234">
                  <c:v>74.739999999999995</c:v>
                </c:pt>
                <c:pt idx="235">
                  <c:v>74</c:v>
                </c:pt>
                <c:pt idx="236">
                  <c:v>73.86</c:v>
                </c:pt>
                <c:pt idx="237">
                  <c:v>74.709999999999994</c:v>
                </c:pt>
                <c:pt idx="238">
                  <c:v>74.06</c:v>
                </c:pt>
                <c:pt idx="239">
                  <c:v>73.78</c:v>
                </c:pt>
                <c:pt idx="240">
                  <c:v>73.48</c:v>
                </c:pt>
                <c:pt idx="241">
                  <c:v>71.58</c:v>
                </c:pt>
                <c:pt idx="242">
                  <c:v>71.42</c:v>
                </c:pt>
                <c:pt idx="243">
                  <c:v>72.58</c:v>
                </c:pt>
                <c:pt idx="244">
                  <c:v>72.02</c:v>
                </c:pt>
                <c:pt idx="245">
                  <c:v>72.06</c:v>
                </c:pt>
                <c:pt idx="246">
                  <c:v>71.040000000000006</c:v>
                </c:pt>
                <c:pt idx="247">
                  <c:v>68.649999999999991</c:v>
                </c:pt>
                <c:pt idx="248">
                  <c:v>67.11</c:v>
                </c:pt>
                <c:pt idx="249">
                  <c:v>68.33</c:v>
                </c:pt>
                <c:pt idx="250">
                  <c:v>68.02</c:v>
                </c:pt>
                <c:pt idx="251">
                  <c:v>68.11999999999999</c:v>
                </c:pt>
                <c:pt idx="252">
                  <c:v>67.64</c:v>
                </c:pt>
                <c:pt idx="254">
                  <c:v>70.27</c:v>
                </c:pt>
                <c:pt idx="255">
                  <c:v>69.53</c:v>
                </c:pt>
                <c:pt idx="256">
                  <c:v>70.11</c:v>
                </c:pt>
                <c:pt idx="257">
                  <c:v>70.11999999999999</c:v>
                </c:pt>
                <c:pt idx="258">
                  <c:v>70.45</c:v>
                </c:pt>
                <c:pt idx="259">
                  <c:v>68.910000000000025</c:v>
                </c:pt>
                <c:pt idx="260">
                  <c:v>69.47</c:v>
                </c:pt>
                <c:pt idx="261">
                  <c:v>67.42</c:v>
                </c:pt>
                <c:pt idx="262">
                  <c:v>66.05</c:v>
                </c:pt>
                <c:pt idx="263">
                  <c:v>66.209999999999994</c:v>
                </c:pt>
                <c:pt idx="264">
                  <c:v>65.11999999999999</c:v>
                </c:pt>
                <c:pt idx="265">
                  <c:v>64.89</c:v>
                </c:pt>
                <c:pt idx="266">
                  <c:v>64.64</c:v>
                </c:pt>
                <c:pt idx="267">
                  <c:v>64.95</c:v>
                </c:pt>
                <c:pt idx="268">
                  <c:v>65.489999999999995</c:v>
                </c:pt>
                <c:pt idx="269">
                  <c:v>63.61</c:v>
                </c:pt>
                <c:pt idx="270">
                  <c:v>64.34</c:v>
                </c:pt>
                <c:pt idx="271">
                  <c:v>65.790000000000006</c:v>
                </c:pt>
                <c:pt idx="272">
                  <c:v>65.540000000000006</c:v>
                </c:pt>
                <c:pt idx="273">
                  <c:v>64.36999999999999</c:v>
                </c:pt>
                <c:pt idx="274">
                  <c:v>63.83</c:v>
                </c:pt>
                <c:pt idx="275">
                  <c:v>65.78</c:v>
                </c:pt>
                <c:pt idx="276">
                  <c:v>66.63</c:v>
                </c:pt>
                <c:pt idx="277">
                  <c:v>67.5</c:v>
                </c:pt>
                <c:pt idx="278">
                  <c:v>67.31</c:v>
                </c:pt>
                <c:pt idx="279">
                  <c:v>66.39</c:v>
                </c:pt>
                <c:pt idx="280">
                  <c:v>65.42</c:v>
                </c:pt>
                <c:pt idx="281">
                  <c:v>62.59</c:v>
                </c:pt>
                <c:pt idx="282">
                  <c:v>62.790000000000013</c:v>
                </c:pt>
                <c:pt idx="283">
                  <c:v>64.81</c:v>
                </c:pt>
                <c:pt idx="284">
                  <c:v>65.510000000000005</c:v>
                </c:pt>
                <c:pt idx="285">
                  <c:v>66.86</c:v>
                </c:pt>
                <c:pt idx="286">
                  <c:v>67.61999999999999</c:v>
                </c:pt>
                <c:pt idx="287">
                  <c:v>68.58</c:v>
                </c:pt>
                <c:pt idx="288">
                  <c:v>69.649999999999991</c:v>
                </c:pt>
                <c:pt idx="289">
                  <c:v>69.05</c:v>
                </c:pt>
                <c:pt idx="290">
                  <c:v>69.02</c:v>
                </c:pt>
                <c:pt idx="291">
                  <c:v>69.459999999999994</c:v>
                </c:pt>
                <c:pt idx="292">
                  <c:v>70.52</c:v>
                </c:pt>
                <c:pt idx="293">
                  <c:v>70.42</c:v>
                </c:pt>
                <c:pt idx="294">
                  <c:v>70.53</c:v>
                </c:pt>
                <c:pt idx="295">
                  <c:v>69.959999999999994</c:v>
                </c:pt>
                <c:pt idx="296">
                  <c:v>69.03</c:v>
                </c:pt>
                <c:pt idx="297">
                  <c:v>68.61</c:v>
                </c:pt>
                <c:pt idx="298">
                  <c:v>69.31</c:v>
                </c:pt>
                <c:pt idx="299">
                  <c:v>69.38</c:v>
                </c:pt>
                <c:pt idx="300">
                  <c:v>69.149999999999991</c:v>
                </c:pt>
                <c:pt idx="301">
                  <c:v>70.260000000000005</c:v>
                </c:pt>
                <c:pt idx="302">
                  <c:v>69.86999999999999</c:v>
                </c:pt>
                <c:pt idx="303">
                  <c:v>69.260000000000005</c:v>
                </c:pt>
                <c:pt idx="304">
                  <c:v>69.2</c:v>
                </c:pt>
                <c:pt idx="305">
                  <c:v>68.819999999999993</c:v>
                </c:pt>
                <c:pt idx="306">
                  <c:v>67.78</c:v>
                </c:pt>
                <c:pt idx="307">
                  <c:v>67.61999999999999</c:v>
                </c:pt>
                <c:pt idx="308">
                  <c:v>68.069999999999993</c:v>
                </c:pt>
                <c:pt idx="309">
                  <c:v>67.84</c:v>
                </c:pt>
                <c:pt idx="310">
                  <c:v>66.569999999999993</c:v>
                </c:pt>
                <c:pt idx="312">
                  <c:v>66.86999999999999</c:v>
                </c:pt>
                <c:pt idx="313">
                  <c:v>66.72</c:v>
                </c:pt>
                <c:pt idx="314">
                  <c:v>66.440000000000026</c:v>
                </c:pt>
                <c:pt idx="315">
                  <c:v>67.02</c:v>
                </c:pt>
                <c:pt idx="317">
                  <c:v>65.25</c:v>
                </c:pt>
                <c:pt idx="318">
                  <c:v>64.900000000000006</c:v>
                </c:pt>
                <c:pt idx="319">
                  <c:v>64.56</c:v>
                </c:pt>
                <c:pt idx="320">
                  <c:v>63.8</c:v>
                </c:pt>
                <c:pt idx="321">
                  <c:v>63.41</c:v>
                </c:pt>
                <c:pt idx="322">
                  <c:v>63.230000000000011</c:v>
                </c:pt>
                <c:pt idx="323">
                  <c:v>63.31</c:v>
                </c:pt>
                <c:pt idx="324">
                  <c:v>62.44</c:v>
                </c:pt>
                <c:pt idx="325">
                  <c:v>63.34</c:v>
                </c:pt>
                <c:pt idx="326">
                  <c:v>64.69</c:v>
                </c:pt>
                <c:pt idx="327">
                  <c:v>63.4</c:v>
                </c:pt>
                <c:pt idx="328">
                  <c:v>62.2</c:v>
                </c:pt>
                <c:pt idx="329">
                  <c:v>61.220000000000013</c:v>
                </c:pt>
                <c:pt idx="330">
                  <c:v>62.86</c:v>
                </c:pt>
                <c:pt idx="331">
                  <c:v>62.45</c:v>
                </c:pt>
                <c:pt idx="332">
                  <c:v>63.730000000000011</c:v>
                </c:pt>
                <c:pt idx="333">
                  <c:v>63.57</c:v>
                </c:pt>
                <c:pt idx="334">
                  <c:v>63.11</c:v>
                </c:pt>
                <c:pt idx="335">
                  <c:v>63.61</c:v>
                </c:pt>
                <c:pt idx="336">
                  <c:v>63.84</c:v>
                </c:pt>
                <c:pt idx="337">
                  <c:v>63.86</c:v>
                </c:pt>
                <c:pt idx="338">
                  <c:v>63.55</c:v>
                </c:pt>
                <c:pt idx="339">
                  <c:v>63.32</c:v>
                </c:pt>
                <c:pt idx="340">
                  <c:v>62.57</c:v>
                </c:pt>
                <c:pt idx="341">
                  <c:v>62.220000000000013</c:v>
                </c:pt>
                <c:pt idx="342">
                  <c:v>62.720000000000013</c:v>
                </c:pt>
                <c:pt idx="343">
                  <c:v>61.36</c:v>
                </c:pt>
                <c:pt idx="344">
                  <c:v>61.87</c:v>
                </c:pt>
                <c:pt idx="345">
                  <c:v>62.21</c:v>
                </c:pt>
                <c:pt idx="346">
                  <c:v>63.160000000000011</c:v>
                </c:pt>
                <c:pt idx="347">
                  <c:v>63.52</c:v>
                </c:pt>
                <c:pt idx="348">
                  <c:v>63.93</c:v>
                </c:pt>
                <c:pt idx="349">
                  <c:v>63.49</c:v>
                </c:pt>
                <c:pt idx="350">
                  <c:v>63.690000000000012</c:v>
                </c:pt>
                <c:pt idx="351">
                  <c:v>64.27</c:v>
                </c:pt>
                <c:pt idx="352">
                  <c:v>62.07</c:v>
                </c:pt>
                <c:pt idx="353">
                  <c:v>60.620000000000012</c:v>
                </c:pt>
                <c:pt idx="354">
                  <c:v>60.49</c:v>
                </c:pt>
                <c:pt idx="355">
                  <c:v>61.37</c:v>
                </c:pt>
                <c:pt idx="356">
                  <c:v>60.9</c:v>
                </c:pt>
                <c:pt idx="357">
                  <c:v>60.44</c:v>
                </c:pt>
                <c:pt idx="358">
                  <c:v>59.3</c:v>
                </c:pt>
                <c:pt idx="359">
                  <c:v>58.44</c:v>
                </c:pt>
                <c:pt idx="360">
                  <c:v>58.33</c:v>
                </c:pt>
                <c:pt idx="361">
                  <c:v>57.37</c:v>
                </c:pt>
                <c:pt idx="362">
                  <c:v>57.75</c:v>
                </c:pt>
                <c:pt idx="363">
                  <c:v>57.230000000000011</c:v>
                </c:pt>
                <c:pt idx="364">
                  <c:v>58.15</c:v>
                </c:pt>
                <c:pt idx="365">
                  <c:v>57.88</c:v>
                </c:pt>
                <c:pt idx="366">
                  <c:v>57.82</c:v>
                </c:pt>
                <c:pt idx="367">
                  <c:v>57.17</c:v>
                </c:pt>
                <c:pt idx="368">
                  <c:v>56.25</c:v>
                </c:pt>
                <c:pt idx="369">
                  <c:v>56.94</c:v>
                </c:pt>
                <c:pt idx="370">
                  <c:v>56.61</c:v>
                </c:pt>
                <c:pt idx="371">
                  <c:v>55.790000000000013</c:v>
                </c:pt>
                <c:pt idx="372">
                  <c:v>55.620000000000012</c:v>
                </c:pt>
                <c:pt idx="373">
                  <c:v>57.54</c:v>
                </c:pt>
                <c:pt idx="374">
                  <c:v>57.49</c:v>
                </c:pt>
                <c:pt idx="375">
                  <c:v>57.9</c:v>
                </c:pt>
                <c:pt idx="376">
                  <c:v>58.44</c:v>
                </c:pt>
                <c:pt idx="377">
                  <c:v>59.02</c:v>
                </c:pt>
                <c:pt idx="378">
                  <c:v>56.86</c:v>
                </c:pt>
                <c:pt idx="379">
                  <c:v>56.43</c:v>
                </c:pt>
                <c:pt idx="380">
                  <c:v>56.290000000000013</c:v>
                </c:pt>
                <c:pt idx="381">
                  <c:v>55.14</c:v>
                </c:pt>
                <c:pt idx="382">
                  <c:v>55.48</c:v>
                </c:pt>
                <c:pt idx="383">
                  <c:v>55.620000000000012</c:v>
                </c:pt>
                <c:pt idx="384">
                  <c:v>55.47</c:v>
                </c:pt>
                <c:pt idx="385">
                  <c:v>55.160000000000011</c:v>
                </c:pt>
                <c:pt idx="386">
                  <c:v>54.27</c:v>
                </c:pt>
                <c:pt idx="387">
                  <c:v>53.84</c:v>
                </c:pt>
                <c:pt idx="388">
                  <c:v>53.78</c:v>
                </c:pt>
                <c:pt idx="389">
                  <c:v>54.49</c:v>
                </c:pt>
                <c:pt idx="390">
                  <c:v>54.2</c:v>
                </c:pt>
                <c:pt idx="391">
                  <c:v>53.38</c:v>
                </c:pt>
                <c:pt idx="392">
                  <c:v>52.34</c:v>
                </c:pt>
                <c:pt idx="393">
                  <c:v>52.75</c:v>
                </c:pt>
                <c:pt idx="394">
                  <c:v>52.38</c:v>
                </c:pt>
                <c:pt idx="395">
                  <c:v>50.86</c:v>
                </c:pt>
                <c:pt idx="396">
                  <c:v>52</c:v>
                </c:pt>
                <c:pt idx="397">
                  <c:v>51.89</c:v>
                </c:pt>
                <c:pt idx="398">
                  <c:v>52.41</c:v>
                </c:pt>
                <c:pt idx="399">
                  <c:v>52.04</c:v>
                </c:pt>
                <c:pt idx="400">
                  <c:v>52.57</c:v>
                </c:pt>
                <c:pt idx="401">
                  <c:v>51.87</c:v>
                </c:pt>
                <c:pt idx="402">
                  <c:v>51.660000000000011</c:v>
                </c:pt>
                <c:pt idx="403">
                  <c:v>52.720000000000013</c:v>
                </c:pt>
                <c:pt idx="404">
                  <c:v>51.03</c:v>
                </c:pt>
                <c:pt idx="405">
                  <c:v>50.27</c:v>
                </c:pt>
                <c:pt idx="406">
                  <c:v>50.8</c:v>
                </c:pt>
                <c:pt idx="407">
                  <c:v>50.730000000000011</c:v>
                </c:pt>
                <c:pt idx="408">
                  <c:v>52.1</c:v>
                </c:pt>
                <c:pt idx="409">
                  <c:v>51.9</c:v>
                </c:pt>
                <c:pt idx="410">
                  <c:v>52.7</c:v>
                </c:pt>
                <c:pt idx="411">
                  <c:v>52.14</c:v>
                </c:pt>
                <c:pt idx="412">
                  <c:v>52.37</c:v>
                </c:pt>
                <c:pt idx="413">
                  <c:v>52.42</c:v>
                </c:pt>
                <c:pt idx="414">
                  <c:v>52.01</c:v>
                </c:pt>
                <c:pt idx="415">
                  <c:v>52.36</c:v>
                </c:pt>
                <c:pt idx="416">
                  <c:v>51.78</c:v>
                </c:pt>
                <c:pt idx="417">
                  <c:v>52.65</c:v>
                </c:pt>
                <c:pt idx="418">
                  <c:v>52.52</c:v>
                </c:pt>
                <c:pt idx="419">
                  <c:v>51.49</c:v>
                </c:pt>
                <c:pt idx="420">
                  <c:v>50.97</c:v>
                </c:pt>
                <c:pt idx="421">
                  <c:v>50.2</c:v>
                </c:pt>
                <c:pt idx="422">
                  <c:v>48.6</c:v>
                </c:pt>
                <c:pt idx="423">
                  <c:v>48.06</c:v>
                </c:pt>
                <c:pt idx="424">
                  <c:v>49.3</c:v>
                </c:pt>
                <c:pt idx="425">
                  <c:v>49.7</c:v>
                </c:pt>
                <c:pt idx="426">
                  <c:v>48.84</c:v>
                </c:pt>
                <c:pt idx="427">
                  <c:v>48.42</c:v>
                </c:pt>
                <c:pt idx="428">
                  <c:v>48.91</c:v>
                </c:pt>
                <c:pt idx="429">
                  <c:v>48.42</c:v>
                </c:pt>
                <c:pt idx="430">
                  <c:v>47.74</c:v>
                </c:pt>
                <c:pt idx="431">
                  <c:v>47.52</c:v>
                </c:pt>
                <c:pt idx="432">
                  <c:v>46.88</c:v>
                </c:pt>
                <c:pt idx="433">
                  <c:v>46.71</c:v>
                </c:pt>
                <c:pt idx="434">
                  <c:v>48.11</c:v>
                </c:pt>
                <c:pt idx="435">
                  <c:v>47.790000000000013</c:v>
                </c:pt>
                <c:pt idx="436">
                  <c:v>49.68</c:v>
                </c:pt>
                <c:pt idx="437">
                  <c:v>49.68</c:v>
                </c:pt>
                <c:pt idx="438">
                  <c:v>47.92</c:v>
                </c:pt>
                <c:pt idx="439">
                  <c:v>47.42</c:v>
                </c:pt>
                <c:pt idx="440">
                  <c:v>47.31</c:v>
                </c:pt>
                <c:pt idx="441">
                  <c:v>46.65</c:v>
                </c:pt>
                <c:pt idx="442">
                  <c:v>45.83</c:v>
                </c:pt>
                <c:pt idx="443">
                  <c:v>45.54</c:v>
                </c:pt>
                <c:pt idx="444">
                  <c:v>45.220000000000013</c:v>
                </c:pt>
                <c:pt idx="445">
                  <c:v>44.82</c:v>
                </c:pt>
                <c:pt idx="446">
                  <c:v>46.06</c:v>
                </c:pt>
                <c:pt idx="447">
                  <c:v>46.91</c:v>
                </c:pt>
                <c:pt idx="448">
                  <c:v>47.37</c:v>
                </c:pt>
                <c:pt idx="449">
                  <c:v>46.92</c:v>
                </c:pt>
                <c:pt idx="450">
                  <c:v>47</c:v>
                </c:pt>
                <c:pt idx="451">
                  <c:v>48.720000000000013</c:v>
                </c:pt>
                <c:pt idx="452">
                  <c:v>48.290000000000013</c:v>
                </c:pt>
                <c:pt idx="453">
                  <c:v>48.15</c:v>
                </c:pt>
                <c:pt idx="454">
                  <c:v>47.86</c:v>
                </c:pt>
                <c:pt idx="455">
                  <c:v>48.06</c:v>
                </c:pt>
                <c:pt idx="456">
                  <c:v>50.120000000000012</c:v>
                </c:pt>
                <c:pt idx="457">
                  <c:v>49.47</c:v>
                </c:pt>
                <c:pt idx="458">
                  <c:v>49.95</c:v>
                </c:pt>
                <c:pt idx="459">
                  <c:v>50.63</c:v>
                </c:pt>
                <c:pt idx="460">
                  <c:v>50.31</c:v>
                </c:pt>
                <c:pt idx="461">
                  <c:v>51.84</c:v>
                </c:pt>
                <c:pt idx="462">
                  <c:v>52.290000000000013</c:v>
                </c:pt>
                <c:pt idx="463">
                  <c:v>52.15</c:v>
                </c:pt>
                <c:pt idx="464">
                  <c:v>51.46</c:v>
                </c:pt>
                <c:pt idx="465">
                  <c:v>53.96</c:v>
                </c:pt>
                <c:pt idx="466">
                  <c:v>54.15</c:v>
                </c:pt>
                <c:pt idx="467">
                  <c:v>53.87</c:v>
                </c:pt>
                <c:pt idx="468">
                  <c:v>53.61</c:v>
                </c:pt>
                <c:pt idx="469">
                  <c:v>52.51</c:v>
                </c:pt>
                <c:pt idx="470">
                  <c:v>52.21</c:v>
                </c:pt>
                <c:pt idx="471">
                  <c:v>51.65</c:v>
                </c:pt>
                <c:pt idx="472">
                  <c:v>51.82</c:v>
                </c:pt>
                <c:pt idx="473">
                  <c:v>50.84</c:v>
                </c:pt>
                <c:pt idx="474">
                  <c:v>50.77</c:v>
                </c:pt>
                <c:pt idx="475">
                  <c:v>50.220000000000013</c:v>
                </c:pt>
                <c:pt idx="476">
                  <c:v>48.730000000000011</c:v>
                </c:pt>
                <c:pt idx="477">
                  <c:v>49.34</c:v>
                </c:pt>
                <c:pt idx="478">
                  <c:v>49.1</c:v>
                </c:pt>
                <c:pt idx="479">
                  <c:v>48.38</c:v>
                </c:pt>
                <c:pt idx="480">
                  <c:v>50.790000000000013</c:v>
                </c:pt>
                <c:pt idx="481">
                  <c:v>50.46</c:v>
                </c:pt>
                <c:pt idx="482">
                  <c:v>51.52</c:v>
                </c:pt>
                <c:pt idx="483">
                  <c:v>51.730000000000011</c:v>
                </c:pt>
                <c:pt idx="484">
                  <c:v>51.44</c:v>
                </c:pt>
                <c:pt idx="485">
                  <c:v>51.82</c:v>
                </c:pt>
                <c:pt idx="486">
                  <c:v>52.1</c:v>
                </c:pt>
                <c:pt idx="487">
                  <c:v>51.6</c:v>
                </c:pt>
                <c:pt idx="488">
                  <c:v>51.96</c:v>
                </c:pt>
                <c:pt idx="489">
                  <c:v>52.99</c:v>
                </c:pt>
                <c:pt idx="490">
                  <c:v>52.93</c:v>
                </c:pt>
                <c:pt idx="491">
                  <c:v>54.89</c:v>
                </c:pt>
                <c:pt idx="492">
                  <c:v>55.36</c:v>
                </c:pt>
                <c:pt idx="493">
                  <c:v>55.89</c:v>
                </c:pt>
                <c:pt idx="494">
                  <c:v>55.86</c:v>
                </c:pt>
                <c:pt idx="495">
                  <c:v>56.230000000000011</c:v>
                </c:pt>
                <c:pt idx="496">
                  <c:v>55.98</c:v>
                </c:pt>
                <c:pt idx="497">
                  <c:v>55.24</c:v>
                </c:pt>
                <c:pt idx="498">
                  <c:v>54.89</c:v>
                </c:pt>
                <c:pt idx="499">
                  <c:v>54.36</c:v>
                </c:pt>
                <c:pt idx="500">
                  <c:v>54.17</c:v>
                </c:pt>
                <c:pt idx="501">
                  <c:v>53.120000000000012</c:v>
                </c:pt>
                <c:pt idx="502">
                  <c:v>52.83</c:v>
                </c:pt>
                <c:pt idx="503">
                  <c:v>52.96</c:v>
                </c:pt>
                <c:pt idx="504">
                  <c:v>52.42</c:v>
                </c:pt>
                <c:pt idx="505">
                  <c:v>51.33</c:v>
                </c:pt>
                <c:pt idx="506">
                  <c:v>50.75</c:v>
                </c:pt>
                <c:pt idx="507">
                  <c:v>50.8</c:v>
                </c:pt>
                <c:pt idx="508">
                  <c:v>50.56</c:v>
                </c:pt>
                <c:pt idx="509">
                  <c:v>50.64</c:v>
                </c:pt>
                <c:pt idx="510">
                  <c:v>50.96</c:v>
                </c:pt>
                <c:pt idx="511">
                  <c:v>51.620000000000012</c:v>
                </c:pt>
                <c:pt idx="512">
                  <c:v>51.760000000000012</c:v>
                </c:pt>
                <c:pt idx="513">
                  <c:v>51.74</c:v>
                </c:pt>
                <c:pt idx="514">
                  <c:v>51.81</c:v>
                </c:pt>
                <c:pt idx="515">
                  <c:v>50.9</c:v>
                </c:pt>
                <c:pt idx="516">
                  <c:v>51.35</c:v>
                </c:pt>
                <c:pt idx="517">
                  <c:v>51.37</c:v>
                </c:pt>
                <c:pt idx="518">
                  <c:v>52.190000000000012</c:v>
                </c:pt>
                <c:pt idx="519">
                  <c:v>53.11</c:v>
                </c:pt>
                <c:pt idx="520">
                  <c:v>55.92</c:v>
                </c:pt>
                <c:pt idx="521">
                  <c:v>56.01</c:v>
                </c:pt>
                <c:pt idx="522">
                  <c:v>55.9</c:v>
                </c:pt>
                <c:pt idx="523">
                  <c:v>55.08</c:v>
                </c:pt>
                <c:pt idx="524">
                  <c:v>56.36</c:v>
                </c:pt>
                <c:pt idx="525">
                  <c:v>55.59</c:v>
                </c:pt>
                <c:pt idx="526">
                  <c:v>55.93</c:v>
                </c:pt>
                <c:pt idx="527">
                  <c:v>55.99</c:v>
                </c:pt>
                <c:pt idx="528">
                  <c:v>56.58</c:v>
                </c:pt>
                <c:pt idx="529">
                  <c:v>55.84</c:v>
                </c:pt>
                <c:pt idx="530">
                  <c:v>56.660000000000011</c:v>
                </c:pt>
                <c:pt idx="531">
                  <c:v>56.18</c:v>
                </c:pt>
                <c:pt idx="532">
                  <c:v>55.81</c:v>
                </c:pt>
                <c:pt idx="533">
                  <c:v>55.65</c:v>
                </c:pt>
                <c:pt idx="534">
                  <c:v>55.75</c:v>
                </c:pt>
                <c:pt idx="535">
                  <c:v>55.97</c:v>
                </c:pt>
                <c:pt idx="536">
                  <c:v>55.59</c:v>
                </c:pt>
                <c:pt idx="537">
                  <c:v>56.7</c:v>
                </c:pt>
                <c:pt idx="538">
                  <c:v>55.63</c:v>
                </c:pt>
                <c:pt idx="539">
                  <c:v>55.120000000000012</c:v>
                </c:pt>
                <c:pt idx="540">
                  <c:v>55.05</c:v>
                </c:pt>
                <c:pt idx="541">
                  <c:v>55.720000000000013</c:v>
                </c:pt>
                <c:pt idx="542">
                  <c:v>56.81</c:v>
                </c:pt>
                <c:pt idx="543">
                  <c:v>56.56</c:v>
                </c:pt>
                <c:pt idx="544">
                  <c:v>56.8</c:v>
                </c:pt>
                <c:pt idx="545">
                  <c:v>55.7</c:v>
                </c:pt>
                <c:pt idx="546">
                  <c:v>55.230000000000011</c:v>
                </c:pt>
                <c:pt idx="547">
                  <c:v>55.52</c:v>
                </c:pt>
                <c:pt idx="548">
                  <c:v>56.24</c:v>
                </c:pt>
                <c:pt idx="549">
                  <c:v>55.08</c:v>
                </c:pt>
                <c:pt idx="550">
                  <c:v>55.44</c:v>
                </c:pt>
                <c:pt idx="551">
                  <c:v>55.230000000000011</c:v>
                </c:pt>
                <c:pt idx="552">
                  <c:v>55.49</c:v>
                </c:pt>
                <c:pt idx="553">
                  <c:v>54.160000000000011</c:v>
                </c:pt>
                <c:pt idx="554">
                  <c:v>53.92</c:v>
                </c:pt>
                <c:pt idx="555">
                  <c:v>55.47</c:v>
                </c:pt>
                <c:pt idx="556">
                  <c:v>53.9</c:v>
                </c:pt>
                <c:pt idx="557">
                  <c:v>55.45</c:v>
                </c:pt>
                <c:pt idx="558">
                  <c:v>56.01</c:v>
                </c:pt>
                <c:pt idx="559">
                  <c:v>55.1</c:v>
                </c:pt>
                <c:pt idx="560">
                  <c:v>53.64</c:v>
                </c:pt>
                <c:pt idx="561">
                  <c:v>54.94</c:v>
                </c:pt>
                <c:pt idx="562">
                  <c:v>57.1</c:v>
                </c:pt>
                <c:pt idx="563">
                  <c:v>56.89</c:v>
                </c:pt>
                <c:pt idx="564">
                  <c:v>56.46</c:v>
                </c:pt>
                <c:pt idx="565">
                  <c:v>55.47</c:v>
                </c:pt>
                <c:pt idx="566">
                  <c:v>56.82</c:v>
                </c:pt>
                <c:pt idx="567">
                  <c:v>56.14</c:v>
                </c:pt>
                <c:pt idx="568">
                  <c:v>56.220000000000013</c:v>
                </c:pt>
                <c:pt idx="569">
                  <c:v>56.09</c:v>
                </c:pt>
                <c:pt idx="570">
                  <c:v>55.160000000000011</c:v>
                </c:pt>
                <c:pt idx="571">
                  <c:v>55.05</c:v>
                </c:pt>
                <c:pt idx="572">
                  <c:v>54.46</c:v>
                </c:pt>
                <c:pt idx="573">
                  <c:v>55.35</c:v>
                </c:pt>
                <c:pt idx="574">
                  <c:v>54.92</c:v>
                </c:pt>
                <c:pt idx="575">
                  <c:v>55.21</c:v>
                </c:pt>
                <c:pt idx="576">
                  <c:v>54.02</c:v>
                </c:pt>
                <c:pt idx="577">
                  <c:v>53.9</c:v>
                </c:pt>
                <c:pt idx="578">
                  <c:v>55.720000000000013</c:v>
                </c:pt>
                <c:pt idx="579">
                  <c:v>55.690000000000012</c:v>
                </c:pt>
                <c:pt idx="580">
                  <c:v>54.33</c:v>
                </c:pt>
                <c:pt idx="581">
                  <c:v>53.89</c:v>
                </c:pt>
                <c:pt idx="582">
                  <c:v>53</c:v>
                </c:pt>
                <c:pt idx="583">
                  <c:v>53.93</c:v>
                </c:pt>
                <c:pt idx="584">
                  <c:v>54.94</c:v>
                </c:pt>
                <c:pt idx="585">
                  <c:v>54.46</c:v>
                </c:pt>
                <c:pt idx="586">
                  <c:v>53.94</c:v>
                </c:pt>
                <c:pt idx="587">
                  <c:v>50.47</c:v>
                </c:pt>
                <c:pt idx="588">
                  <c:v>46.38</c:v>
                </c:pt>
                <c:pt idx="589">
                  <c:v>48.24</c:v>
                </c:pt>
                <c:pt idx="590">
                  <c:v>47.24</c:v>
                </c:pt>
                <c:pt idx="591">
                  <c:v>49</c:v>
                </c:pt>
                <c:pt idx="592">
                  <c:v>48.95</c:v>
                </c:pt>
                <c:pt idx="593">
                  <c:v>49.120000000000012</c:v>
                </c:pt>
                <c:pt idx="594">
                  <c:v>48.9</c:v>
                </c:pt>
                <c:pt idx="595">
                  <c:v>46.86</c:v>
                </c:pt>
                <c:pt idx="596">
                  <c:v>46.49</c:v>
                </c:pt>
                <c:pt idx="597">
                  <c:v>46.63</c:v>
                </c:pt>
                <c:pt idx="598">
                  <c:v>46.95</c:v>
                </c:pt>
                <c:pt idx="599">
                  <c:v>44.43</c:v>
                </c:pt>
                <c:pt idx="600">
                  <c:v>44.75</c:v>
                </c:pt>
                <c:pt idx="601">
                  <c:v>45.84</c:v>
                </c:pt>
                <c:pt idx="602">
                  <c:v>46.36</c:v>
                </c:pt>
                <c:pt idx="603">
                  <c:v>46.04</c:v>
                </c:pt>
                <c:pt idx="604">
                  <c:v>46.15</c:v>
                </c:pt>
                <c:pt idx="605">
                  <c:v>45.58</c:v>
                </c:pt>
                <c:pt idx="606">
                  <c:v>46.35</c:v>
                </c:pt>
                <c:pt idx="607">
                  <c:v>46.86</c:v>
                </c:pt>
                <c:pt idx="608">
                  <c:v>48.14</c:v>
                </c:pt>
                <c:pt idx="609">
                  <c:v>48.3</c:v>
                </c:pt>
                <c:pt idx="610">
                  <c:v>49.71</c:v>
                </c:pt>
                <c:pt idx="611">
                  <c:v>50.47</c:v>
                </c:pt>
                <c:pt idx="612">
                  <c:v>49.98</c:v>
                </c:pt>
                <c:pt idx="613">
                  <c:v>50.790000000000013</c:v>
                </c:pt>
                <c:pt idx="614">
                  <c:v>51.46</c:v>
                </c:pt>
                <c:pt idx="615">
                  <c:v>51.78</c:v>
                </c:pt>
                <c:pt idx="616">
                  <c:v>51.38</c:v>
                </c:pt>
                <c:pt idx="617">
                  <c:v>52.67</c:v>
                </c:pt>
                <c:pt idx="618">
                  <c:v>51.68</c:v>
                </c:pt>
                <c:pt idx="619">
                  <c:v>51.52</c:v>
                </c:pt>
                <c:pt idx="620">
                  <c:v>51.95</c:v>
                </c:pt>
                <c:pt idx="621">
                  <c:v>52.03</c:v>
                </c:pt>
                <c:pt idx="622">
                  <c:v>51.81</c:v>
                </c:pt>
                <c:pt idx="623">
                  <c:v>52.41</c:v>
                </c:pt>
                <c:pt idx="624">
                  <c:v>53.14</c:v>
                </c:pt>
                <c:pt idx="625">
                  <c:v>51.93</c:v>
                </c:pt>
                <c:pt idx="626">
                  <c:v>52.51</c:v>
                </c:pt>
                <c:pt idx="627">
                  <c:v>51.86</c:v>
                </c:pt>
                <c:pt idx="628">
                  <c:v>50.87</c:v>
                </c:pt>
                <c:pt idx="629">
                  <c:v>50.89</c:v>
                </c:pt>
                <c:pt idx="630">
                  <c:v>49.06</c:v>
                </c:pt>
                <c:pt idx="631">
                  <c:v>49.24</c:v>
                </c:pt>
                <c:pt idx="632">
                  <c:v>48.690000000000012</c:v>
                </c:pt>
                <c:pt idx="633">
                  <c:v>45.97</c:v>
                </c:pt>
                <c:pt idx="634">
                  <c:v>47.35</c:v>
                </c:pt>
                <c:pt idx="635">
                  <c:v>45.89</c:v>
                </c:pt>
                <c:pt idx="636">
                  <c:v>47.65</c:v>
                </c:pt>
                <c:pt idx="637">
                  <c:v>46.83</c:v>
                </c:pt>
                <c:pt idx="638">
                  <c:v>45.88</c:v>
                </c:pt>
                <c:pt idx="639">
                  <c:v>45.95</c:v>
                </c:pt>
                <c:pt idx="640">
                  <c:v>45.77</c:v>
                </c:pt>
                <c:pt idx="641">
                  <c:v>46.59</c:v>
                </c:pt>
                <c:pt idx="642">
                  <c:v>45.85</c:v>
                </c:pt>
                <c:pt idx="643">
                  <c:v>47.1</c:v>
                </c:pt>
                <c:pt idx="644">
                  <c:v>48.32</c:v>
                </c:pt>
                <c:pt idx="645">
                  <c:v>48.01</c:v>
                </c:pt>
                <c:pt idx="646">
                  <c:v>49.99</c:v>
                </c:pt>
                <c:pt idx="647">
                  <c:v>47.98</c:v>
                </c:pt>
                <c:pt idx="648">
                  <c:v>47.260000000000012</c:v>
                </c:pt>
                <c:pt idx="649">
                  <c:v>47.63</c:v>
                </c:pt>
                <c:pt idx="650">
                  <c:v>46.83</c:v>
                </c:pt>
                <c:pt idx="651">
                  <c:v>45.45</c:v>
                </c:pt>
                <c:pt idx="652">
                  <c:v>47.04</c:v>
                </c:pt>
                <c:pt idx="653">
                  <c:v>48.37</c:v>
                </c:pt>
                <c:pt idx="654">
                  <c:v>49.260000000000012</c:v>
                </c:pt>
                <c:pt idx="655">
                  <c:v>49.92</c:v>
                </c:pt>
                <c:pt idx="656">
                  <c:v>49.67</c:v>
                </c:pt>
                <c:pt idx="657">
                  <c:v>49.05</c:v>
                </c:pt>
                <c:pt idx="658">
                  <c:v>49.96</c:v>
                </c:pt>
                <c:pt idx="659">
                  <c:v>49.160000000000011</c:v>
                </c:pt>
                <c:pt idx="660">
                  <c:v>50.88</c:v>
                </c:pt>
                <c:pt idx="661">
                  <c:v>50.89</c:v>
                </c:pt>
                <c:pt idx="662">
                  <c:v>49.85</c:v>
                </c:pt>
                <c:pt idx="663">
                  <c:v>49.230000000000011</c:v>
                </c:pt>
                <c:pt idx="664">
                  <c:v>48.35</c:v>
                </c:pt>
                <c:pt idx="665">
                  <c:v>46.97</c:v>
                </c:pt>
                <c:pt idx="666">
                  <c:v>43.49</c:v>
                </c:pt>
                <c:pt idx="667">
                  <c:v>44.05</c:v>
                </c:pt>
                <c:pt idx="668">
                  <c:v>44.98</c:v>
                </c:pt>
                <c:pt idx="669">
                  <c:v>45.39</c:v>
                </c:pt>
                <c:pt idx="670">
                  <c:v>44.27</c:v>
                </c:pt>
                <c:pt idx="671">
                  <c:v>44.290000000000013</c:v>
                </c:pt>
                <c:pt idx="672">
                  <c:v>43.1</c:v>
                </c:pt>
                <c:pt idx="673">
                  <c:v>41.8</c:v>
                </c:pt>
                <c:pt idx="674">
                  <c:v>42.14</c:v>
                </c:pt>
                <c:pt idx="675">
                  <c:v>42.46</c:v>
                </c:pt>
                <c:pt idx="676">
                  <c:v>42.7</c:v>
                </c:pt>
                <c:pt idx="677">
                  <c:v>43.47</c:v>
                </c:pt>
                <c:pt idx="678">
                  <c:v>44.87</c:v>
                </c:pt>
                <c:pt idx="679">
                  <c:v>44.720000000000013</c:v>
                </c:pt>
                <c:pt idx="680">
                  <c:v>45.690000000000012</c:v>
                </c:pt>
                <c:pt idx="681">
                  <c:v>46.2</c:v>
                </c:pt>
                <c:pt idx="682">
                  <c:v>47.17</c:v>
                </c:pt>
                <c:pt idx="683">
                  <c:v>46.660000000000011</c:v>
                </c:pt>
                <c:pt idx="684">
                  <c:v>46.96</c:v>
                </c:pt>
                <c:pt idx="685">
                  <c:v>47.61</c:v>
                </c:pt>
                <c:pt idx="686">
                  <c:v>47.37</c:v>
                </c:pt>
                <c:pt idx="687">
                  <c:v>46.260000000000012</c:v>
                </c:pt>
                <c:pt idx="688">
                  <c:v>48.47</c:v>
                </c:pt>
                <c:pt idx="689">
                  <c:v>46.25</c:v>
                </c:pt>
                <c:pt idx="690">
                  <c:v>46.760000000000012</c:v>
                </c:pt>
                <c:pt idx="691">
                  <c:v>46.4</c:v>
                </c:pt>
                <c:pt idx="692">
                  <c:v>48.8</c:v>
                </c:pt>
                <c:pt idx="693">
                  <c:v>47.96</c:v>
                </c:pt>
                <c:pt idx="694">
                  <c:v>50.04</c:v>
                </c:pt>
              </c:numCache>
            </c:numRef>
          </c:val>
        </c:ser>
        <c:ser>
          <c:idx val="2"/>
          <c:order val="2"/>
          <c:tx>
            <c:strRef>
              <c:f>'世界-走势图'!$D$1</c:f>
              <c:strCache>
                <c:ptCount val="1"/>
                <c:pt idx="0">
                  <c:v>迪拜</c:v>
                </c:pt>
              </c:strCache>
            </c:strRef>
          </c:tx>
          <c:marker>
            <c:symbol val="none"/>
          </c:marker>
          <c:cat>
            <c:numRef>
              <c:f>'世界-走势图'!$A$49:$A$696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'世界-走势图'!$D$87:$D$696</c:f>
            </c:numRef>
          </c:val>
        </c:ser>
        <c:ser>
          <c:idx val="3"/>
          <c:order val="3"/>
          <c:tx>
            <c:strRef>
              <c:f>'世界-走势图'!$E$1</c:f>
              <c:strCache>
                <c:ptCount val="1"/>
                <c:pt idx="0">
                  <c:v>阿曼</c:v>
                </c:pt>
              </c:strCache>
            </c:strRef>
          </c:tx>
          <c:marker>
            <c:symbol val="none"/>
          </c:marker>
          <c:cat>
            <c:numRef>
              <c:f>'世界-走势图'!$A$49:$A$696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'世界-走势图'!$E$87:$E$696</c:f>
            </c:numRef>
          </c:val>
        </c:ser>
        <c:ser>
          <c:idx val="4"/>
          <c:order val="4"/>
          <c:tx>
            <c:strRef>
              <c:f>'世界-走势图'!$F$1</c:f>
              <c:strCache>
                <c:ptCount val="1"/>
                <c:pt idx="0">
                  <c:v>米纳斯</c:v>
                </c:pt>
              </c:strCache>
            </c:strRef>
          </c:tx>
          <c:marker>
            <c:symbol val="none"/>
          </c:marker>
          <c:cat>
            <c:numRef>
              <c:f>'世界-走势图'!$A$49:$A$696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'世界-走势图'!$F$87:$F$696</c:f>
            </c:numRef>
          </c:val>
        </c:ser>
        <c:ser>
          <c:idx val="5"/>
          <c:order val="5"/>
          <c:tx>
            <c:strRef>
              <c:f>'世界-走势图'!$G$1</c:f>
              <c:strCache>
                <c:ptCount val="1"/>
                <c:pt idx="0">
                  <c:v>塔皮斯</c:v>
                </c:pt>
              </c:strCache>
            </c:strRef>
          </c:tx>
          <c:marker>
            <c:symbol val="none"/>
          </c:marker>
          <c:cat>
            <c:numRef>
              <c:f>'世界-走势图'!$A$49:$A$696</c:f>
              <c:numCache>
                <c:formatCode>yyyy/m/d;@</c:formatCode>
                <c:ptCount val="648"/>
                <c:pt idx="0">
                  <c:v>43479</c:v>
                </c:pt>
                <c:pt idx="1">
                  <c:v>43476</c:v>
                </c:pt>
                <c:pt idx="2">
                  <c:v>43475</c:v>
                </c:pt>
                <c:pt idx="3">
                  <c:v>43474</c:v>
                </c:pt>
                <c:pt idx="4">
                  <c:v>43473</c:v>
                </c:pt>
                <c:pt idx="5">
                  <c:v>43472</c:v>
                </c:pt>
                <c:pt idx="6">
                  <c:v>43469</c:v>
                </c:pt>
                <c:pt idx="7">
                  <c:v>43468</c:v>
                </c:pt>
                <c:pt idx="8">
                  <c:v>43467</c:v>
                </c:pt>
                <c:pt idx="9">
                  <c:v>43466</c:v>
                </c:pt>
                <c:pt idx="10">
                  <c:v>43465</c:v>
                </c:pt>
                <c:pt idx="11">
                  <c:v>43462</c:v>
                </c:pt>
                <c:pt idx="12">
                  <c:v>43461</c:v>
                </c:pt>
                <c:pt idx="13">
                  <c:v>43460</c:v>
                </c:pt>
                <c:pt idx="14">
                  <c:v>43459</c:v>
                </c:pt>
                <c:pt idx="15">
                  <c:v>43458</c:v>
                </c:pt>
                <c:pt idx="16">
                  <c:v>43455</c:v>
                </c:pt>
                <c:pt idx="17">
                  <c:v>43454</c:v>
                </c:pt>
                <c:pt idx="18">
                  <c:v>43453</c:v>
                </c:pt>
                <c:pt idx="19">
                  <c:v>43452</c:v>
                </c:pt>
                <c:pt idx="20">
                  <c:v>43451</c:v>
                </c:pt>
                <c:pt idx="21">
                  <c:v>43448</c:v>
                </c:pt>
                <c:pt idx="22">
                  <c:v>43447</c:v>
                </c:pt>
                <c:pt idx="23">
                  <c:v>43446</c:v>
                </c:pt>
                <c:pt idx="24">
                  <c:v>43445</c:v>
                </c:pt>
                <c:pt idx="25">
                  <c:v>43444</c:v>
                </c:pt>
                <c:pt idx="26">
                  <c:v>43441</c:v>
                </c:pt>
                <c:pt idx="27">
                  <c:v>43440</c:v>
                </c:pt>
                <c:pt idx="28">
                  <c:v>43439</c:v>
                </c:pt>
                <c:pt idx="29">
                  <c:v>43438</c:v>
                </c:pt>
                <c:pt idx="30">
                  <c:v>43437</c:v>
                </c:pt>
                <c:pt idx="31">
                  <c:v>43434</c:v>
                </c:pt>
                <c:pt idx="32">
                  <c:v>43433</c:v>
                </c:pt>
                <c:pt idx="33">
                  <c:v>43432</c:v>
                </c:pt>
                <c:pt idx="34">
                  <c:v>43431</c:v>
                </c:pt>
                <c:pt idx="35">
                  <c:v>43430</c:v>
                </c:pt>
                <c:pt idx="36">
                  <c:v>43427</c:v>
                </c:pt>
                <c:pt idx="37">
                  <c:v>43426</c:v>
                </c:pt>
                <c:pt idx="38">
                  <c:v>43425</c:v>
                </c:pt>
                <c:pt idx="39">
                  <c:v>43424</c:v>
                </c:pt>
                <c:pt idx="40">
                  <c:v>43423</c:v>
                </c:pt>
                <c:pt idx="41">
                  <c:v>43420</c:v>
                </c:pt>
                <c:pt idx="42">
                  <c:v>43419</c:v>
                </c:pt>
                <c:pt idx="43">
                  <c:v>43418</c:v>
                </c:pt>
                <c:pt idx="44">
                  <c:v>43417</c:v>
                </c:pt>
                <c:pt idx="45">
                  <c:v>43416</c:v>
                </c:pt>
                <c:pt idx="46">
                  <c:v>43413</c:v>
                </c:pt>
                <c:pt idx="47">
                  <c:v>43412</c:v>
                </c:pt>
                <c:pt idx="48">
                  <c:v>43411</c:v>
                </c:pt>
                <c:pt idx="49">
                  <c:v>43410</c:v>
                </c:pt>
                <c:pt idx="50">
                  <c:v>43409</c:v>
                </c:pt>
                <c:pt idx="51">
                  <c:v>43406</c:v>
                </c:pt>
                <c:pt idx="52">
                  <c:v>43405</c:v>
                </c:pt>
                <c:pt idx="53">
                  <c:v>43404</c:v>
                </c:pt>
                <c:pt idx="54">
                  <c:v>43403</c:v>
                </c:pt>
                <c:pt idx="55">
                  <c:v>43402</c:v>
                </c:pt>
                <c:pt idx="56">
                  <c:v>43399</c:v>
                </c:pt>
                <c:pt idx="57">
                  <c:v>43398</c:v>
                </c:pt>
                <c:pt idx="58">
                  <c:v>43397</c:v>
                </c:pt>
                <c:pt idx="59">
                  <c:v>43396</c:v>
                </c:pt>
                <c:pt idx="60">
                  <c:v>43395</c:v>
                </c:pt>
                <c:pt idx="61">
                  <c:v>43392</c:v>
                </c:pt>
                <c:pt idx="62">
                  <c:v>43391</c:v>
                </c:pt>
                <c:pt idx="63">
                  <c:v>43390</c:v>
                </c:pt>
                <c:pt idx="64">
                  <c:v>43389</c:v>
                </c:pt>
                <c:pt idx="65">
                  <c:v>43388</c:v>
                </c:pt>
                <c:pt idx="66">
                  <c:v>43385</c:v>
                </c:pt>
                <c:pt idx="67">
                  <c:v>43384</c:v>
                </c:pt>
                <c:pt idx="68">
                  <c:v>43383</c:v>
                </c:pt>
                <c:pt idx="69">
                  <c:v>43382</c:v>
                </c:pt>
                <c:pt idx="70">
                  <c:v>43381</c:v>
                </c:pt>
                <c:pt idx="71">
                  <c:v>43378</c:v>
                </c:pt>
                <c:pt idx="72">
                  <c:v>43377</c:v>
                </c:pt>
                <c:pt idx="73">
                  <c:v>43376</c:v>
                </c:pt>
                <c:pt idx="74">
                  <c:v>43375</c:v>
                </c:pt>
                <c:pt idx="75">
                  <c:v>43374</c:v>
                </c:pt>
                <c:pt idx="76">
                  <c:v>43371</c:v>
                </c:pt>
                <c:pt idx="77">
                  <c:v>43370</c:v>
                </c:pt>
                <c:pt idx="78">
                  <c:v>43369</c:v>
                </c:pt>
                <c:pt idx="79">
                  <c:v>43368</c:v>
                </c:pt>
                <c:pt idx="80">
                  <c:v>43367</c:v>
                </c:pt>
                <c:pt idx="81">
                  <c:v>43364</c:v>
                </c:pt>
                <c:pt idx="82">
                  <c:v>43363</c:v>
                </c:pt>
                <c:pt idx="83">
                  <c:v>43362</c:v>
                </c:pt>
                <c:pt idx="84">
                  <c:v>43361</c:v>
                </c:pt>
                <c:pt idx="85">
                  <c:v>43360</c:v>
                </c:pt>
                <c:pt idx="86">
                  <c:v>43357</c:v>
                </c:pt>
                <c:pt idx="87">
                  <c:v>43356</c:v>
                </c:pt>
                <c:pt idx="88">
                  <c:v>43355</c:v>
                </c:pt>
                <c:pt idx="89">
                  <c:v>43354</c:v>
                </c:pt>
                <c:pt idx="90">
                  <c:v>43353</c:v>
                </c:pt>
                <c:pt idx="91">
                  <c:v>43350</c:v>
                </c:pt>
                <c:pt idx="92">
                  <c:v>43349</c:v>
                </c:pt>
                <c:pt idx="93">
                  <c:v>43348</c:v>
                </c:pt>
                <c:pt idx="94">
                  <c:v>43347</c:v>
                </c:pt>
                <c:pt idx="95">
                  <c:v>43346</c:v>
                </c:pt>
                <c:pt idx="96">
                  <c:v>43343</c:v>
                </c:pt>
                <c:pt idx="97">
                  <c:v>43342</c:v>
                </c:pt>
                <c:pt idx="98">
                  <c:v>43341</c:v>
                </c:pt>
                <c:pt idx="99">
                  <c:v>43340</c:v>
                </c:pt>
                <c:pt idx="100">
                  <c:v>43339</c:v>
                </c:pt>
                <c:pt idx="101">
                  <c:v>43336</c:v>
                </c:pt>
                <c:pt idx="102">
                  <c:v>43335</c:v>
                </c:pt>
                <c:pt idx="103">
                  <c:v>43334</c:v>
                </c:pt>
                <c:pt idx="104">
                  <c:v>43333</c:v>
                </c:pt>
                <c:pt idx="105">
                  <c:v>43332</c:v>
                </c:pt>
                <c:pt idx="106">
                  <c:v>43329</c:v>
                </c:pt>
                <c:pt idx="107">
                  <c:v>43328</c:v>
                </c:pt>
                <c:pt idx="108">
                  <c:v>43327</c:v>
                </c:pt>
                <c:pt idx="109">
                  <c:v>43326</c:v>
                </c:pt>
                <c:pt idx="110">
                  <c:v>43325</c:v>
                </c:pt>
                <c:pt idx="111">
                  <c:v>43322</c:v>
                </c:pt>
                <c:pt idx="112">
                  <c:v>43321</c:v>
                </c:pt>
                <c:pt idx="113">
                  <c:v>43320</c:v>
                </c:pt>
                <c:pt idx="114">
                  <c:v>43319</c:v>
                </c:pt>
                <c:pt idx="115">
                  <c:v>43318</c:v>
                </c:pt>
                <c:pt idx="116">
                  <c:v>43315</c:v>
                </c:pt>
                <c:pt idx="117">
                  <c:v>43314</c:v>
                </c:pt>
                <c:pt idx="118">
                  <c:v>43313</c:v>
                </c:pt>
                <c:pt idx="119">
                  <c:v>43312</c:v>
                </c:pt>
                <c:pt idx="120">
                  <c:v>43311</c:v>
                </c:pt>
                <c:pt idx="121">
                  <c:v>43308</c:v>
                </c:pt>
                <c:pt idx="122">
                  <c:v>43307</c:v>
                </c:pt>
                <c:pt idx="123">
                  <c:v>43306</c:v>
                </c:pt>
                <c:pt idx="124">
                  <c:v>43305</c:v>
                </c:pt>
                <c:pt idx="125">
                  <c:v>43304</c:v>
                </c:pt>
                <c:pt idx="126">
                  <c:v>43301</c:v>
                </c:pt>
                <c:pt idx="127">
                  <c:v>43300</c:v>
                </c:pt>
                <c:pt idx="128">
                  <c:v>43299</c:v>
                </c:pt>
                <c:pt idx="129">
                  <c:v>43298</c:v>
                </c:pt>
                <c:pt idx="130">
                  <c:v>43297</c:v>
                </c:pt>
                <c:pt idx="131">
                  <c:v>43294</c:v>
                </c:pt>
                <c:pt idx="132">
                  <c:v>43293</c:v>
                </c:pt>
                <c:pt idx="133">
                  <c:v>43292</c:v>
                </c:pt>
                <c:pt idx="134">
                  <c:v>43291</c:v>
                </c:pt>
                <c:pt idx="135">
                  <c:v>43290</c:v>
                </c:pt>
                <c:pt idx="136">
                  <c:v>43287</c:v>
                </c:pt>
                <c:pt idx="137">
                  <c:v>43286</c:v>
                </c:pt>
                <c:pt idx="138">
                  <c:v>43285</c:v>
                </c:pt>
                <c:pt idx="139">
                  <c:v>43284</c:v>
                </c:pt>
                <c:pt idx="140">
                  <c:v>43283</c:v>
                </c:pt>
                <c:pt idx="141">
                  <c:v>43280</c:v>
                </c:pt>
                <c:pt idx="142">
                  <c:v>43279</c:v>
                </c:pt>
                <c:pt idx="143">
                  <c:v>43278</c:v>
                </c:pt>
                <c:pt idx="144">
                  <c:v>43277</c:v>
                </c:pt>
                <c:pt idx="145">
                  <c:v>43276</c:v>
                </c:pt>
                <c:pt idx="146">
                  <c:v>43273</c:v>
                </c:pt>
                <c:pt idx="147">
                  <c:v>43272</c:v>
                </c:pt>
                <c:pt idx="148">
                  <c:v>43271</c:v>
                </c:pt>
                <c:pt idx="149">
                  <c:v>43270</c:v>
                </c:pt>
                <c:pt idx="150">
                  <c:v>43269</c:v>
                </c:pt>
                <c:pt idx="151">
                  <c:v>43266</c:v>
                </c:pt>
                <c:pt idx="152">
                  <c:v>43265</c:v>
                </c:pt>
                <c:pt idx="153">
                  <c:v>43264</c:v>
                </c:pt>
                <c:pt idx="154">
                  <c:v>43263</c:v>
                </c:pt>
                <c:pt idx="155">
                  <c:v>43262</c:v>
                </c:pt>
                <c:pt idx="156">
                  <c:v>43259</c:v>
                </c:pt>
                <c:pt idx="157">
                  <c:v>43258</c:v>
                </c:pt>
                <c:pt idx="158">
                  <c:v>43257</c:v>
                </c:pt>
                <c:pt idx="159">
                  <c:v>43256</c:v>
                </c:pt>
                <c:pt idx="160">
                  <c:v>43255</c:v>
                </c:pt>
                <c:pt idx="161">
                  <c:v>43252</c:v>
                </c:pt>
                <c:pt idx="162">
                  <c:v>43251</c:v>
                </c:pt>
                <c:pt idx="163">
                  <c:v>43250</c:v>
                </c:pt>
                <c:pt idx="164">
                  <c:v>43249</c:v>
                </c:pt>
                <c:pt idx="165">
                  <c:v>43248</c:v>
                </c:pt>
                <c:pt idx="166">
                  <c:v>43245</c:v>
                </c:pt>
                <c:pt idx="167">
                  <c:v>43244</c:v>
                </c:pt>
                <c:pt idx="168">
                  <c:v>43243</c:v>
                </c:pt>
                <c:pt idx="169">
                  <c:v>43242</c:v>
                </c:pt>
                <c:pt idx="170">
                  <c:v>43241</c:v>
                </c:pt>
                <c:pt idx="171">
                  <c:v>43238</c:v>
                </c:pt>
                <c:pt idx="172">
                  <c:v>43237</c:v>
                </c:pt>
                <c:pt idx="173">
                  <c:v>43236</c:v>
                </c:pt>
                <c:pt idx="174">
                  <c:v>43235</c:v>
                </c:pt>
                <c:pt idx="175">
                  <c:v>43234</c:v>
                </c:pt>
                <c:pt idx="176">
                  <c:v>43231</c:v>
                </c:pt>
                <c:pt idx="177">
                  <c:v>43230</c:v>
                </c:pt>
                <c:pt idx="178">
                  <c:v>43229</c:v>
                </c:pt>
                <c:pt idx="179">
                  <c:v>43228</c:v>
                </c:pt>
                <c:pt idx="180">
                  <c:v>43227</c:v>
                </c:pt>
                <c:pt idx="181">
                  <c:v>43224</c:v>
                </c:pt>
                <c:pt idx="182">
                  <c:v>43223</c:v>
                </c:pt>
                <c:pt idx="183">
                  <c:v>43222</c:v>
                </c:pt>
                <c:pt idx="184">
                  <c:v>43221</c:v>
                </c:pt>
                <c:pt idx="185">
                  <c:v>43220</c:v>
                </c:pt>
                <c:pt idx="186">
                  <c:v>43217</c:v>
                </c:pt>
                <c:pt idx="187">
                  <c:v>43216</c:v>
                </c:pt>
                <c:pt idx="188">
                  <c:v>43215</c:v>
                </c:pt>
                <c:pt idx="189">
                  <c:v>43214</c:v>
                </c:pt>
                <c:pt idx="190">
                  <c:v>43213</c:v>
                </c:pt>
                <c:pt idx="191">
                  <c:v>43210</c:v>
                </c:pt>
                <c:pt idx="192">
                  <c:v>43209</c:v>
                </c:pt>
                <c:pt idx="193">
                  <c:v>43208</c:v>
                </c:pt>
                <c:pt idx="194">
                  <c:v>43207</c:v>
                </c:pt>
                <c:pt idx="195">
                  <c:v>43206</c:v>
                </c:pt>
                <c:pt idx="196">
                  <c:v>43203</c:v>
                </c:pt>
                <c:pt idx="197">
                  <c:v>43202</c:v>
                </c:pt>
                <c:pt idx="198">
                  <c:v>43201</c:v>
                </c:pt>
                <c:pt idx="199">
                  <c:v>43200</c:v>
                </c:pt>
                <c:pt idx="200">
                  <c:v>43199</c:v>
                </c:pt>
                <c:pt idx="201">
                  <c:v>43196</c:v>
                </c:pt>
                <c:pt idx="202">
                  <c:v>43195</c:v>
                </c:pt>
                <c:pt idx="203">
                  <c:v>43194</c:v>
                </c:pt>
                <c:pt idx="204">
                  <c:v>43193</c:v>
                </c:pt>
                <c:pt idx="205">
                  <c:v>43192</c:v>
                </c:pt>
                <c:pt idx="206">
                  <c:v>43189</c:v>
                </c:pt>
                <c:pt idx="207">
                  <c:v>43188</c:v>
                </c:pt>
                <c:pt idx="208">
                  <c:v>43187</c:v>
                </c:pt>
                <c:pt idx="209">
                  <c:v>43186</c:v>
                </c:pt>
                <c:pt idx="210">
                  <c:v>43185</c:v>
                </c:pt>
                <c:pt idx="211">
                  <c:v>43182</c:v>
                </c:pt>
                <c:pt idx="212">
                  <c:v>43181</c:v>
                </c:pt>
                <c:pt idx="213">
                  <c:v>43180</c:v>
                </c:pt>
                <c:pt idx="214">
                  <c:v>43179</c:v>
                </c:pt>
                <c:pt idx="215">
                  <c:v>43178</c:v>
                </c:pt>
                <c:pt idx="216">
                  <c:v>43175</c:v>
                </c:pt>
                <c:pt idx="217">
                  <c:v>43174</c:v>
                </c:pt>
                <c:pt idx="218">
                  <c:v>43173</c:v>
                </c:pt>
                <c:pt idx="219">
                  <c:v>43172</c:v>
                </c:pt>
                <c:pt idx="220">
                  <c:v>43171</c:v>
                </c:pt>
                <c:pt idx="221">
                  <c:v>43168</c:v>
                </c:pt>
                <c:pt idx="222">
                  <c:v>43167</c:v>
                </c:pt>
                <c:pt idx="223">
                  <c:v>43166</c:v>
                </c:pt>
                <c:pt idx="224">
                  <c:v>43165</c:v>
                </c:pt>
                <c:pt idx="225">
                  <c:v>43164</c:v>
                </c:pt>
                <c:pt idx="226">
                  <c:v>43161</c:v>
                </c:pt>
                <c:pt idx="227">
                  <c:v>43160</c:v>
                </c:pt>
                <c:pt idx="228">
                  <c:v>43159</c:v>
                </c:pt>
                <c:pt idx="229">
                  <c:v>43158</c:v>
                </c:pt>
                <c:pt idx="230">
                  <c:v>43157</c:v>
                </c:pt>
                <c:pt idx="231">
                  <c:v>43154</c:v>
                </c:pt>
                <c:pt idx="232">
                  <c:v>43153</c:v>
                </c:pt>
                <c:pt idx="233">
                  <c:v>43152</c:v>
                </c:pt>
                <c:pt idx="234">
                  <c:v>43143</c:v>
                </c:pt>
                <c:pt idx="235">
                  <c:v>43140</c:v>
                </c:pt>
                <c:pt idx="236">
                  <c:v>43139</c:v>
                </c:pt>
                <c:pt idx="237">
                  <c:v>43138</c:v>
                </c:pt>
                <c:pt idx="238">
                  <c:v>43137</c:v>
                </c:pt>
                <c:pt idx="239">
                  <c:v>43136</c:v>
                </c:pt>
                <c:pt idx="240">
                  <c:v>43133</c:v>
                </c:pt>
                <c:pt idx="241">
                  <c:v>43132</c:v>
                </c:pt>
                <c:pt idx="242">
                  <c:v>43131</c:v>
                </c:pt>
                <c:pt idx="243">
                  <c:v>43130</c:v>
                </c:pt>
                <c:pt idx="244">
                  <c:v>43129</c:v>
                </c:pt>
                <c:pt idx="245">
                  <c:v>43126</c:v>
                </c:pt>
                <c:pt idx="246">
                  <c:v>43125</c:v>
                </c:pt>
                <c:pt idx="247">
                  <c:v>43124</c:v>
                </c:pt>
                <c:pt idx="248">
                  <c:v>43123</c:v>
                </c:pt>
                <c:pt idx="249">
                  <c:v>43122</c:v>
                </c:pt>
                <c:pt idx="250">
                  <c:v>43119</c:v>
                </c:pt>
                <c:pt idx="251">
                  <c:v>43118</c:v>
                </c:pt>
                <c:pt idx="252">
                  <c:v>43117</c:v>
                </c:pt>
                <c:pt idx="253">
                  <c:v>43116</c:v>
                </c:pt>
                <c:pt idx="254">
                  <c:v>43115</c:v>
                </c:pt>
                <c:pt idx="255">
                  <c:v>43112</c:v>
                </c:pt>
                <c:pt idx="256">
                  <c:v>43111</c:v>
                </c:pt>
                <c:pt idx="257">
                  <c:v>43110</c:v>
                </c:pt>
                <c:pt idx="258">
                  <c:v>43109</c:v>
                </c:pt>
                <c:pt idx="259">
                  <c:v>43108</c:v>
                </c:pt>
                <c:pt idx="260">
                  <c:v>43105</c:v>
                </c:pt>
                <c:pt idx="261">
                  <c:v>43104</c:v>
                </c:pt>
                <c:pt idx="262">
                  <c:v>43103</c:v>
                </c:pt>
                <c:pt idx="263">
                  <c:v>43102</c:v>
                </c:pt>
                <c:pt idx="264">
                  <c:v>43101</c:v>
                </c:pt>
                <c:pt idx="265">
                  <c:v>43098</c:v>
                </c:pt>
                <c:pt idx="266">
                  <c:v>43097</c:v>
                </c:pt>
                <c:pt idx="267">
                  <c:v>43096</c:v>
                </c:pt>
                <c:pt idx="268">
                  <c:v>43095</c:v>
                </c:pt>
                <c:pt idx="269">
                  <c:v>43094</c:v>
                </c:pt>
                <c:pt idx="270">
                  <c:v>43091</c:v>
                </c:pt>
                <c:pt idx="271">
                  <c:v>43090</c:v>
                </c:pt>
                <c:pt idx="272">
                  <c:v>43089</c:v>
                </c:pt>
                <c:pt idx="273">
                  <c:v>43088</c:v>
                </c:pt>
                <c:pt idx="274">
                  <c:v>43087</c:v>
                </c:pt>
                <c:pt idx="275">
                  <c:v>43084</c:v>
                </c:pt>
                <c:pt idx="276">
                  <c:v>43083</c:v>
                </c:pt>
                <c:pt idx="277">
                  <c:v>43082</c:v>
                </c:pt>
                <c:pt idx="278">
                  <c:v>43081</c:v>
                </c:pt>
                <c:pt idx="279">
                  <c:v>43080</c:v>
                </c:pt>
                <c:pt idx="280">
                  <c:v>43077</c:v>
                </c:pt>
                <c:pt idx="281">
                  <c:v>43076</c:v>
                </c:pt>
                <c:pt idx="282">
                  <c:v>43075</c:v>
                </c:pt>
                <c:pt idx="283">
                  <c:v>43074</c:v>
                </c:pt>
                <c:pt idx="284">
                  <c:v>43073</c:v>
                </c:pt>
                <c:pt idx="285">
                  <c:v>43070</c:v>
                </c:pt>
                <c:pt idx="286">
                  <c:v>43069</c:v>
                </c:pt>
                <c:pt idx="287">
                  <c:v>43068</c:v>
                </c:pt>
                <c:pt idx="288">
                  <c:v>43067</c:v>
                </c:pt>
                <c:pt idx="289">
                  <c:v>43066</c:v>
                </c:pt>
                <c:pt idx="290">
                  <c:v>43063</c:v>
                </c:pt>
                <c:pt idx="291">
                  <c:v>43062</c:v>
                </c:pt>
                <c:pt idx="292">
                  <c:v>43061</c:v>
                </c:pt>
                <c:pt idx="293">
                  <c:v>43060</c:v>
                </c:pt>
                <c:pt idx="294">
                  <c:v>43059</c:v>
                </c:pt>
                <c:pt idx="295">
                  <c:v>43056</c:v>
                </c:pt>
                <c:pt idx="296">
                  <c:v>43055</c:v>
                </c:pt>
                <c:pt idx="297">
                  <c:v>43054</c:v>
                </c:pt>
                <c:pt idx="298">
                  <c:v>43053</c:v>
                </c:pt>
                <c:pt idx="299">
                  <c:v>43052</c:v>
                </c:pt>
                <c:pt idx="300">
                  <c:v>43049</c:v>
                </c:pt>
                <c:pt idx="301">
                  <c:v>43048</c:v>
                </c:pt>
                <c:pt idx="302">
                  <c:v>43047</c:v>
                </c:pt>
                <c:pt idx="303">
                  <c:v>43046</c:v>
                </c:pt>
                <c:pt idx="304">
                  <c:v>43045</c:v>
                </c:pt>
                <c:pt idx="305">
                  <c:v>43042</c:v>
                </c:pt>
                <c:pt idx="306">
                  <c:v>43041</c:v>
                </c:pt>
                <c:pt idx="307">
                  <c:v>43040</c:v>
                </c:pt>
                <c:pt idx="308">
                  <c:v>43039</c:v>
                </c:pt>
                <c:pt idx="309">
                  <c:v>43038</c:v>
                </c:pt>
                <c:pt idx="310">
                  <c:v>43035</c:v>
                </c:pt>
                <c:pt idx="311">
                  <c:v>43034</c:v>
                </c:pt>
                <c:pt idx="312">
                  <c:v>43033</c:v>
                </c:pt>
                <c:pt idx="313">
                  <c:v>43032</c:v>
                </c:pt>
                <c:pt idx="314">
                  <c:v>43031</c:v>
                </c:pt>
                <c:pt idx="315">
                  <c:v>43028</c:v>
                </c:pt>
                <c:pt idx="316">
                  <c:v>43027</c:v>
                </c:pt>
                <c:pt idx="317">
                  <c:v>43026</c:v>
                </c:pt>
                <c:pt idx="318">
                  <c:v>43025</c:v>
                </c:pt>
                <c:pt idx="319">
                  <c:v>43024</c:v>
                </c:pt>
                <c:pt idx="320">
                  <c:v>43021</c:v>
                </c:pt>
                <c:pt idx="321">
                  <c:v>43020</c:v>
                </c:pt>
                <c:pt idx="322">
                  <c:v>43019</c:v>
                </c:pt>
                <c:pt idx="323">
                  <c:v>43018</c:v>
                </c:pt>
                <c:pt idx="324">
                  <c:v>43017</c:v>
                </c:pt>
                <c:pt idx="325">
                  <c:v>43014</c:v>
                </c:pt>
                <c:pt idx="326">
                  <c:v>43007</c:v>
                </c:pt>
                <c:pt idx="327">
                  <c:v>43006</c:v>
                </c:pt>
                <c:pt idx="328">
                  <c:v>43005</c:v>
                </c:pt>
                <c:pt idx="329">
                  <c:v>43004</c:v>
                </c:pt>
                <c:pt idx="330">
                  <c:v>43003</c:v>
                </c:pt>
                <c:pt idx="331">
                  <c:v>43000</c:v>
                </c:pt>
                <c:pt idx="332">
                  <c:v>42999</c:v>
                </c:pt>
                <c:pt idx="333">
                  <c:v>42998</c:v>
                </c:pt>
                <c:pt idx="334">
                  <c:v>42997</c:v>
                </c:pt>
                <c:pt idx="335">
                  <c:v>42996</c:v>
                </c:pt>
                <c:pt idx="336">
                  <c:v>42993</c:v>
                </c:pt>
                <c:pt idx="337">
                  <c:v>42992</c:v>
                </c:pt>
                <c:pt idx="338">
                  <c:v>42991</c:v>
                </c:pt>
                <c:pt idx="339">
                  <c:v>42990</c:v>
                </c:pt>
                <c:pt idx="340">
                  <c:v>42989</c:v>
                </c:pt>
                <c:pt idx="341">
                  <c:v>42986</c:v>
                </c:pt>
                <c:pt idx="342">
                  <c:v>42985</c:v>
                </c:pt>
                <c:pt idx="343">
                  <c:v>42984</c:v>
                </c:pt>
                <c:pt idx="344">
                  <c:v>42983</c:v>
                </c:pt>
                <c:pt idx="345">
                  <c:v>42982</c:v>
                </c:pt>
                <c:pt idx="346">
                  <c:v>42979</c:v>
                </c:pt>
                <c:pt idx="347">
                  <c:v>42978</c:v>
                </c:pt>
                <c:pt idx="348">
                  <c:v>42977</c:v>
                </c:pt>
                <c:pt idx="349">
                  <c:v>42976</c:v>
                </c:pt>
                <c:pt idx="350">
                  <c:v>42975</c:v>
                </c:pt>
                <c:pt idx="351">
                  <c:v>42972</c:v>
                </c:pt>
                <c:pt idx="352">
                  <c:v>42971</c:v>
                </c:pt>
                <c:pt idx="353">
                  <c:v>42970</c:v>
                </c:pt>
                <c:pt idx="354">
                  <c:v>42969</c:v>
                </c:pt>
                <c:pt idx="355">
                  <c:v>42968</c:v>
                </c:pt>
                <c:pt idx="356">
                  <c:v>42965</c:v>
                </c:pt>
                <c:pt idx="357">
                  <c:v>42964</c:v>
                </c:pt>
                <c:pt idx="358">
                  <c:v>42963</c:v>
                </c:pt>
                <c:pt idx="359">
                  <c:v>42962</c:v>
                </c:pt>
                <c:pt idx="360">
                  <c:v>42961</c:v>
                </c:pt>
                <c:pt idx="361">
                  <c:v>42958</c:v>
                </c:pt>
                <c:pt idx="362">
                  <c:v>42957</c:v>
                </c:pt>
                <c:pt idx="363">
                  <c:v>42956</c:v>
                </c:pt>
                <c:pt idx="364">
                  <c:v>42955</c:v>
                </c:pt>
                <c:pt idx="365">
                  <c:v>42954</c:v>
                </c:pt>
                <c:pt idx="366">
                  <c:v>42951</c:v>
                </c:pt>
                <c:pt idx="367">
                  <c:v>42950</c:v>
                </c:pt>
                <c:pt idx="368">
                  <c:v>42949</c:v>
                </c:pt>
                <c:pt idx="369">
                  <c:v>42948</c:v>
                </c:pt>
                <c:pt idx="370">
                  <c:v>42947</c:v>
                </c:pt>
                <c:pt idx="371">
                  <c:v>42944</c:v>
                </c:pt>
                <c:pt idx="372">
                  <c:v>42943</c:v>
                </c:pt>
                <c:pt idx="373">
                  <c:v>42942</c:v>
                </c:pt>
                <c:pt idx="374">
                  <c:v>42941</c:v>
                </c:pt>
                <c:pt idx="375">
                  <c:v>42940</c:v>
                </c:pt>
                <c:pt idx="376">
                  <c:v>42937</c:v>
                </c:pt>
                <c:pt idx="377">
                  <c:v>42936</c:v>
                </c:pt>
                <c:pt idx="378">
                  <c:v>42935</c:v>
                </c:pt>
                <c:pt idx="379">
                  <c:v>42934</c:v>
                </c:pt>
                <c:pt idx="380">
                  <c:v>42933</c:v>
                </c:pt>
                <c:pt idx="381">
                  <c:v>42930</c:v>
                </c:pt>
                <c:pt idx="382">
                  <c:v>42929</c:v>
                </c:pt>
                <c:pt idx="383">
                  <c:v>42928</c:v>
                </c:pt>
                <c:pt idx="384">
                  <c:v>42927</c:v>
                </c:pt>
                <c:pt idx="385">
                  <c:v>42926</c:v>
                </c:pt>
                <c:pt idx="386">
                  <c:v>42923</c:v>
                </c:pt>
                <c:pt idx="387">
                  <c:v>42922</c:v>
                </c:pt>
                <c:pt idx="388">
                  <c:v>42921</c:v>
                </c:pt>
                <c:pt idx="389">
                  <c:v>42920</c:v>
                </c:pt>
                <c:pt idx="390">
                  <c:v>42919</c:v>
                </c:pt>
                <c:pt idx="391">
                  <c:v>42916</c:v>
                </c:pt>
                <c:pt idx="392">
                  <c:v>42915</c:v>
                </c:pt>
                <c:pt idx="393">
                  <c:v>42914</c:v>
                </c:pt>
                <c:pt idx="394">
                  <c:v>42913</c:v>
                </c:pt>
                <c:pt idx="395">
                  <c:v>42912</c:v>
                </c:pt>
                <c:pt idx="396">
                  <c:v>42909</c:v>
                </c:pt>
                <c:pt idx="397">
                  <c:v>42908</c:v>
                </c:pt>
                <c:pt idx="398">
                  <c:v>42907</c:v>
                </c:pt>
                <c:pt idx="399">
                  <c:v>42906</c:v>
                </c:pt>
                <c:pt idx="400">
                  <c:v>42905</c:v>
                </c:pt>
                <c:pt idx="401">
                  <c:v>42902</c:v>
                </c:pt>
                <c:pt idx="402">
                  <c:v>42901</c:v>
                </c:pt>
                <c:pt idx="403">
                  <c:v>42900</c:v>
                </c:pt>
                <c:pt idx="404">
                  <c:v>42899</c:v>
                </c:pt>
                <c:pt idx="405">
                  <c:v>42898</c:v>
                </c:pt>
                <c:pt idx="406">
                  <c:v>42895</c:v>
                </c:pt>
                <c:pt idx="407">
                  <c:v>42894</c:v>
                </c:pt>
                <c:pt idx="408">
                  <c:v>42893</c:v>
                </c:pt>
                <c:pt idx="409">
                  <c:v>42892</c:v>
                </c:pt>
                <c:pt idx="410">
                  <c:v>42891</c:v>
                </c:pt>
                <c:pt idx="411">
                  <c:v>42888</c:v>
                </c:pt>
                <c:pt idx="412">
                  <c:v>42887</c:v>
                </c:pt>
                <c:pt idx="413">
                  <c:v>42886</c:v>
                </c:pt>
                <c:pt idx="414">
                  <c:v>42885</c:v>
                </c:pt>
                <c:pt idx="415">
                  <c:v>42884</c:v>
                </c:pt>
                <c:pt idx="416">
                  <c:v>42881</c:v>
                </c:pt>
                <c:pt idx="417">
                  <c:v>42880</c:v>
                </c:pt>
                <c:pt idx="418">
                  <c:v>42879</c:v>
                </c:pt>
                <c:pt idx="419">
                  <c:v>42878</c:v>
                </c:pt>
                <c:pt idx="420">
                  <c:v>42877</c:v>
                </c:pt>
                <c:pt idx="421">
                  <c:v>42874</c:v>
                </c:pt>
                <c:pt idx="422">
                  <c:v>42873</c:v>
                </c:pt>
                <c:pt idx="423">
                  <c:v>42872</c:v>
                </c:pt>
                <c:pt idx="424">
                  <c:v>42871</c:v>
                </c:pt>
                <c:pt idx="425">
                  <c:v>42870</c:v>
                </c:pt>
                <c:pt idx="426">
                  <c:v>42867</c:v>
                </c:pt>
                <c:pt idx="427">
                  <c:v>42866</c:v>
                </c:pt>
                <c:pt idx="428">
                  <c:v>42865</c:v>
                </c:pt>
                <c:pt idx="429">
                  <c:v>42864</c:v>
                </c:pt>
                <c:pt idx="430">
                  <c:v>42863</c:v>
                </c:pt>
                <c:pt idx="431">
                  <c:v>42860</c:v>
                </c:pt>
                <c:pt idx="432">
                  <c:v>42859</c:v>
                </c:pt>
                <c:pt idx="433">
                  <c:v>42858</c:v>
                </c:pt>
                <c:pt idx="434">
                  <c:v>42857</c:v>
                </c:pt>
                <c:pt idx="435">
                  <c:v>42856</c:v>
                </c:pt>
                <c:pt idx="436">
                  <c:v>42853</c:v>
                </c:pt>
                <c:pt idx="437">
                  <c:v>42852</c:v>
                </c:pt>
                <c:pt idx="438">
                  <c:v>42851</c:v>
                </c:pt>
                <c:pt idx="439">
                  <c:v>42850</c:v>
                </c:pt>
                <c:pt idx="440">
                  <c:v>42849</c:v>
                </c:pt>
                <c:pt idx="441">
                  <c:v>42846</c:v>
                </c:pt>
                <c:pt idx="442">
                  <c:v>42845</c:v>
                </c:pt>
                <c:pt idx="443">
                  <c:v>42844</c:v>
                </c:pt>
                <c:pt idx="444">
                  <c:v>42843</c:v>
                </c:pt>
                <c:pt idx="445">
                  <c:v>42842</c:v>
                </c:pt>
                <c:pt idx="446">
                  <c:v>42838</c:v>
                </c:pt>
                <c:pt idx="447">
                  <c:v>42837</c:v>
                </c:pt>
                <c:pt idx="448">
                  <c:v>42836</c:v>
                </c:pt>
                <c:pt idx="449">
                  <c:v>42835</c:v>
                </c:pt>
                <c:pt idx="450">
                  <c:v>42832</c:v>
                </c:pt>
                <c:pt idx="451">
                  <c:v>42831</c:v>
                </c:pt>
                <c:pt idx="452">
                  <c:v>42830</c:v>
                </c:pt>
                <c:pt idx="453">
                  <c:v>42829</c:v>
                </c:pt>
                <c:pt idx="454">
                  <c:v>42828</c:v>
                </c:pt>
                <c:pt idx="455">
                  <c:v>42825</c:v>
                </c:pt>
                <c:pt idx="456">
                  <c:v>42824</c:v>
                </c:pt>
                <c:pt idx="457">
                  <c:v>42823</c:v>
                </c:pt>
                <c:pt idx="458">
                  <c:v>42822</c:v>
                </c:pt>
                <c:pt idx="459">
                  <c:v>42821</c:v>
                </c:pt>
                <c:pt idx="460">
                  <c:v>42818</c:v>
                </c:pt>
                <c:pt idx="461">
                  <c:v>42817</c:v>
                </c:pt>
                <c:pt idx="462">
                  <c:v>42816</c:v>
                </c:pt>
                <c:pt idx="463">
                  <c:v>42815</c:v>
                </c:pt>
                <c:pt idx="464">
                  <c:v>42814</c:v>
                </c:pt>
                <c:pt idx="465">
                  <c:v>42811</c:v>
                </c:pt>
                <c:pt idx="466">
                  <c:v>42810</c:v>
                </c:pt>
                <c:pt idx="467">
                  <c:v>42809</c:v>
                </c:pt>
                <c:pt idx="468">
                  <c:v>42808</c:v>
                </c:pt>
                <c:pt idx="469">
                  <c:v>42807</c:v>
                </c:pt>
                <c:pt idx="470">
                  <c:v>42804</c:v>
                </c:pt>
                <c:pt idx="471">
                  <c:v>42803</c:v>
                </c:pt>
                <c:pt idx="472">
                  <c:v>42802</c:v>
                </c:pt>
                <c:pt idx="473">
                  <c:v>42801</c:v>
                </c:pt>
                <c:pt idx="474">
                  <c:v>42800</c:v>
                </c:pt>
                <c:pt idx="475">
                  <c:v>42797</c:v>
                </c:pt>
                <c:pt idx="476">
                  <c:v>42796</c:v>
                </c:pt>
                <c:pt idx="477">
                  <c:v>42795</c:v>
                </c:pt>
                <c:pt idx="478">
                  <c:v>42794</c:v>
                </c:pt>
                <c:pt idx="479">
                  <c:v>42793</c:v>
                </c:pt>
                <c:pt idx="480">
                  <c:v>42790</c:v>
                </c:pt>
                <c:pt idx="481">
                  <c:v>42789</c:v>
                </c:pt>
                <c:pt idx="482">
                  <c:v>42788</c:v>
                </c:pt>
                <c:pt idx="483">
                  <c:v>42787</c:v>
                </c:pt>
                <c:pt idx="484">
                  <c:v>42786</c:v>
                </c:pt>
                <c:pt idx="485">
                  <c:v>42783</c:v>
                </c:pt>
                <c:pt idx="486">
                  <c:v>42782</c:v>
                </c:pt>
                <c:pt idx="487">
                  <c:v>42781</c:v>
                </c:pt>
                <c:pt idx="488">
                  <c:v>42780</c:v>
                </c:pt>
                <c:pt idx="489">
                  <c:v>42779</c:v>
                </c:pt>
                <c:pt idx="490">
                  <c:v>42776</c:v>
                </c:pt>
                <c:pt idx="491">
                  <c:v>42775</c:v>
                </c:pt>
                <c:pt idx="492">
                  <c:v>42774</c:v>
                </c:pt>
                <c:pt idx="493">
                  <c:v>42773</c:v>
                </c:pt>
                <c:pt idx="494">
                  <c:v>42772</c:v>
                </c:pt>
                <c:pt idx="495">
                  <c:v>42769</c:v>
                </c:pt>
                <c:pt idx="496">
                  <c:v>42768</c:v>
                </c:pt>
                <c:pt idx="497">
                  <c:v>42767</c:v>
                </c:pt>
                <c:pt idx="498">
                  <c:v>42766</c:v>
                </c:pt>
                <c:pt idx="499">
                  <c:v>42765</c:v>
                </c:pt>
                <c:pt idx="500">
                  <c:v>42762</c:v>
                </c:pt>
                <c:pt idx="501">
                  <c:v>42761</c:v>
                </c:pt>
                <c:pt idx="502">
                  <c:v>42760</c:v>
                </c:pt>
                <c:pt idx="503">
                  <c:v>42759</c:v>
                </c:pt>
                <c:pt idx="504">
                  <c:v>42758</c:v>
                </c:pt>
                <c:pt idx="505">
                  <c:v>42755</c:v>
                </c:pt>
                <c:pt idx="506">
                  <c:v>42754</c:v>
                </c:pt>
                <c:pt idx="507">
                  <c:v>42753</c:v>
                </c:pt>
                <c:pt idx="508">
                  <c:v>42752</c:v>
                </c:pt>
                <c:pt idx="509">
                  <c:v>42751</c:v>
                </c:pt>
                <c:pt idx="510">
                  <c:v>42748</c:v>
                </c:pt>
                <c:pt idx="511">
                  <c:v>42747</c:v>
                </c:pt>
                <c:pt idx="512">
                  <c:v>42746</c:v>
                </c:pt>
                <c:pt idx="513">
                  <c:v>42745</c:v>
                </c:pt>
                <c:pt idx="514">
                  <c:v>42744</c:v>
                </c:pt>
                <c:pt idx="515">
                  <c:v>42741</c:v>
                </c:pt>
                <c:pt idx="516">
                  <c:v>42740</c:v>
                </c:pt>
                <c:pt idx="517">
                  <c:v>42739</c:v>
                </c:pt>
                <c:pt idx="518">
                  <c:v>42738</c:v>
                </c:pt>
                <c:pt idx="519">
                  <c:v>42734</c:v>
                </c:pt>
                <c:pt idx="520">
                  <c:v>42733</c:v>
                </c:pt>
                <c:pt idx="521">
                  <c:v>42732</c:v>
                </c:pt>
                <c:pt idx="522">
                  <c:v>42731</c:v>
                </c:pt>
                <c:pt idx="523">
                  <c:v>42727</c:v>
                </c:pt>
                <c:pt idx="524">
                  <c:v>42726</c:v>
                </c:pt>
                <c:pt idx="525">
                  <c:v>42725</c:v>
                </c:pt>
                <c:pt idx="526">
                  <c:v>42724</c:v>
                </c:pt>
                <c:pt idx="527">
                  <c:v>42723</c:v>
                </c:pt>
                <c:pt idx="528">
                  <c:v>42720</c:v>
                </c:pt>
                <c:pt idx="529">
                  <c:v>42719</c:v>
                </c:pt>
                <c:pt idx="530">
                  <c:v>42718</c:v>
                </c:pt>
                <c:pt idx="531">
                  <c:v>42717</c:v>
                </c:pt>
                <c:pt idx="532">
                  <c:v>42716</c:v>
                </c:pt>
                <c:pt idx="533">
                  <c:v>42713</c:v>
                </c:pt>
                <c:pt idx="534">
                  <c:v>42712</c:v>
                </c:pt>
                <c:pt idx="535">
                  <c:v>42711</c:v>
                </c:pt>
                <c:pt idx="536">
                  <c:v>42710</c:v>
                </c:pt>
                <c:pt idx="537">
                  <c:v>42709</c:v>
                </c:pt>
                <c:pt idx="538">
                  <c:v>42706</c:v>
                </c:pt>
                <c:pt idx="539">
                  <c:v>42705</c:v>
                </c:pt>
                <c:pt idx="540">
                  <c:v>42704</c:v>
                </c:pt>
                <c:pt idx="541">
                  <c:v>42703</c:v>
                </c:pt>
                <c:pt idx="542">
                  <c:v>42702</c:v>
                </c:pt>
                <c:pt idx="543">
                  <c:v>42699</c:v>
                </c:pt>
                <c:pt idx="544">
                  <c:v>42698</c:v>
                </c:pt>
                <c:pt idx="545">
                  <c:v>42697</c:v>
                </c:pt>
                <c:pt idx="546">
                  <c:v>42696</c:v>
                </c:pt>
                <c:pt idx="547">
                  <c:v>42695</c:v>
                </c:pt>
                <c:pt idx="548">
                  <c:v>42692</c:v>
                </c:pt>
                <c:pt idx="549">
                  <c:v>42691</c:v>
                </c:pt>
                <c:pt idx="550">
                  <c:v>42690</c:v>
                </c:pt>
                <c:pt idx="551">
                  <c:v>42689</c:v>
                </c:pt>
                <c:pt idx="552">
                  <c:v>42688</c:v>
                </c:pt>
                <c:pt idx="553">
                  <c:v>42685</c:v>
                </c:pt>
                <c:pt idx="554">
                  <c:v>42684</c:v>
                </c:pt>
                <c:pt idx="555">
                  <c:v>42683</c:v>
                </c:pt>
                <c:pt idx="556">
                  <c:v>42682</c:v>
                </c:pt>
                <c:pt idx="557">
                  <c:v>42681</c:v>
                </c:pt>
                <c:pt idx="558">
                  <c:v>42678</c:v>
                </c:pt>
                <c:pt idx="559">
                  <c:v>42677</c:v>
                </c:pt>
                <c:pt idx="560">
                  <c:v>42676</c:v>
                </c:pt>
                <c:pt idx="561">
                  <c:v>42675</c:v>
                </c:pt>
                <c:pt idx="562">
                  <c:v>42674</c:v>
                </c:pt>
                <c:pt idx="563">
                  <c:v>42671</c:v>
                </c:pt>
                <c:pt idx="564">
                  <c:v>42670</c:v>
                </c:pt>
                <c:pt idx="565">
                  <c:v>42669</c:v>
                </c:pt>
                <c:pt idx="566">
                  <c:v>42668</c:v>
                </c:pt>
                <c:pt idx="567">
                  <c:v>42667</c:v>
                </c:pt>
                <c:pt idx="568">
                  <c:v>42664</c:v>
                </c:pt>
                <c:pt idx="569">
                  <c:v>42663</c:v>
                </c:pt>
                <c:pt idx="570">
                  <c:v>42662</c:v>
                </c:pt>
                <c:pt idx="571">
                  <c:v>42661</c:v>
                </c:pt>
                <c:pt idx="572">
                  <c:v>42660</c:v>
                </c:pt>
                <c:pt idx="573">
                  <c:v>42657</c:v>
                </c:pt>
                <c:pt idx="574">
                  <c:v>42656</c:v>
                </c:pt>
                <c:pt idx="575">
                  <c:v>42655</c:v>
                </c:pt>
                <c:pt idx="576">
                  <c:v>42654</c:v>
                </c:pt>
                <c:pt idx="577">
                  <c:v>42653</c:v>
                </c:pt>
                <c:pt idx="578">
                  <c:v>42650</c:v>
                </c:pt>
                <c:pt idx="579">
                  <c:v>42649</c:v>
                </c:pt>
                <c:pt idx="580">
                  <c:v>42648</c:v>
                </c:pt>
                <c:pt idx="581">
                  <c:v>42647</c:v>
                </c:pt>
                <c:pt idx="582">
                  <c:v>42646</c:v>
                </c:pt>
                <c:pt idx="583">
                  <c:v>42643</c:v>
                </c:pt>
                <c:pt idx="584">
                  <c:v>42642</c:v>
                </c:pt>
                <c:pt idx="585">
                  <c:v>42641</c:v>
                </c:pt>
                <c:pt idx="586">
                  <c:v>42640</c:v>
                </c:pt>
                <c:pt idx="587">
                  <c:v>42639</c:v>
                </c:pt>
                <c:pt idx="588">
                  <c:v>42636</c:v>
                </c:pt>
                <c:pt idx="589">
                  <c:v>42635</c:v>
                </c:pt>
                <c:pt idx="590">
                  <c:v>42634</c:v>
                </c:pt>
                <c:pt idx="591">
                  <c:v>42633</c:v>
                </c:pt>
                <c:pt idx="592">
                  <c:v>42632</c:v>
                </c:pt>
                <c:pt idx="593">
                  <c:v>42629</c:v>
                </c:pt>
                <c:pt idx="594">
                  <c:v>42628</c:v>
                </c:pt>
                <c:pt idx="595">
                  <c:v>42627</c:v>
                </c:pt>
                <c:pt idx="596">
                  <c:v>42626</c:v>
                </c:pt>
                <c:pt idx="597">
                  <c:v>42625</c:v>
                </c:pt>
                <c:pt idx="598">
                  <c:v>42622</c:v>
                </c:pt>
                <c:pt idx="599">
                  <c:v>42621</c:v>
                </c:pt>
                <c:pt idx="600">
                  <c:v>42620</c:v>
                </c:pt>
                <c:pt idx="601">
                  <c:v>42619</c:v>
                </c:pt>
                <c:pt idx="602">
                  <c:v>42618</c:v>
                </c:pt>
                <c:pt idx="603">
                  <c:v>42615</c:v>
                </c:pt>
                <c:pt idx="604">
                  <c:v>42614</c:v>
                </c:pt>
                <c:pt idx="605">
                  <c:v>42613</c:v>
                </c:pt>
                <c:pt idx="606">
                  <c:v>42612</c:v>
                </c:pt>
                <c:pt idx="607">
                  <c:v>42611</c:v>
                </c:pt>
                <c:pt idx="608">
                  <c:v>42608</c:v>
                </c:pt>
                <c:pt idx="609">
                  <c:v>42607</c:v>
                </c:pt>
                <c:pt idx="610">
                  <c:v>42606</c:v>
                </c:pt>
                <c:pt idx="611">
                  <c:v>42605</c:v>
                </c:pt>
                <c:pt idx="612">
                  <c:v>42604</c:v>
                </c:pt>
                <c:pt idx="613">
                  <c:v>42601</c:v>
                </c:pt>
                <c:pt idx="614">
                  <c:v>42600</c:v>
                </c:pt>
                <c:pt idx="615">
                  <c:v>42599</c:v>
                </c:pt>
                <c:pt idx="616">
                  <c:v>42598</c:v>
                </c:pt>
                <c:pt idx="617">
                  <c:v>42597</c:v>
                </c:pt>
                <c:pt idx="618">
                  <c:v>42594</c:v>
                </c:pt>
                <c:pt idx="619">
                  <c:v>42593</c:v>
                </c:pt>
                <c:pt idx="620">
                  <c:v>42592</c:v>
                </c:pt>
                <c:pt idx="621">
                  <c:v>42591</c:v>
                </c:pt>
                <c:pt idx="622">
                  <c:v>42590</c:v>
                </c:pt>
                <c:pt idx="623">
                  <c:v>42587</c:v>
                </c:pt>
                <c:pt idx="624">
                  <c:v>42586</c:v>
                </c:pt>
                <c:pt idx="625">
                  <c:v>42585</c:v>
                </c:pt>
                <c:pt idx="626">
                  <c:v>42584</c:v>
                </c:pt>
                <c:pt idx="627">
                  <c:v>42583</c:v>
                </c:pt>
                <c:pt idx="628">
                  <c:v>42580</c:v>
                </c:pt>
                <c:pt idx="629">
                  <c:v>42579</c:v>
                </c:pt>
                <c:pt idx="630">
                  <c:v>42578</c:v>
                </c:pt>
                <c:pt idx="631">
                  <c:v>42577</c:v>
                </c:pt>
                <c:pt idx="632">
                  <c:v>42576</c:v>
                </c:pt>
                <c:pt idx="633">
                  <c:v>42573</c:v>
                </c:pt>
                <c:pt idx="634">
                  <c:v>42572</c:v>
                </c:pt>
                <c:pt idx="635">
                  <c:v>42571</c:v>
                </c:pt>
                <c:pt idx="636">
                  <c:v>42570</c:v>
                </c:pt>
                <c:pt idx="637">
                  <c:v>42569</c:v>
                </c:pt>
                <c:pt idx="638">
                  <c:v>42566</c:v>
                </c:pt>
                <c:pt idx="639">
                  <c:v>42565</c:v>
                </c:pt>
                <c:pt idx="640">
                  <c:v>42564</c:v>
                </c:pt>
                <c:pt idx="641">
                  <c:v>42563</c:v>
                </c:pt>
                <c:pt idx="642">
                  <c:v>42562</c:v>
                </c:pt>
                <c:pt idx="643">
                  <c:v>42559</c:v>
                </c:pt>
                <c:pt idx="644">
                  <c:v>42558</c:v>
                </c:pt>
                <c:pt idx="645">
                  <c:v>42557</c:v>
                </c:pt>
                <c:pt idx="646">
                  <c:v>42556</c:v>
                </c:pt>
                <c:pt idx="647">
                  <c:v>42555</c:v>
                </c:pt>
              </c:numCache>
            </c:numRef>
          </c:cat>
          <c:val>
            <c:numRef>
              <c:f>'世界-走势图'!$G$87:$G$696</c:f>
            </c:numRef>
          </c:val>
        </c:ser>
        <c:marker val="1"/>
        <c:axId val="201666560"/>
        <c:axId val="201668864"/>
      </c:lineChart>
      <c:dateAx>
        <c:axId val="201666560"/>
        <c:scaling>
          <c:orientation val="minMax"/>
          <c:max val="43544"/>
          <c:min val="43179"/>
        </c:scaling>
        <c:axPos val="b"/>
        <c:numFmt formatCode="yy/m/d;@" sourceLinked="0"/>
        <c:majorTickMark val="in"/>
        <c:tickLblPos val="nextTo"/>
        <c:spPr>
          <a:ln w="3175" cap="flat" cmpd="sng" algn="ctr">
            <a:solidFill>
              <a:srgbClr val="000000">
                <a:alpha val="100000"/>
              </a:srgbClr>
            </a:solidFill>
            <a:prstDash val="solid"/>
            <a:round/>
          </a:ln>
        </c:spPr>
        <c:txPr>
          <a:bodyPr rot="0" vert="horz"/>
          <a:lstStyle/>
          <a:p>
            <a:pPr>
              <a:defRPr sz="800" b="0" i="0" u="none" strike="noStrike" baseline="0">
                <a:solidFill>
                  <a:srgbClr val="000000"/>
                </a:solidFill>
                <a:latin typeface="Arial"/>
                <a:ea typeface="Arial"/>
                <a:cs typeface="Arial"/>
              </a:defRPr>
            </a:pPr>
            <a:endParaRPr lang="zh-CN"/>
          </a:p>
        </c:txPr>
        <c:crossAx val="201668864"/>
        <c:crossesAt val="20"/>
        <c:auto val="1"/>
        <c:lblOffset val="100"/>
        <c:baseTimeUnit val="days"/>
        <c:majorUnit val="2"/>
        <c:majorTimeUnit val="months"/>
        <c:minorUnit val="1"/>
        <c:minorTimeUnit val="days"/>
      </c:dateAx>
      <c:valAx>
        <c:axId val="201668864"/>
        <c:scaling>
          <c:orientation val="minMax"/>
          <c:max val="90"/>
          <c:min val="40"/>
        </c:scaling>
        <c:axPos val="l"/>
        <c:title>
          <c:tx>
            <c:rich>
              <a:bodyPr rot="0" vert="horz"/>
              <a:lstStyle/>
              <a:p>
                <a:pPr algn="ctr">
                  <a:defRPr sz="1100" b="0" i="0" u="none" strike="noStrike" baseline="0">
                    <a:solidFill>
                      <a:srgbClr val="000000"/>
                    </a:solidFill>
                    <a:latin typeface="宋体"/>
                    <a:ea typeface="宋体"/>
                    <a:cs typeface="宋体"/>
                  </a:defRPr>
                </a:pPr>
                <a:r>
                  <a:rPr lang="zh-CN" altLang="en-US" sz="975" b="0" i="0" strike="noStrike">
                    <a:solidFill>
                      <a:srgbClr val="000000"/>
                    </a:solidFill>
                    <a:latin typeface="宋体"/>
                    <a:ea typeface="宋体"/>
                  </a:rPr>
                  <a:t>美元</a:t>
                </a:r>
                <a:r>
                  <a:rPr lang="en-US" altLang="zh-CN" sz="975" b="0" i="0" strike="noStrike">
                    <a:solidFill>
                      <a:srgbClr val="000000"/>
                    </a:solidFill>
                    <a:latin typeface="宋体"/>
                    <a:ea typeface="宋体"/>
                  </a:rPr>
                  <a:t>/</a:t>
                </a:r>
                <a:r>
                  <a:rPr lang="zh-CN" altLang="en-US" sz="975" b="0" i="0" strike="noStrike">
                    <a:solidFill>
                      <a:srgbClr val="000000"/>
                    </a:solidFill>
                    <a:latin typeface="宋体"/>
                    <a:ea typeface="宋体"/>
                  </a:rPr>
                  <a:t>桶</a:t>
                </a:r>
              </a:p>
            </c:rich>
          </c:tx>
          <c:layout>
            <c:manualLayout>
              <c:xMode val="edge"/>
              <c:yMode val="edge"/>
              <c:x val="0.71025766145429003"/>
              <c:y val="0.16424896479220788"/>
            </c:manualLayout>
          </c:layout>
        </c:title>
        <c:numFmt formatCode="0_ " sourceLinked="0"/>
        <c:majorTickMark val="in"/>
        <c:tickLblPos val="nextTo"/>
        <c:spPr>
          <a:ln w="3175" cap="flat" cmpd="sng" algn="ctr">
            <a:solidFill>
              <a:srgbClr val="000000">
                <a:alpha val="100000"/>
              </a:srgbClr>
            </a:solidFill>
            <a:prstDash val="solid"/>
            <a:round/>
          </a:ln>
        </c:spPr>
        <c:txPr>
          <a:bodyPr rot="0" vert="horz"/>
          <a:lstStyle/>
          <a:p>
            <a:pPr>
              <a:defRPr sz="975" b="0" i="0" u="none" strike="noStrike" baseline="0">
                <a:solidFill>
                  <a:srgbClr val="000000"/>
                </a:solidFill>
                <a:latin typeface="Arial"/>
                <a:ea typeface="Arial"/>
                <a:cs typeface="Arial"/>
              </a:defRPr>
            </a:pPr>
            <a:endParaRPr lang="zh-CN"/>
          </a:p>
        </c:txPr>
        <c:crossAx val="201666560"/>
        <c:crossesAt val="42481"/>
        <c:crossBetween val="between"/>
        <c:majorUnit val="10"/>
        <c:minorUnit val="10"/>
      </c:valAx>
      <c:spPr>
        <a:noFill/>
        <a:ln w="25400">
          <a:noFill/>
        </a:ln>
      </c:spPr>
    </c:plotArea>
    <c:legend>
      <c:legendPos val="r"/>
      <c:layout>
        <c:manualLayout>
          <c:xMode val="edge"/>
          <c:yMode val="edge"/>
          <c:x val="0.16173154412036542"/>
          <c:y val="0.15473377816873721"/>
          <c:w val="0.17681656870355972"/>
          <c:h val="0.14232959299706074"/>
        </c:manualLayout>
      </c:layout>
      <c:spPr>
        <a:solidFill>
          <a:srgbClr val="FFFFFF">
            <a:alpha val="100000"/>
          </a:srgbClr>
        </a:solidFill>
        <a:ln w="3175">
          <a:noFill/>
        </a:ln>
      </c:spPr>
      <c:txPr>
        <a:bodyPr/>
        <a:lstStyle/>
        <a:p>
          <a:pPr>
            <a:defRPr sz="900" b="1" i="0" u="none" strike="noStrike" baseline="0">
              <a:solidFill>
                <a:srgbClr val="000000"/>
              </a:solidFill>
              <a:latin typeface="宋体"/>
              <a:ea typeface="宋体"/>
              <a:cs typeface="宋体"/>
            </a:defRPr>
          </a:pPr>
          <a:endParaRPr lang="zh-CN"/>
        </a:p>
      </c:txPr>
    </c:legend>
    <c:plotVisOnly val="1"/>
    <c:dispBlanksAs val="gap"/>
  </c:chart>
  <c:spPr>
    <a:solidFill>
      <a:srgbClr val="FFFFFF">
        <a:alpha val="100000"/>
      </a:srgbClr>
    </a:solidFill>
    <a:ln w="3175" cap="flat" cmpd="sng" algn="ctr">
      <a:noFill/>
      <a:prstDash val="solid"/>
      <a:round/>
    </a:ln>
  </c:spPr>
  <c:txPr>
    <a:bodyPr/>
    <a:lstStyle/>
    <a:p>
      <a:pPr>
        <a:defRPr sz="850"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宋体"/>
                <a:ea typeface="宋体"/>
                <a:cs typeface="宋体"/>
              </a:defRPr>
            </a:pPr>
            <a:r>
              <a:rPr lang="zh-CN" altLang="en-US"/>
              <a:t>山东地炼石脑油价格走势图</a:t>
            </a:r>
          </a:p>
        </c:rich>
      </c:tx>
      <c:layout>
        <c:manualLayout>
          <c:xMode val="edge"/>
          <c:yMode val="edge"/>
          <c:x val="0.36012451931880679"/>
          <c:y val="4.3586406962287633E-2"/>
        </c:manualLayout>
      </c:layout>
    </c:title>
    <c:plotArea>
      <c:layout>
        <c:manualLayout>
          <c:layoutTarget val="inner"/>
          <c:xMode val="edge"/>
          <c:yMode val="edge"/>
          <c:x val="8.1198294608225238E-2"/>
          <c:y val="0.10155325321176967"/>
          <c:w val="0.87483862221670028"/>
          <c:h val="0.5686186793022554"/>
        </c:manualLayout>
      </c:layout>
      <c:lineChart>
        <c:grouping val="standard"/>
        <c:ser>
          <c:idx val="8"/>
          <c:order val="0"/>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'溶剂油周报-石脑油价格走势图表'!$B$298:$B$354</c:f>
            </c:numRef>
          </c:val>
        </c:ser>
        <c:ser>
          <c:idx val="10"/>
          <c:order val="1"/>
          <c:spPr>
            <a:ln w="38100" cap="rnd" cmpd="sng" algn="ctr">
              <a:solidFill>
                <a:srgbClr val="00B050"/>
              </a:solidFill>
              <a:prstDash val="solid"/>
              <a:roun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'溶剂油周报-石脑油价格走势图表'!$C$298:$C$354</c:f>
            </c:numRef>
          </c:val>
        </c:ser>
        <c:ser>
          <c:idx val="1"/>
          <c:order val="2"/>
          <c:tx>
            <c:strRef>
              <c:f>'溶剂油周报-石脑油价格走势图表'!$D$282</c:f>
              <c:strCache>
                <c:ptCount val="1"/>
                <c:pt idx="0">
                  <c:v>鑫泰石化</c:v>
                </c:pt>
              </c:strCache>
            </c:strRef>
          </c:tx>
          <c:spPr>
            <a:ln w="38100">
              <a:solidFill>
                <a:srgbClr val="FF00FF"/>
              </a:solidFill>
              <a:prstDash val="solid"/>
            </a:ln>
          </c:spPr>
          <c:marker>
            <c:symbol val="none"/>
          </c:marker>
          <c:cat>
            <c:numRef>
              <c:f>'溶剂油周报-石脑油价格走势图表'!$A$298:$A$357</c:f>
              <c:numCache>
                <c:formatCode>yyyy/m/d</c:formatCode>
                <c:ptCount val="60"/>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pt idx="58">
                  <c:v>43539</c:v>
                </c:pt>
                <c:pt idx="59">
                  <c:v>43546</c:v>
                </c:pt>
              </c:numCache>
            </c:numRef>
          </c:cat>
          <c:val>
            <c:numRef>
              <c:f>'溶剂油周报-石脑油价格走势图表'!$D$298:$D$357</c:f>
              <c:numCache>
                <c:formatCode>General</c:formatCode>
                <c:ptCount val="60"/>
                <c:pt idx="0">
                  <c:v>6150</c:v>
                </c:pt>
                <c:pt idx="1">
                  <c:v>6300</c:v>
                </c:pt>
                <c:pt idx="2">
                  <c:v>6300</c:v>
                </c:pt>
                <c:pt idx="3">
                  <c:v>6300</c:v>
                </c:pt>
                <c:pt idx="4">
                  <c:v>6250</c:v>
                </c:pt>
                <c:pt idx="5">
                  <c:v>6150</c:v>
                </c:pt>
                <c:pt idx="6">
                  <c:v>6300</c:v>
                </c:pt>
                <c:pt idx="7">
                  <c:v>6150</c:v>
                </c:pt>
                <c:pt idx="8">
                  <c:v>6150</c:v>
                </c:pt>
                <c:pt idx="9">
                  <c:v>6150</c:v>
                </c:pt>
                <c:pt idx="10">
                  <c:v>6150</c:v>
                </c:pt>
                <c:pt idx="11">
                  <c:v>6150</c:v>
                </c:pt>
                <c:pt idx="12">
                  <c:v>6350</c:v>
                </c:pt>
                <c:pt idx="13">
                  <c:v>6250</c:v>
                </c:pt>
                <c:pt idx="14">
                  <c:v>6250</c:v>
                </c:pt>
                <c:pt idx="15">
                  <c:v>6300</c:v>
                </c:pt>
                <c:pt idx="16">
                  <c:v>6350</c:v>
                </c:pt>
                <c:pt idx="17">
                  <c:v>6600</c:v>
                </c:pt>
                <c:pt idx="18">
                  <c:v>6650</c:v>
                </c:pt>
                <c:pt idx="19">
                  <c:v>6650</c:v>
                </c:pt>
                <c:pt idx="20">
                  <c:v>6450</c:v>
                </c:pt>
                <c:pt idx="21">
                  <c:v>6450</c:v>
                </c:pt>
                <c:pt idx="22">
                  <c:v>6450</c:v>
                </c:pt>
                <c:pt idx="23">
                  <c:v>6400</c:v>
                </c:pt>
                <c:pt idx="24">
                  <c:v>6400</c:v>
                </c:pt>
                <c:pt idx="25">
                  <c:v>6650</c:v>
                </c:pt>
                <c:pt idx="26">
                  <c:v>6600</c:v>
                </c:pt>
                <c:pt idx="27">
                  <c:v>6600</c:v>
                </c:pt>
                <c:pt idx="28">
                  <c:v>6800</c:v>
                </c:pt>
                <c:pt idx="29">
                  <c:v>6800</c:v>
                </c:pt>
                <c:pt idx="30">
                  <c:v>7200</c:v>
                </c:pt>
                <c:pt idx="31">
                  <c:v>7200</c:v>
                </c:pt>
                <c:pt idx="32">
                  <c:v>7200</c:v>
                </c:pt>
                <c:pt idx="33">
                  <c:v>7650</c:v>
                </c:pt>
                <c:pt idx="34">
                  <c:v>7950</c:v>
                </c:pt>
                <c:pt idx="35">
                  <c:v>7700</c:v>
                </c:pt>
                <c:pt idx="36">
                  <c:v>7750</c:v>
                </c:pt>
                <c:pt idx="37">
                  <c:v>7900</c:v>
                </c:pt>
                <c:pt idx="38">
                  <c:v>0</c:v>
                </c:pt>
                <c:pt idx="39">
                  <c:v>7850</c:v>
                </c:pt>
                <c:pt idx="40">
                  <c:v>7500</c:v>
                </c:pt>
                <c:pt idx="41">
                  <c:v>7300</c:v>
                </c:pt>
                <c:pt idx="42">
                  <c:v>7300</c:v>
                </c:pt>
                <c:pt idx="43">
                  <c:v>6700</c:v>
                </c:pt>
                <c:pt idx="44">
                  <c:v>6300</c:v>
                </c:pt>
                <c:pt idx="45">
                  <c:v>6500</c:v>
                </c:pt>
                <c:pt idx="46">
                  <c:v>6550</c:v>
                </c:pt>
                <c:pt idx="47">
                  <c:v>6200</c:v>
                </c:pt>
                <c:pt idx="48">
                  <c:v>5800</c:v>
                </c:pt>
                <c:pt idx="49">
                  <c:v>5800</c:v>
                </c:pt>
                <c:pt idx="50">
                  <c:v>6500</c:v>
                </c:pt>
                <c:pt idx="51">
                  <c:v>6500</c:v>
                </c:pt>
                <c:pt idx="52">
                  <c:v>6500</c:v>
                </c:pt>
                <c:pt idx="53">
                  <c:v>5925</c:v>
                </c:pt>
                <c:pt idx="54">
                  <c:v>5925</c:v>
                </c:pt>
                <c:pt idx="55">
                  <c:v>5925</c:v>
                </c:pt>
                <c:pt idx="56">
                  <c:v>5925</c:v>
                </c:pt>
                <c:pt idx="57">
                  <c:v>5925</c:v>
                </c:pt>
                <c:pt idx="58">
                  <c:v>5925</c:v>
                </c:pt>
                <c:pt idx="59">
                  <c:v>5925</c:v>
                </c:pt>
              </c:numCache>
            </c:numRef>
          </c:val>
        </c:ser>
        <c:ser>
          <c:idx val="5"/>
          <c:order val="3"/>
          <c:tx>
            <c:strRef>
              <c:f>'溶剂油周报-石脑油价格走势图表'!$E$282</c:f>
              <c:strCache>
                <c:ptCount val="1"/>
                <c:pt idx="0">
                  <c:v>利津石化</c:v>
                </c:pt>
              </c:strCache>
            </c:strRef>
          </c:tx>
          <c:spPr>
            <a:ln w="38100">
              <a:solidFill>
                <a:srgbClr val="800000"/>
              </a:solidFill>
              <a:prstDash val="solid"/>
            </a:ln>
          </c:spPr>
          <c:marker>
            <c:symbol val="none"/>
          </c:marker>
          <c:cat>
            <c:numRef>
              <c:f>'溶剂油周报-石脑油价格走势图表'!$A$298:$A$354</c:f>
              <c:numCache>
                <c:formatCode>yyyy/m/d</c:formatCode>
                <c:ptCount val="57"/>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numCache>
            </c:numRef>
          </c:cat>
          <c:val>
            <c:numRef>
              <c:f>'溶剂油周报-石脑油价格走势图表'!$E$298:$E$354</c:f>
              <c:numCache>
                <c:formatCode>General</c:formatCode>
                <c:ptCount val="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numCache>
            </c:numRef>
          </c:val>
        </c:ser>
        <c:ser>
          <c:idx val="6"/>
          <c:order val="4"/>
          <c:tx>
            <c:strRef>
              <c:f>'溶剂油周报-石脑油价格走势图表'!$F$282</c:f>
              <c:strCache>
                <c:ptCount val="1"/>
                <c:pt idx="0">
                  <c:v>安邦石化</c:v>
                </c:pt>
              </c:strCache>
            </c:strRef>
          </c:tx>
          <c:spPr>
            <a:ln w="38100">
              <a:solidFill>
                <a:srgbClr val="0000FF"/>
              </a:solidFill>
              <a:prstDash val="solid"/>
            </a:ln>
          </c:spPr>
          <c:marker>
            <c:symbol val="none"/>
          </c:marker>
          <c:cat>
            <c:numRef>
              <c:f>'溶剂油周报-石脑油价格走势图表'!$A$298:$A$357</c:f>
              <c:numCache>
                <c:formatCode>yyyy/m/d</c:formatCode>
                <c:ptCount val="60"/>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pt idx="58">
                  <c:v>43539</c:v>
                </c:pt>
                <c:pt idx="59">
                  <c:v>43546</c:v>
                </c:pt>
              </c:numCache>
            </c:numRef>
          </c:cat>
          <c:val>
            <c:numRef>
              <c:f>'溶剂油周报-石脑油价格走势图表'!$F$298:$F$357</c:f>
              <c:numCache>
                <c:formatCode>General</c:formatCode>
                <c:ptCount val="60"/>
                <c:pt idx="0">
                  <c:v>5960</c:v>
                </c:pt>
                <c:pt idx="1">
                  <c:v>6400</c:v>
                </c:pt>
                <c:pt idx="2">
                  <c:v>6250</c:v>
                </c:pt>
                <c:pt idx="3">
                  <c:v>6200</c:v>
                </c:pt>
                <c:pt idx="4">
                  <c:v>5990</c:v>
                </c:pt>
                <c:pt idx="5">
                  <c:v>5840</c:v>
                </c:pt>
                <c:pt idx="6">
                  <c:v>5950</c:v>
                </c:pt>
                <c:pt idx="7">
                  <c:v>5950</c:v>
                </c:pt>
                <c:pt idx="8">
                  <c:v>5900</c:v>
                </c:pt>
                <c:pt idx="9">
                  <c:v>5920</c:v>
                </c:pt>
                <c:pt idx="10">
                  <c:v>6000</c:v>
                </c:pt>
                <c:pt idx="11">
                  <c:v>6080</c:v>
                </c:pt>
                <c:pt idx="12">
                  <c:v>6130</c:v>
                </c:pt>
                <c:pt idx="13">
                  <c:v>6150</c:v>
                </c:pt>
                <c:pt idx="14">
                  <c:v>6250</c:v>
                </c:pt>
                <c:pt idx="15">
                  <c:v>6150</c:v>
                </c:pt>
                <c:pt idx="16">
                  <c:v>6450</c:v>
                </c:pt>
                <c:pt idx="17">
                  <c:v>6600</c:v>
                </c:pt>
                <c:pt idx="18">
                  <c:v>6650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7600</c:v>
                </c:pt>
                <c:pt idx="33">
                  <c:v>7500</c:v>
                </c:pt>
                <c:pt idx="34">
                  <c:v>7730</c:v>
                </c:pt>
                <c:pt idx="35">
                  <c:v>7630</c:v>
                </c:pt>
                <c:pt idx="36">
                  <c:v>7580</c:v>
                </c:pt>
                <c:pt idx="37">
                  <c:v>7500</c:v>
                </c:pt>
                <c:pt idx="38">
                  <c:v>7500</c:v>
                </c:pt>
                <c:pt idx="39">
                  <c:v>7450</c:v>
                </c:pt>
                <c:pt idx="40">
                  <c:v>7500</c:v>
                </c:pt>
                <c:pt idx="41">
                  <c:v>7500</c:v>
                </c:pt>
                <c:pt idx="42">
                  <c:v>6350</c:v>
                </c:pt>
                <c:pt idx="43">
                  <c:v>6150</c:v>
                </c:pt>
                <c:pt idx="44">
                  <c:v>6150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numCache>
            </c:numRef>
          </c:val>
        </c:ser>
        <c:ser>
          <c:idx val="0"/>
          <c:order val="5"/>
          <c:tx>
            <c:strRef>
              <c:f>'溶剂油周报-石脑油价格走势图表'!$G$282</c:f>
              <c:strCache>
                <c:ptCount val="1"/>
                <c:pt idx="0">
                  <c:v>富海石化</c:v>
                </c:pt>
              </c:strCache>
            </c:strRef>
          </c:tx>
          <c:marker>
            <c:symbol val="none"/>
          </c:marker>
          <c:cat>
            <c:numRef>
              <c:f>'溶剂油周报-石脑油价格走势图表'!$A$298:$A$357</c:f>
              <c:numCache>
                <c:formatCode>yyyy/m/d</c:formatCode>
                <c:ptCount val="60"/>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pt idx="58">
                  <c:v>43539</c:v>
                </c:pt>
                <c:pt idx="59">
                  <c:v>43546</c:v>
                </c:pt>
              </c:numCache>
            </c:numRef>
          </c:cat>
          <c:val>
            <c:numRef>
              <c:f>'溶剂油周报-石脑油价格走势图表'!$G$298:$G$357</c:f>
              <c:numCache>
                <c:formatCode>General</c:formatCode>
                <c:ptCount val="60"/>
                <c:pt idx="0">
                  <c:v>5210</c:v>
                </c:pt>
                <c:pt idx="1">
                  <c:v>5210</c:v>
                </c:pt>
                <c:pt idx="2">
                  <c:v>5670</c:v>
                </c:pt>
                <c:pt idx="3">
                  <c:v>5500</c:v>
                </c:pt>
                <c:pt idx="4">
                  <c:v>5200</c:v>
                </c:pt>
                <c:pt idx="5">
                  <c:v>5200</c:v>
                </c:pt>
                <c:pt idx="6">
                  <c:v>5290</c:v>
                </c:pt>
                <c:pt idx="7">
                  <c:v>5310</c:v>
                </c:pt>
                <c:pt idx="8">
                  <c:v>5210</c:v>
                </c:pt>
                <c:pt idx="9">
                  <c:v>5080</c:v>
                </c:pt>
                <c:pt idx="10">
                  <c:v>4800</c:v>
                </c:pt>
                <c:pt idx="11">
                  <c:v>4800</c:v>
                </c:pt>
                <c:pt idx="12">
                  <c:v>4800</c:v>
                </c:pt>
                <c:pt idx="13">
                  <c:v>4860</c:v>
                </c:pt>
                <c:pt idx="14">
                  <c:v>4840</c:v>
                </c:pt>
                <c:pt idx="15">
                  <c:v>4760</c:v>
                </c:pt>
                <c:pt idx="16">
                  <c:v>4920</c:v>
                </c:pt>
                <c:pt idx="17">
                  <c:v>5100</c:v>
                </c:pt>
                <c:pt idx="18">
                  <c:v>5110</c:v>
                </c:pt>
                <c:pt idx="19">
                  <c:v>4890</c:v>
                </c:pt>
                <c:pt idx="20">
                  <c:v>4730</c:v>
                </c:pt>
                <c:pt idx="21">
                  <c:v>4760</c:v>
                </c:pt>
                <c:pt idx="22">
                  <c:v>4760</c:v>
                </c:pt>
                <c:pt idx="23">
                  <c:v>4760</c:v>
                </c:pt>
                <c:pt idx="24">
                  <c:v>4780</c:v>
                </c:pt>
                <c:pt idx="25">
                  <c:v>4830</c:v>
                </c:pt>
                <c:pt idx="26">
                  <c:v>5010</c:v>
                </c:pt>
                <c:pt idx="27">
                  <c:v>5010</c:v>
                </c:pt>
                <c:pt idx="28">
                  <c:v>5010</c:v>
                </c:pt>
                <c:pt idx="29">
                  <c:v>5010</c:v>
                </c:pt>
                <c:pt idx="30">
                  <c:v>5010</c:v>
                </c:pt>
                <c:pt idx="31">
                  <c:v>5010</c:v>
                </c:pt>
                <c:pt idx="32">
                  <c:v>5470</c:v>
                </c:pt>
                <c:pt idx="33">
                  <c:v>5550</c:v>
                </c:pt>
                <c:pt idx="34">
                  <c:v>5700</c:v>
                </c:pt>
                <c:pt idx="35">
                  <c:v>5620</c:v>
                </c:pt>
                <c:pt idx="36">
                  <c:v>5620</c:v>
                </c:pt>
                <c:pt idx="37">
                  <c:v>5750</c:v>
                </c:pt>
                <c:pt idx="38">
                  <c:v>5600</c:v>
                </c:pt>
                <c:pt idx="39">
                  <c:v>5570</c:v>
                </c:pt>
                <c:pt idx="40">
                  <c:v>5570</c:v>
                </c:pt>
                <c:pt idx="41">
                  <c:v>5270</c:v>
                </c:pt>
                <c:pt idx="42">
                  <c:v>4960</c:v>
                </c:pt>
                <c:pt idx="43">
                  <c:v>4960</c:v>
                </c:pt>
                <c:pt idx="44">
                  <c:v>4370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numCache>
            </c:numRef>
          </c:val>
        </c:ser>
        <c:ser>
          <c:idx val="2"/>
          <c:order val="6"/>
          <c:tx>
            <c:strRef>
              <c:f>'溶剂油周报-石脑油价格走势图表'!$H$282</c:f>
              <c:strCache>
                <c:ptCount val="1"/>
                <c:pt idx="0">
                  <c:v>寿光石化</c:v>
                </c:pt>
              </c:strCache>
            </c:strRef>
          </c:tx>
          <c:marker>
            <c:symbol val="none"/>
          </c:marker>
          <c:cat>
            <c:numRef>
              <c:f>'溶剂油周报-石脑油价格走势图表'!$A$298:$C$357</c:f>
              <c:numCache>
                <c:formatCode>yyyy/m/d</c:formatCode>
                <c:ptCount val="60"/>
                <c:pt idx="0">
                  <c:v>43105</c:v>
                </c:pt>
                <c:pt idx="1">
                  <c:v>43112</c:v>
                </c:pt>
                <c:pt idx="2">
                  <c:v>43119</c:v>
                </c:pt>
                <c:pt idx="3">
                  <c:v>43126</c:v>
                </c:pt>
                <c:pt idx="4">
                  <c:v>43133</c:v>
                </c:pt>
                <c:pt idx="5">
                  <c:v>43140</c:v>
                </c:pt>
                <c:pt idx="6">
                  <c:v>43161</c:v>
                </c:pt>
                <c:pt idx="7">
                  <c:v>43168</c:v>
                </c:pt>
                <c:pt idx="8">
                  <c:v>43175</c:v>
                </c:pt>
                <c:pt idx="9">
                  <c:v>43182</c:v>
                </c:pt>
                <c:pt idx="10">
                  <c:v>43189</c:v>
                </c:pt>
                <c:pt idx="11">
                  <c:v>43198</c:v>
                </c:pt>
                <c:pt idx="12">
                  <c:v>43203</c:v>
                </c:pt>
                <c:pt idx="13">
                  <c:v>43210</c:v>
                </c:pt>
                <c:pt idx="14">
                  <c:v>43217</c:v>
                </c:pt>
                <c:pt idx="15">
                  <c:v>43224</c:v>
                </c:pt>
                <c:pt idx="16">
                  <c:v>43231</c:v>
                </c:pt>
                <c:pt idx="17">
                  <c:v>43238</c:v>
                </c:pt>
                <c:pt idx="18">
                  <c:v>43245</c:v>
                </c:pt>
                <c:pt idx="19">
                  <c:v>43252</c:v>
                </c:pt>
                <c:pt idx="20">
                  <c:v>43259</c:v>
                </c:pt>
                <c:pt idx="21">
                  <c:v>43266</c:v>
                </c:pt>
                <c:pt idx="22">
                  <c:v>43273</c:v>
                </c:pt>
                <c:pt idx="23">
                  <c:v>43280</c:v>
                </c:pt>
                <c:pt idx="24">
                  <c:v>43287</c:v>
                </c:pt>
                <c:pt idx="25">
                  <c:v>43294</c:v>
                </c:pt>
                <c:pt idx="26">
                  <c:v>43301</c:v>
                </c:pt>
                <c:pt idx="27">
                  <c:v>43308</c:v>
                </c:pt>
                <c:pt idx="28">
                  <c:v>43315</c:v>
                </c:pt>
                <c:pt idx="29">
                  <c:v>43322</c:v>
                </c:pt>
                <c:pt idx="30">
                  <c:v>43329</c:v>
                </c:pt>
                <c:pt idx="31">
                  <c:v>43336</c:v>
                </c:pt>
                <c:pt idx="32">
                  <c:v>43343</c:v>
                </c:pt>
                <c:pt idx="33">
                  <c:v>43350</c:v>
                </c:pt>
                <c:pt idx="34">
                  <c:v>43357</c:v>
                </c:pt>
                <c:pt idx="35">
                  <c:v>43364</c:v>
                </c:pt>
                <c:pt idx="36">
                  <c:v>43371</c:v>
                </c:pt>
                <c:pt idx="37">
                  <c:v>43385</c:v>
                </c:pt>
                <c:pt idx="38">
                  <c:v>43392</c:v>
                </c:pt>
                <c:pt idx="39">
                  <c:v>43399</c:v>
                </c:pt>
                <c:pt idx="40">
                  <c:v>43406</c:v>
                </c:pt>
                <c:pt idx="41">
                  <c:v>43413</c:v>
                </c:pt>
                <c:pt idx="42">
                  <c:v>43420</c:v>
                </c:pt>
                <c:pt idx="43">
                  <c:v>43427</c:v>
                </c:pt>
                <c:pt idx="44">
                  <c:v>43434</c:v>
                </c:pt>
                <c:pt idx="45">
                  <c:v>43441</c:v>
                </c:pt>
                <c:pt idx="46">
                  <c:v>43448</c:v>
                </c:pt>
                <c:pt idx="47">
                  <c:v>43455</c:v>
                </c:pt>
                <c:pt idx="48">
                  <c:v>43462</c:v>
                </c:pt>
                <c:pt idx="49">
                  <c:v>43469</c:v>
                </c:pt>
                <c:pt idx="50">
                  <c:v>43476</c:v>
                </c:pt>
                <c:pt idx="51">
                  <c:v>43483</c:v>
                </c:pt>
                <c:pt idx="52">
                  <c:v>43490</c:v>
                </c:pt>
                <c:pt idx="53">
                  <c:v>43497</c:v>
                </c:pt>
                <c:pt idx="54">
                  <c:v>43511</c:v>
                </c:pt>
                <c:pt idx="55">
                  <c:v>43518</c:v>
                </c:pt>
                <c:pt idx="56">
                  <c:v>43525</c:v>
                </c:pt>
                <c:pt idx="57">
                  <c:v>43532</c:v>
                </c:pt>
                <c:pt idx="58">
                  <c:v>43539</c:v>
                </c:pt>
                <c:pt idx="59">
                  <c:v>43546</c:v>
                </c:pt>
              </c:numCache>
            </c:numRef>
          </c:cat>
          <c:val>
            <c:numRef>
              <c:f>'溶剂油周报-石脑油价格走势图表'!$H$298:$H$357</c:f>
              <c:numCache>
                <c:formatCode>General</c:formatCode>
                <c:ptCount val="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4500</c:v>
                </c:pt>
                <c:pt idx="46">
                  <c:v>4500</c:v>
                </c:pt>
                <c:pt idx="47">
                  <c:v>4500</c:v>
                </c:pt>
                <c:pt idx="48">
                  <c:v>4500</c:v>
                </c:pt>
                <c:pt idx="49">
                  <c:v>4500</c:v>
                </c:pt>
                <c:pt idx="50">
                  <c:v>5600</c:v>
                </c:pt>
                <c:pt idx="51">
                  <c:v>5600</c:v>
                </c:pt>
                <c:pt idx="52">
                  <c:v>5600</c:v>
                </c:pt>
                <c:pt idx="53">
                  <c:v>5600</c:v>
                </c:pt>
                <c:pt idx="54">
                  <c:v>5600</c:v>
                </c:pt>
                <c:pt idx="55">
                  <c:v>5600</c:v>
                </c:pt>
                <c:pt idx="56">
                  <c:v>5600</c:v>
                </c:pt>
                <c:pt idx="57">
                  <c:v>5600</c:v>
                </c:pt>
                <c:pt idx="58">
                  <c:v>5600</c:v>
                </c:pt>
                <c:pt idx="59">
                  <c:v>5600</c:v>
                </c:pt>
              </c:numCache>
            </c:numRef>
          </c:val>
        </c:ser>
        <c:marker val="1"/>
        <c:axId val="207418112"/>
        <c:axId val="207420800"/>
      </c:lineChart>
      <c:dateAx>
        <c:axId val="207418112"/>
        <c:scaling>
          <c:orientation val="minMax"/>
          <c:max val="43546"/>
          <c:min val="43181"/>
        </c:scaling>
        <c:axPos val="b"/>
        <c:title>
          <c:tx>
            <c:rich>
              <a:bodyPr/>
              <a:lstStyle/>
              <a:p>
                <a:pPr>
                  <a:defRPr sz="1100" b="0" i="0" u="none" strike="noStrike" baseline="0">
                    <a:solidFill>
                      <a:srgbClr val="000000"/>
                    </a:solidFill>
                    <a:latin typeface="宋体"/>
                    <a:ea typeface="宋体"/>
                    <a:cs typeface="宋体"/>
                  </a:defRPr>
                </a:pPr>
                <a:r>
                  <a:rPr lang="zh-CN" altLang="en-US" sz="1000" b="0" i="0" strike="noStrike">
                    <a:solidFill>
                      <a:srgbClr val="000000"/>
                    </a:solidFill>
                    <a:latin typeface="宋体"/>
                    <a:ea typeface="宋体"/>
                  </a:rPr>
                  <a:t>元</a:t>
                </a:r>
                <a:r>
                  <a:rPr lang="en-US" altLang="zh-CN" sz="1000" b="0" i="0" strike="noStrike">
                    <a:solidFill>
                      <a:srgbClr val="000000"/>
                    </a:solidFill>
                    <a:latin typeface="宋体"/>
                    <a:ea typeface="宋体"/>
                  </a:rPr>
                  <a:t>/</a:t>
                </a:r>
                <a:r>
                  <a:rPr lang="zh-CN" altLang="en-US" sz="1000" b="0" i="0" strike="noStrike">
                    <a:solidFill>
                      <a:srgbClr val="000000"/>
                    </a:solidFill>
                    <a:latin typeface="宋体"/>
                    <a:ea typeface="宋体"/>
                  </a:rPr>
                  <a:t>吨</a:t>
                </a:r>
              </a:p>
            </c:rich>
          </c:tx>
          <c:layout>
            <c:manualLayout>
              <c:xMode val="edge"/>
              <c:yMode val="edge"/>
              <c:x val="8.1893251715628487E-2"/>
              <c:y val="0.14033291891145186"/>
            </c:manualLayout>
          </c:layout>
        </c:title>
        <c:numFmt formatCode="yyyy/m/d;@" sourceLinked="0"/>
        <c:majorTickMark val="in"/>
        <c:tickLblPos val="nextTo"/>
        <c:spPr>
          <a:ln w="3175" cap="flat" cmpd="sng" algn="ctr">
            <a:solidFill>
              <a:srgbClr val="000000">
                <a:alpha val="100000"/>
              </a:srgbClr>
            </a:solidFill>
            <a:prstDash val="solid"/>
            <a:round/>
          </a:ln>
        </c:spPr>
        <c:txPr>
          <a:bodyPr rot="-5400000" vert="horz"/>
          <a:lstStyle/>
          <a:p>
            <a:pPr>
              <a:defRPr sz="1000" b="0" i="0" u="none" strike="noStrike" baseline="0">
                <a:solidFill>
                  <a:srgbClr val="000000"/>
                </a:solidFill>
                <a:latin typeface="宋体"/>
                <a:ea typeface="宋体"/>
                <a:cs typeface="宋体"/>
              </a:defRPr>
            </a:pPr>
            <a:endParaRPr lang="zh-CN"/>
          </a:p>
        </c:txPr>
        <c:crossAx val="207420800"/>
        <c:crossesAt val="2000"/>
        <c:auto val="1"/>
        <c:lblOffset val="100"/>
        <c:baseTimeUnit val="days"/>
        <c:majorUnit val="1"/>
        <c:majorTimeUnit val="months"/>
        <c:minorUnit val="1"/>
        <c:minorTimeUnit val="months"/>
      </c:dateAx>
      <c:valAx>
        <c:axId val="207420800"/>
        <c:scaling>
          <c:orientation val="minMax"/>
          <c:max val="8500"/>
          <c:min val="2000"/>
        </c:scaling>
        <c:axPos val="l"/>
        <c:numFmt formatCode="General" sourceLinked="1"/>
        <c:majorTickMark val="in"/>
        <c:tickLblPos val="nextTo"/>
        <c:spPr>
          <a:ln w="3175" cap="flat" cmpd="sng" algn="ctr">
            <a:solidFill>
              <a:srgbClr val="000000">
                <a:alpha val="100000"/>
              </a:srgbClr>
            </a:solidFill>
            <a:prstDash val="solid"/>
            <a:round/>
          </a:ln>
        </c:spPr>
        <c:txPr>
          <a:bodyPr rot="0" vert="horz"/>
          <a:lstStyle/>
          <a:p>
            <a:pPr>
              <a:defRPr sz="1000" b="0" i="0" u="none" strike="noStrike" baseline="0">
                <a:solidFill>
                  <a:srgbClr val="000000"/>
                </a:solidFill>
                <a:latin typeface="宋体"/>
                <a:ea typeface="宋体"/>
                <a:cs typeface="宋体"/>
              </a:defRPr>
            </a:pPr>
            <a:endParaRPr lang="zh-CN"/>
          </a:p>
        </c:txPr>
        <c:crossAx val="207418112"/>
        <c:crossesAt val="42241"/>
        <c:crossBetween val="between"/>
        <c:majorUnit val="500"/>
        <c:minorUnit val="100"/>
      </c:valAx>
      <c:spPr>
        <a:solidFill>
          <a:srgbClr val="FFFFFF"/>
        </a:solidFill>
        <a:ln w="25400">
          <a:noFill/>
        </a:ln>
      </c:spPr>
    </c:plotArea>
    <c:legend>
      <c:legendPos val="r"/>
      <c:layout>
        <c:manualLayout>
          <c:xMode val="edge"/>
          <c:yMode val="edge"/>
          <c:x val="5.0858468272861244E-2"/>
          <c:y val="0.89119795551871805"/>
          <c:w val="0.9206128303729475"/>
          <c:h val="8.3918497029976558E-2"/>
        </c:manualLayout>
      </c:layout>
      <c:spPr>
        <a:solidFill>
          <a:srgbClr val="FFFFFF">
            <a:alpha val="100000"/>
          </a:srgbClr>
        </a:solidFill>
        <a:ln w="3175">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0.53017</cdr:x>
      <cdr:y>0.586</cdr:y>
    </cdr:from>
    <cdr:to>
      <cdr:x>0.53678</cdr:x>
      <cdr:y>0.60493</cdr:y>
    </cdr:to>
    <cdr:sp macro="" textlink="">
      <cdr:nvSpPr>
        <cdr:cNvPr id="2" name="矩形 1"/>
        <cdr:cNvSpPr/>
      </cdr:nvSpPr>
      <cdr:spPr>
        <a:xfrm xmlns:a="http://schemas.openxmlformats.org/drawingml/2006/main">
          <a:off x="3234835" y="3063721"/>
          <a:ext cx="48403" cy="128602"/>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dr:relSizeAnchor xmlns:cdr="http://schemas.openxmlformats.org/drawingml/2006/chartDrawing">
    <cdr:from>
      <cdr:x>0.53313</cdr:x>
      <cdr:y>0.57857</cdr:y>
    </cdr:from>
    <cdr:to>
      <cdr:x>0.53899</cdr:x>
      <cdr:y>0.59825</cdr:y>
    </cdr:to>
    <cdr:sp macro="" textlink="">
      <cdr:nvSpPr>
        <cdr:cNvPr id="3" name="矩形 2"/>
        <cdr:cNvSpPr/>
      </cdr:nvSpPr>
      <cdr:spPr>
        <a:xfrm xmlns:a="http://schemas.openxmlformats.org/drawingml/2006/main">
          <a:off x="3254616" y="3015409"/>
          <a:ext cx="45374" cy="129923"/>
        </a:xfrm>
        <a:prstGeom xmlns:a="http://schemas.openxmlformats.org/drawingml/2006/main" prst="rect">
          <a:avLst/>
        </a:prstGeom>
        <a:noFill xmlns:a="http://schemas.openxmlformats.org/drawingml/2006/main"/>
        <a:ln xmlns:a="http://schemas.openxmlformats.org/drawingml/2006/main" w="1">
          <a:noFill/>
          <a:miter lim="800000"/>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xmlns:a="http://schemas.openxmlformats.org/drawingml/2006/main">
          <a:pPr algn="ctr" rtl="1">
            <a:defRPr sz="1000"/>
          </a:pPr>
          <a:r>
            <a:rPr lang="zh-CN" altLang="en-US" sz="825" b="0" i="0" strike="noStrike">
              <a:solidFill>
                <a:srgbClr val="000000"/>
              </a:solidFill>
              <a:latin typeface="宋体" panose="02010600030101010101" pitchFamily="7" charset="-122"/>
              <a:ea typeface="宋体" panose="02010600030101010101" pitchFamily="7" charset="-122"/>
            </a:rPr>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0F1B755-34C7-4A6B-B010-24D22F37CD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41</Pages>
  <Words>2744</Words>
  <Characters>15645</Characters>
  <Application>Microsoft Office Word</Application>
  <DocSecurity>0</DocSecurity>
  <Lines>130</Lines>
  <Paragraphs>36</Paragraphs>
  <ScaleCrop>false</ScaleCrop>
  <Company>china</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46</cp:revision>
  <dcterms:created xsi:type="dcterms:W3CDTF">2018-08-31T06:57:00Z</dcterms:created>
  <dcterms:modified xsi:type="dcterms:W3CDTF">2019-03-22T07:34:00Z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