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cs="Times New Roman"/>
        </w:rPr>
      </w:pPr>
      <w:r>
        <w:pict>
          <v:shape id="图片 1" o:spid="_x0000_s1027" o:spt="75" alt="封面.jpg" type="#_x0000_t75" style="position:absolute;left:0pt;margin-left:-85.25pt;margin-top:-73.9pt;height:842.25pt;width:601.95pt;z-index:-251658240;mso-width-relative:page;mso-height-relative:page;" filled="f" o:preferrelative="t" stroked="f" coordsize="21600,21600">
            <v:path/>
            <v:fill on="f" focussize="0,0"/>
            <v:stroke on="f" joinstyle="miter"/>
            <v:imagedata r:id="rId6" o:title=""/>
            <o:lock v:ext="edit" aspectratio="t"/>
          </v:shape>
        </w:pict>
      </w:r>
    </w:p>
    <w:p>
      <w:pPr>
        <w:pStyle w:val="40"/>
        <w:tabs>
          <w:tab w:val="center" w:pos="4153"/>
          <w:tab w:val="left" w:pos="5910"/>
          <w:tab w:val="left" w:pos="7501"/>
        </w:tabs>
        <w:spacing w:line="400" w:lineRule="exact"/>
        <w:rPr>
          <w:rFonts w:hint="eastAsia" w:ascii="宋体" w:hAnsi="宋体" w:cs="宋体"/>
          <w:b/>
          <w:bCs/>
          <w:color w:val="000000"/>
          <w:sz w:val="28"/>
          <w:szCs w:val="28"/>
          <w:lang w:eastAsia="zh-CN"/>
        </w:rPr>
      </w:pPr>
      <w:r>
        <w:rPr>
          <w:lang w:eastAsia="zh-CN"/>
        </w:rPr>
        <w:pict>
          <v:shape id="_x0000_s1028" o:spid="_x0000_s1028" o:spt="202" type="#_x0000_t202" style="position:absolute;left:0pt;margin-left:175.45pt;margin-top:490.7pt;height:54.1pt;width:134.3pt;z-index:251659264;mso-width-relative:page;mso-height-relative:page;" filled="f" stroked="f" coordsize="21600,21600">
            <v:path/>
            <v:fill on="f" focussize="0,0"/>
            <v:stroke on="f" joinstyle="miter"/>
            <v:imagedata o:title=""/>
            <o:lock v:ext="edit"/>
            <v:textbox>
              <w:txbxContent>
                <w:p>
                  <w:pPr>
                    <w:pStyle w:val="2"/>
                    <w:rPr>
                      <w:rFonts w:hint="eastAsia" w:eastAsia="黑体" w:cs="Times New Roman"/>
                      <w:kern w:val="2"/>
                      <w:lang w:val="en-US" w:eastAsia="zh-CN"/>
                    </w:rPr>
                  </w:pPr>
                  <w:bookmarkStart w:id="23" w:name="_Toc485828984"/>
                  <w:bookmarkStart w:id="24" w:name="_Toc521053860"/>
                  <w:bookmarkStart w:id="25" w:name="_Toc521075423"/>
                  <w:bookmarkStart w:id="26" w:name="_Toc510190825"/>
                  <w:bookmarkStart w:id="27" w:name="_Toc531943255"/>
                  <w:bookmarkStart w:id="28" w:name="_Toc529455508"/>
                  <w:bookmarkStart w:id="29" w:name="_Toc527037029"/>
                  <w:bookmarkStart w:id="30" w:name="_Toc532566849"/>
                  <w:bookmarkStart w:id="31" w:name="_Toc527123553"/>
                  <w:bookmarkStart w:id="32" w:name="_Toc522285450"/>
                  <w:bookmarkStart w:id="33" w:name="_Toc511898980"/>
                  <w:bookmarkStart w:id="34" w:name="_Toc512001762"/>
                  <w:bookmarkStart w:id="35" w:name="_Toc1132017"/>
                  <w:bookmarkStart w:id="36" w:name="_Toc507769000"/>
                  <w:bookmarkStart w:id="37" w:name="_Toc517427833"/>
                  <w:bookmarkStart w:id="38" w:name="_Toc517448405"/>
                  <w:bookmarkStart w:id="39" w:name="_Toc520366056"/>
                  <w:bookmarkStart w:id="40" w:name="_Toc531271720"/>
                  <w:bookmarkStart w:id="41" w:name="_Toc531358358"/>
                  <w:bookmarkStart w:id="42" w:name="_Toc531854138"/>
                  <w:bookmarkStart w:id="43" w:name="_Toc518051249"/>
                  <w:bookmarkStart w:id="44" w:name="_Toc518548545"/>
                  <w:bookmarkStart w:id="45" w:name="_Toc519258206"/>
                  <w:bookmarkStart w:id="46" w:name="_Toc520381693"/>
                  <w:bookmarkStart w:id="47" w:name="_Toc520452528"/>
                  <w:bookmarkStart w:id="48" w:name="_Toc517965461"/>
                  <w:bookmarkStart w:id="49" w:name="_Toc516237036"/>
                  <w:bookmarkStart w:id="50" w:name="_Toc516819989"/>
                  <w:bookmarkStart w:id="51" w:name="_Toc514329181"/>
                  <w:bookmarkStart w:id="52" w:name="_Toc533167784"/>
                  <w:bookmarkStart w:id="53" w:name="_Toc533168359"/>
                  <w:bookmarkStart w:id="54" w:name="_Toc508960595"/>
                  <w:bookmarkStart w:id="55" w:name="_Toc533777202"/>
                  <w:bookmarkStart w:id="56" w:name="_Toc534383436"/>
                  <w:bookmarkStart w:id="57" w:name="_Toc528332594"/>
                  <w:bookmarkStart w:id="58" w:name="_Toc514422624"/>
                  <w:bookmarkStart w:id="59" w:name="_Toc514921969"/>
                  <w:bookmarkStart w:id="60" w:name="_Toc527640818"/>
                  <w:bookmarkStart w:id="61" w:name="_Toc508975637"/>
                  <w:bookmarkStart w:id="62" w:name="_Toc509574325"/>
                  <w:bookmarkStart w:id="63" w:name="_Toc515633934"/>
                  <w:bookmarkStart w:id="64" w:name="_Toc504140101"/>
                  <w:bookmarkStart w:id="65" w:name="_Toc533674480"/>
                  <w:bookmarkStart w:id="66" w:name="_Toc504123327"/>
                  <w:bookmarkStart w:id="67" w:name="_Toc529541800"/>
                  <w:bookmarkStart w:id="68" w:name="_Toc530057359"/>
                  <w:bookmarkStart w:id="69" w:name="_Toc524704217"/>
                  <w:bookmarkStart w:id="70" w:name="_Toc528913994"/>
                  <w:bookmarkStart w:id="71" w:name="_Toc528936986"/>
                  <w:bookmarkStart w:id="72" w:name="_Toc533083465"/>
                  <w:bookmarkStart w:id="73" w:name="_Toc508267081"/>
                  <w:bookmarkStart w:id="74" w:name="_Toc508369676"/>
                  <w:bookmarkStart w:id="75" w:name="_Toc504057445"/>
                  <w:bookmarkStart w:id="76" w:name="_Toc525309223"/>
                  <w:bookmarkStart w:id="77" w:name="_Toc525913129"/>
                  <w:bookmarkStart w:id="78" w:name="_Toc518650435"/>
                  <w:bookmarkStart w:id="79" w:name="_Toc527728174"/>
                  <w:bookmarkStart w:id="80" w:name="_Toc528222492"/>
                  <w:bookmarkStart w:id="81" w:name="_Toc530751847"/>
                  <w:bookmarkStart w:id="82" w:name="_Toc510166278"/>
                  <w:bookmarkStart w:id="83" w:name="_Toc510190043"/>
                  <w:bookmarkStart w:id="84" w:name="_Toc504651767"/>
                  <w:bookmarkStart w:id="85" w:name="_Toc522890290"/>
                  <w:bookmarkStart w:id="86" w:name="_Toc523381108"/>
                  <w:bookmarkStart w:id="87" w:name="_Toc509582478"/>
                  <w:bookmarkStart w:id="88" w:name="_Toc518651973"/>
                  <w:bookmarkStart w:id="89" w:name="_Toc519147013"/>
                  <w:bookmarkStart w:id="90" w:name="_Toc521586415"/>
                  <w:bookmarkStart w:id="91" w:name="_Toc513123883"/>
                  <w:bookmarkStart w:id="92" w:name="_Toc513211123"/>
                  <w:bookmarkStart w:id="93" w:name="_Toc527035872"/>
                  <w:bookmarkStart w:id="94" w:name="_Toc521679472"/>
                  <w:bookmarkStart w:id="95" w:name="_Toc522179796"/>
                  <w:bookmarkStart w:id="96" w:name="_Toc516841874"/>
                  <w:bookmarkStart w:id="97" w:name="_Toc523991798"/>
                  <w:bookmarkStart w:id="98" w:name="_Toc524334722"/>
                  <w:bookmarkStart w:id="99" w:name="_Toc513118842"/>
                  <w:bookmarkStart w:id="100" w:name="_Toc519842315"/>
                  <w:bookmarkStart w:id="101" w:name="_Toc519865236"/>
                  <w:bookmarkStart w:id="102" w:name="_Toc530147840"/>
                  <w:bookmarkStart w:id="103" w:name="_Toc530149342"/>
                  <w:bookmarkStart w:id="104" w:name="_Toc530728485"/>
                  <w:bookmarkStart w:id="105" w:name="_Toc523494890"/>
                  <w:bookmarkStart w:id="106" w:name="_Toc505261402"/>
                  <w:bookmarkStart w:id="107" w:name="_Toc505347182"/>
                  <w:bookmarkStart w:id="108" w:name="_Toc512520694"/>
                  <w:bookmarkStart w:id="109" w:name="_Toc505947794"/>
                  <w:bookmarkStart w:id="110" w:name="_Toc507665368"/>
                  <w:bookmarkStart w:id="111" w:name="_Toc521051959"/>
                  <w:bookmarkStart w:id="112" w:name="_Toc515611913"/>
                  <w:bookmarkStart w:id="113" w:name="_Toc515612471"/>
                  <w:bookmarkStart w:id="114" w:name="_Toc511397199"/>
                  <w:bookmarkStart w:id="115" w:name="_Toc512521225"/>
                  <w:bookmarkStart w:id="116" w:name="_Toc512606000"/>
                  <w:bookmarkStart w:id="117" w:name="_Toc513728505"/>
                  <w:bookmarkStart w:id="118" w:name="_Toc511290048"/>
                  <w:bookmarkStart w:id="119" w:name="_Toc511375612"/>
                  <w:bookmarkStart w:id="120" w:name="_Toc515027608"/>
                  <w:bookmarkStart w:id="121" w:name="_Toc513728611"/>
                  <w:bookmarkStart w:id="122" w:name="_Toc513816736"/>
                  <w:bookmarkStart w:id="123" w:name="_Toc504744209"/>
                  <w:r>
                    <w:rPr>
                      <w:kern w:val="2"/>
                    </w:rPr>
                    <w:t>2019.</w:t>
                  </w:r>
                  <w:r>
                    <w:rPr>
                      <w:rFonts w:hint="eastAsia"/>
                      <w:kern w:val="2"/>
                      <w:lang w:val="en-US" w:eastAsia="zh-CN"/>
                    </w:rPr>
                    <w:t>3</w:t>
                  </w:r>
                  <w:r>
                    <w:rPr>
                      <w:kern w:val="2"/>
                    </w:rPr>
                    <w:t>.</w:t>
                  </w:r>
                  <w:bookmarkEnd w:id="23"/>
                  <w:r>
                    <w:rPr>
                      <w:rFonts w:hint="eastAsia"/>
                      <w:kern w:val="2"/>
                      <w:lang w:val="en-US" w:eastAsia="zh-CN"/>
                    </w:rPr>
                    <w:t>6</w:t>
                  </w:r>
                  <w:r>
                    <w:rPr>
                      <w:kern w:val="2"/>
                    </w:rPr>
                    <w:t>-3.</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Pr>
                      <w:rFonts w:hint="eastAsia"/>
                      <w:kern w:val="2"/>
                      <w:lang w:val="en-US" w:eastAsia="zh-CN"/>
                    </w:rPr>
                    <w:t>8</w:t>
                  </w:r>
                </w:p>
                <w:p>
                  <w:pPr>
                    <w:rPr>
                      <w:rFonts w:cs="Times New Roman"/>
                    </w:rPr>
                  </w:pPr>
                </w:p>
              </w:txbxContent>
            </v:textbox>
          </v:shape>
        </w:pict>
      </w:r>
      <w:r>
        <w:rPr>
          <w:lang w:eastAsia="zh-CN"/>
        </w:rPr>
        <w:pict>
          <v:shape id="_x0000_s1029" o:spid="_x0000_s1029" o:spt="202" type="#_x0000_t202" style="position:absolute;left:0pt;margin-left:36.75pt;margin-top:580.6pt;height:112.15pt;width:414pt;z-index:251660288;mso-width-relative:page;mso-height-relative:page;" filled="f" stroked="f" coordsize="21600,21600">
            <v:path/>
            <v:fill on="f" focussize="0,0"/>
            <v:stroke on="f" joinstyle="miter"/>
            <v:imagedata o:title=""/>
            <o:lock v:ext="edit"/>
            <v:textbox>
              <w:txbxContent>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责任编辑：朱海燕</w:t>
                  </w:r>
                  <w:r>
                    <w:rPr>
                      <w:rFonts w:ascii="黑体" w:hAnsi="宋体" w:eastAsia="黑体" w:cs="黑体"/>
                      <w:kern w:val="2"/>
                      <w:sz w:val="24"/>
                      <w:szCs w:val="24"/>
                      <w:lang w:eastAsia="zh-CN"/>
                    </w:rPr>
                    <w:t>/</w:t>
                  </w:r>
                  <w:r>
                    <w:rPr>
                      <w:rFonts w:hint="eastAsia" w:ascii="黑体" w:hAnsi="宋体" w:eastAsia="黑体" w:cs="黑体"/>
                      <w:kern w:val="2"/>
                      <w:sz w:val="24"/>
                      <w:szCs w:val="24"/>
                      <w:lang w:eastAsia="zh-CN"/>
                    </w:rPr>
                    <w:t>于亚楠</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电话：</w:t>
                  </w:r>
                  <w:r>
                    <w:rPr>
                      <w:rFonts w:ascii="黑体" w:hAnsi="宋体" w:eastAsia="黑体" w:cs="黑体"/>
                      <w:kern w:val="2"/>
                      <w:sz w:val="24"/>
                      <w:szCs w:val="24"/>
                      <w:lang w:eastAsia="zh-CN"/>
                    </w:rPr>
                    <w:t>86-10-18513790749</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传真：</w:t>
                  </w:r>
                  <w:r>
                    <w:rPr>
                      <w:rFonts w:ascii="黑体" w:hAnsi="宋体" w:eastAsia="黑体" w:cs="黑体"/>
                      <w:kern w:val="2"/>
                      <w:sz w:val="24"/>
                      <w:szCs w:val="24"/>
                      <w:lang w:eastAsia="zh-CN"/>
                    </w:rPr>
                    <w:t>86-010-</w:t>
                  </w:r>
                  <w:r>
                    <w:rPr>
                      <w:rFonts w:ascii="黑体" w:hAnsi="Arial" w:eastAsia="黑体" w:cs="黑体"/>
                      <w:color w:val="333333"/>
                      <w:sz w:val="24"/>
                      <w:szCs w:val="24"/>
                      <w:lang w:eastAsia="zh-CN"/>
                    </w:rPr>
                    <w:t>85725399</w:t>
                  </w:r>
                </w:p>
                <w:p>
                  <w:pPr>
                    <w:pStyle w:val="40"/>
                    <w:rPr>
                      <w:rFonts w:ascii="黑体" w:hAnsi="宋体" w:eastAsia="黑体" w:cs="黑体"/>
                      <w:kern w:val="2"/>
                      <w:sz w:val="24"/>
                      <w:szCs w:val="24"/>
                      <w:lang w:eastAsia="zh-CN"/>
                    </w:rPr>
                  </w:pPr>
                  <w:r>
                    <w:rPr>
                      <w:rFonts w:hint="eastAsia" w:ascii="黑体" w:hAnsi="宋体" w:eastAsia="黑体" w:cs="黑体"/>
                      <w:kern w:val="2"/>
                      <w:sz w:val="24"/>
                      <w:szCs w:val="24"/>
                      <w:lang w:eastAsia="zh-CN"/>
                    </w:rPr>
                    <w:t>编辑邮箱：</w:t>
                  </w:r>
                  <w:r>
                    <w:rPr>
                      <w:rFonts w:ascii="黑体" w:hAnsi="宋体" w:eastAsia="黑体" w:cs="黑体"/>
                      <w:kern w:val="2"/>
                      <w:sz w:val="24"/>
                      <w:szCs w:val="24"/>
                      <w:lang w:eastAsia="zh-CN"/>
                    </w:rPr>
                    <w:t>zhuhy@chinaccm.com</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地址：</w:t>
                  </w:r>
                  <w:r>
                    <w:rPr>
                      <w:rFonts w:hint="eastAsia" w:ascii="黑体" w:eastAsia="黑体" w:cs="黑体"/>
                      <w:sz w:val="24"/>
                      <w:szCs w:val="24"/>
                      <w:lang w:eastAsia="zh-CN"/>
                    </w:rPr>
                    <w:t>北京市朝阳区高碑店东区</w:t>
                  </w:r>
                  <w:r>
                    <w:rPr>
                      <w:rFonts w:ascii="黑体" w:eastAsia="黑体" w:cs="黑体"/>
                      <w:sz w:val="24"/>
                      <w:szCs w:val="24"/>
                      <w:lang w:eastAsia="zh-CN"/>
                    </w:rPr>
                    <w:t>B</w:t>
                  </w:r>
                  <w:r>
                    <w:rPr>
                      <w:rFonts w:hint="eastAsia" w:ascii="黑体" w:eastAsia="黑体" w:cs="黑体"/>
                      <w:sz w:val="24"/>
                      <w:szCs w:val="24"/>
                      <w:lang w:eastAsia="zh-CN"/>
                    </w:rPr>
                    <w:t>区</w:t>
                  </w:r>
                  <w:r>
                    <w:rPr>
                      <w:rFonts w:ascii="黑体" w:eastAsia="黑体" w:cs="黑体"/>
                      <w:sz w:val="24"/>
                      <w:szCs w:val="24"/>
                      <w:lang w:eastAsia="zh-CN"/>
                    </w:rPr>
                    <w:t>8-1</w:t>
                  </w:r>
                  <w:r>
                    <w:rPr>
                      <w:rFonts w:hint="eastAsia" w:ascii="黑体" w:hAnsi="宋体" w:eastAsia="黑体" w:cs="黑体"/>
                      <w:kern w:val="2"/>
                      <w:sz w:val="24"/>
                      <w:szCs w:val="24"/>
                      <w:lang w:eastAsia="zh-CN"/>
                    </w:rPr>
                    <w:t>（邮编：</w:t>
                  </w:r>
                  <w:r>
                    <w:rPr>
                      <w:rFonts w:ascii="黑体" w:hAnsi="宋体" w:eastAsia="黑体" w:cs="黑体"/>
                      <w:kern w:val="2"/>
                      <w:sz w:val="24"/>
                      <w:szCs w:val="24"/>
                      <w:lang w:eastAsia="zh-CN"/>
                    </w:rPr>
                    <w:t>100022</w:t>
                  </w:r>
                  <w:r>
                    <w:rPr>
                      <w:rFonts w:hint="eastAsia" w:ascii="黑体" w:hAnsi="宋体" w:eastAsia="黑体" w:cs="黑体"/>
                      <w:kern w:val="2"/>
                      <w:sz w:val="24"/>
                      <w:szCs w:val="24"/>
                      <w:lang w:eastAsia="zh-CN"/>
                    </w:rPr>
                    <w:t>）</w:t>
                  </w:r>
                </w:p>
                <w:p>
                  <w:pPr>
                    <w:jc w:val="left"/>
                    <w:rPr>
                      <w:rFonts w:cs="Times New Roman"/>
                    </w:rPr>
                  </w:pPr>
                </w:p>
              </w:txbxContent>
            </v:textbox>
          </v:shape>
        </w:pict>
      </w:r>
      <w:r>
        <w:rPr>
          <w:rFonts w:cs="Times New Roman"/>
        </w:rPr>
        <w:br w:type="page"/>
      </w:r>
      <w:r>
        <w:rPr>
          <w:rFonts w:hint="eastAsia" w:ascii="宋体" w:hAnsi="宋体" w:cs="宋体"/>
          <w:b/>
          <w:bCs/>
          <w:color w:val="000000"/>
          <w:sz w:val="28"/>
          <w:szCs w:val="28"/>
          <w:lang w:eastAsia="zh-CN"/>
        </w:rPr>
        <w:t>小金属周报目录</w:t>
      </w:r>
      <w:bookmarkStart w:id="0" w:name="_Toc485828985"/>
      <w:bookmarkStart w:id="1" w:name="_Toc486002518"/>
    </w:p>
    <w:p>
      <w:pPr>
        <w:pStyle w:val="15"/>
        <w:rPr>
          <w:rFonts w:hint="eastAsia" w:ascii="宋体" w:hAnsi="宋体" w:cs="宋体"/>
          <w:b/>
          <w:bCs/>
          <w:color w:val="000000"/>
          <w:sz w:val="28"/>
          <w:szCs w:val="28"/>
          <w:lang w:eastAsia="zh-CN"/>
        </w:rPr>
      </w:pPr>
      <w:r>
        <w:fldChar w:fldCharType="begin"/>
      </w:r>
      <w:r>
        <w:instrText xml:space="preserve"> HYPERLINK "file:///C:\\Users\\Administrator\\Desktop\\周报\\2019年2月第二周小金属周刊.docx" \l "_Toc1132017" </w:instrText>
      </w:r>
      <w:r>
        <w:fldChar w:fldCharType="separate"/>
      </w:r>
      <w:r>
        <w:rPr>
          <w:rFonts w:hint="eastAsia" w:cs="黑体"/>
        </w:rPr>
        <w:t>2019.</w:t>
      </w:r>
      <w:r>
        <w:rPr>
          <w:rFonts w:hint="eastAsia" w:cs="黑体"/>
          <w:lang w:val="en-US" w:eastAsia="zh-CN"/>
        </w:rPr>
        <w:t>3</w:t>
      </w:r>
      <w:r>
        <w:rPr>
          <w:rFonts w:hint="eastAsia" w:cs="黑体"/>
        </w:rPr>
        <w:t>.</w:t>
      </w:r>
      <w:r>
        <w:rPr>
          <w:rFonts w:hint="eastAsia" w:cs="黑体"/>
          <w:lang w:val="en-US" w:eastAsia="zh-CN"/>
        </w:rPr>
        <w:t>6</w:t>
      </w:r>
      <w:r>
        <w:rPr>
          <w:rFonts w:hint="eastAsia" w:cs="黑体"/>
        </w:rPr>
        <w:t>-3.</w:t>
      </w:r>
      <w:r>
        <w:rPr>
          <w:rFonts w:hint="eastAsia" w:cs="黑体"/>
          <w:lang w:val="en-US" w:eastAsia="zh-CN"/>
        </w:rPr>
        <w:t>8</w:t>
      </w:r>
      <w:r>
        <w:rPr>
          <w:rFonts w:cs="Times New Roman"/>
        </w:rPr>
        <w:tab/>
      </w:r>
      <w:r>
        <w:fldChar w:fldCharType="begin"/>
      </w:r>
      <w:r>
        <w:instrText xml:space="preserve"> PAGEREF _Toc1132017 \h </w:instrText>
      </w:r>
      <w:r>
        <w:fldChar w:fldCharType="separate"/>
      </w:r>
      <w:r>
        <w:t>1</w:t>
      </w:r>
      <w:r>
        <w:fldChar w:fldCharType="end"/>
      </w:r>
      <w:r>
        <w:fldChar w:fldCharType="end"/>
      </w:r>
    </w:p>
    <w:p>
      <w:pPr>
        <w:pStyle w:val="15"/>
        <w:tabs>
          <w:tab w:val="right" w:leader="dot" w:pos="8504"/>
          <w:tab w:val="clear" w:pos="9170"/>
        </w:tabs>
      </w:pPr>
      <w:r>
        <w:fldChar w:fldCharType="begin"/>
      </w:r>
      <w:r>
        <w:instrText xml:space="preserve"> TOC \o "1-3" \h \z \u </w:instrText>
      </w:r>
      <w:r>
        <w:fldChar w:fldCharType="separate"/>
      </w:r>
      <w:r>
        <w:fldChar w:fldCharType="begin"/>
      </w:r>
      <w:r>
        <w:instrText xml:space="preserve"> HYPERLINK \l _Toc17789 </w:instrText>
      </w:r>
      <w:r>
        <w:fldChar w:fldCharType="separate"/>
      </w:r>
      <w:r>
        <w:rPr>
          <w:rFonts w:hint="eastAsia" w:cs="黑体"/>
        </w:rPr>
        <w:t>　　一、小金属一周评述</w:t>
      </w:r>
      <w:r>
        <w:tab/>
      </w:r>
      <w:r>
        <w:fldChar w:fldCharType="begin"/>
      </w:r>
      <w:r>
        <w:instrText xml:space="preserve"> PAGEREF _Toc17789 </w:instrText>
      </w:r>
      <w:r>
        <w:fldChar w:fldCharType="separate"/>
      </w:r>
      <w:r>
        <w:t>3</w:t>
      </w:r>
      <w:r>
        <w:fldChar w:fldCharType="end"/>
      </w:r>
      <w:r>
        <w:fldChar w:fldCharType="end"/>
      </w:r>
    </w:p>
    <w:p>
      <w:pPr>
        <w:pStyle w:val="9"/>
        <w:tabs>
          <w:tab w:val="right" w:leader="dot" w:pos="8504"/>
          <w:tab w:val="clear" w:pos="8494"/>
        </w:tabs>
      </w:pPr>
      <w:r>
        <w:fldChar w:fldCharType="begin"/>
      </w:r>
      <w:r>
        <w:instrText xml:space="preserve"> HYPERLINK \l _Toc15023 </w:instrText>
      </w:r>
      <w:r>
        <w:fldChar w:fldCharType="separate"/>
      </w:r>
      <w:r>
        <w:rPr>
          <w:rFonts w:hint="eastAsia"/>
          <w:kern w:val="0"/>
          <w:lang w:val="en-US" w:eastAsia="zh-CN"/>
        </w:rPr>
        <w:t>1</w:t>
      </w:r>
      <w:r>
        <w:rPr>
          <w:rFonts w:hint="eastAsia"/>
          <w:kern w:val="0"/>
        </w:rPr>
        <w:t>、</w:t>
      </w:r>
      <w:r>
        <w:rPr>
          <w:rFonts w:hint="eastAsia" w:ascii="Calibri" w:hAnsi="Calibri" w:eastAsia="宋体" w:cs="Calibri"/>
          <w:b/>
          <w:bCs/>
          <w:kern w:val="0"/>
          <w:sz w:val="32"/>
          <w:szCs w:val="32"/>
          <w:lang w:val="en-US" w:eastAsia="zh-CN" w:bidi="ar-SA"/>
        </w:rPr>
        <w:t>硒评论：锰价下跌硒市</w:t>
      </w:r>
      <w:r>
        <w:rPr>
          <w:rFonts w:hint="eastAsia" w:cs="Calibri"/>
          <w:b/>
          <w:bCs/>
          <w:kern w:val="0"/>
          <w:sz w:val="32"/>
          <w:szCs w:val="32"/>
          <w:lang w:val="en-US" w:eastAsia="zh-CN" w:bidi="ar-SA"/>
        </w:rPr>
        <w:t xml:space="preserve"> </w:t>
      </w:r>
      <w:r>
        <w:rPr>
          <w:rFonts w:hint="eastAsia" w:ascii="Calibri" w:hAnsi="Calibri" w:eastAsia="宋体" w:cs="Calibri"/>
          <w:b/>
          <w:bCs/>
          <w:kern w:val="0"/>
          <w:sz w:val="32"/>
          <w:szCs w:val="32"/>
          <w:lang w:val="en-US" w:eastAsia="zh-CN" w:bidi="ar-SA"/>
        </w:rPr>
        <w:t>弱势运行</w:t>
      </w:r>
      <w:r>
        <w:tab/>
      </w:r>
      <w:r>
        <w:rPr>
          <w:rFonts w:hint="eastAsia"/>
          <w:lang w:val="en-US" w:eastAsia="zh-CN"/>
        </w:rPr>
        <w:t>3</w:t>
      </w:r>
      <w:r>
        <w:fldChar w:fldCharType="end"/>
      </w:r>
    </w:p>
    <w:p>
      <w:pPr>
        <w:pStyle w:val="9"/>
        <w:tabs>
          <w:tab w:val="right" w:leader="dot" w:pos="8504"/>
          <w:tab w:val="clear" w:pos="8494"/>
        </w:tabs>
      </w:pPr>
      <w:r>
        <w:fldChar w:fldCharType="begin"/>
      </w:r>
      <w:r>
        <w:instrText xml:space="preserve"> HYPERLINK \l _Toc15023 </w:instrText>
      </w:r>
      <w:r>
        <w:fldChar w:fldCharType="separate"/>
      </w:r>
      <w:r>
        <w:rPr>
          <w:rFonts w:hint="eastAsia"/>
          <w:kern w:val="0"/>
          <w:lang w:val="en-US" w:eastAsia="zh-CN"/>
        </w:rPr>
        <w:t>2</w:t>
      </w:r>
      <w:r>
        <w:rPr>
          <w:rFonts w:hint="eastAsia"/>
          <w:kern w:val="0"/>
        </w:rPr>
        <w:t>、</w:t>
      </w:r>
      <w:r>
        <w:rPr>
          <w:rFonts w:hint="eastAsia" w:ascii="Calibri" w:hAnsi="Calibri" w:eastAsia="宋体" w:cs="Calibri"/>
          <w:b/>
          <w:bCs/>
          <w:kern w:val="0"/>
          <w:sz w:val="32"/>
          <w:szCs w:val="32"/>
          <w:lang w:val="en-US" w:eastAsia="zh-CN" w:bidi="ar-SA"/>
        </w:rPr>
        <w:t>铋评论：铋锭成交量低</w:t>
      </w:r>
      <w:r>
        <w:rPr>
          <w:rFonts w:hint="eastAsia" w:cs="Calibri"/>
          <w:b/>
          <w:bCs/>
          <w:kern w:val="0"/>
          <w:sz w:val="32"/>
          <w:szCs w:val="32"/>
          <w:lang w:val="en-US" w:eastAsia="zh-CN" w:bidi="ar-SA"/>
        </w:rPr>
        <w:t xml:space="preserve"> </w:t>
      </w:r>
      <w:r>
        <w:rPr>
          <w:rFonts w:hint="eastAsia" w:ascii="Calibri" w:hAnsi="Calibri" w:eastAsia="宋体" w:cs="Calibri"/>
          <w:b/>
          <w:bCs/>
          <w:kern w:val="0"/>
          <w:sz w:val="32"/>
          <w:szCs w:val="32"/>
          <w:lang w:val="en-US" w:eastAsia="zh-CN" w:bidi="ar-SA"/>
        </w:rPr>
        <w:t>价格下跌</w:t>
      </w:r>
      <w:r>
        <w:tab/>
      </w:r>
      <w:r>
        <w:rPr>
          <w:rFonts w:hint="eastAsia"/>
          <w:lang w:val="en-US" w:eastAsia="zh-CN"/>
        </w:rPr>
        <w:t>3</w:t>
      </w:r>
      <w:r>
        <w:fldChar w:fldCharType="end"/>
      </w:r>
    </w:p>
    <w:p>
      <w:pPr>
        <w:pStyle w:val="9"/>
        <w:tabs>
          <w:tab w:val="right" w:leader="dot" w:pos="8504"/>
          <w:tab w:val="clear" w:pos="8494"/>
        </w:tabs>
      </w:pPr>
      <w:r>
        <w:fldChar w:fldCharType="begin"/>
      </w:r>
      <w:r>
        <w:instrText xml:space="preserve"> HYPERLINK \l _Toc15023 </w:instrText>
      </w:r>
      <w:r>
        <w:fldChar w:fldCharType="separate"/>
      </w:r>
      <w:r>
        <w:rPr>
          <w:kern w:val="0"/>
        </w:rPr>
        <w:t>3</w:t>
      </w:r>
      <w:r>
        <w:rPr>
          <w:rFonts w:hint="eastAsia"/>
          <w:kern w:val="0"/>
        </w:rPr>
        <w:t>、铟评论</w:t>
      </w:r>
      <w:r>
        <w:rPr>
          <w:kern w:val="0"/>
        </w:rPr>
        <w:t xml:space="preserve">: </w:t>
      </w:r>
      <w:r>
        <w:rPr>
          <w:rFonts w:hint="eastAsia"/>
          <w:kern w:val="0"/>
        </w:rPr>
        <w:t>铟市弱势运行</w:t>
      </w:r>
      <w:r>
        <w:rPr>
          <w:rFonts w:hint="eastAsia"/>
          <w:kern w:val="0"/>
          <w:lang w:val="en-US" w:eastAsia="zh-CN"/>
        </w:rPr>
        <w:t xml:space="preserve"> </w:t>
      </w:r>
      <w:r>
        <w:rPr>
          <w:rFonts w:hint="eastAsia"/>
          <w:kern w:val="0"/>
        </w:rPr>
        <w:t>交投稀少</w:t>
      </w:r>
      <w:r>
        <w:tab/>
      </w:r>
      <w:r>
        <w:fldChar w:fldCharType="begin"/>
      </w:r>
      <w:r>
        <w:instrText xml:space="preserve"> PAGEREF _Toc15023 </w:instrText>
      </w:r>
      <w:r>
        <w:fldChar w:fldCharType="separate"/>
      </w:r>
      <w:r>
        <w:t>4</w:t>
      </w:r>
      <w:r>
        <w:fldChar w:fldCharType="end"/>
      </w:r>
      <w:r>
        <w:fldChar w:fldCharType="end"/>
      </w:r>
    </w:p>
    <w:p>
      <w:pPr>
        <w:pStyle w:val="9"/>
        <w:tabs>
          <w:tab w:val="right" w:leader="dot" w:pos="8504"/>
          <w:tab w:val="clear" w:pos="8494"/>
        </w:tabs>
      </w:pPr>
      <w:r>
        <w:fldChar w:fldCharType="begin"/>
      </w:r>
      <w:r>
        <w:instrText xml:space="preserve"> HYPERLINK \l _Toc22551 </w:instrText>
      </w:r>
      <w:r>
        <w:fldChar w:fldCharType="separate"/>
      </w:r>
      <w:r>
        <w:rPr>
          <w:kern w:val="0"/>
        </w:rPr>
        <w:t>4</w:t>
      </w:r>
      <w:r>
        <w:rPr>
          <w:rFonts w:hint="eastAsia" w:cs="宋体"/>
          <w:kern w:val="0"/>
        </w:rPr>
        <w:t>、碲评论：碲锭市场需求低</w:t>
      </w:r>
      <w:r>
        <w:rPr>
          <w:rFonts w:hint="eastAsia" w:cs="宋体"/>
          <w:kern w:val="0"/>
          <w:lang w:val="en-US" w:eastAsia="zh-CN"/>
        </w:rPr>
        <w:t xml:space="preserve"> </w:t>
      </w:r>
      <w:bookmarkStart w:id="124" w:name="_GoBack"/>
      <w:bookmarkEnd w:id="124"/>
      <w:r>
        <w:rPr>
          <w:rFonts w:hint="eastAsia" w:cs="宋体"/>
          <w:kern w:val="0"/>
        </w:rPr>
        <w:t>平稳运行</w:t>
      </w:r>
      <w:r>
        <w:tab/>
      </w:r>
      <w:r>
        <w:fldChar w:fldCharType="begin"/>
      </w:r>
      <w:r>
        <w:instrText xml:space="preserve"> PAGEREF _Toc22551 </w:instrText>
      </w:r>
      <w:r>
        <w:fldChar w:fldCharType="separate"/>
      </w:r>
      <w:r>
        <w:t>5</w:t>
      </w:r>
      <w:r>
        <w:fldChar w:fldCharType="end"/>
      </w:r>
      <w:r>
        <w:fldChar w:fldCharType="end"/>
      </w:r>
    </w:p>
    <w:p>
      <w:pPr>
        <w:pStyle w:val="15"/>
        <w:tabs>
          <w:tab w:val="right" w:leader="dot" w:pos="8504"/>
          <w:tab w:val="clear" w:pos="9170"/>
        </w:tabs>
      </w:pPr>
      <w:r>
        <w:fldChar w:fldCharType="begin"/>
      </w:r>
      <w:r>
        <w:instrText xml:space="preserve"> HYPERLINK \l _Toc2257 </w:instrText>
      </w:r>
      <w:r>
        <w:fldChar w:fldCharType="separate"/>
      </w:r>
      <w:r>
        <w:rPr>
          <w:rFonts w:hint="eastAsia" w:cs="黑体"/>
        </w:rPr>
        <w:t>二、价格行情</w:t>
      </w:r>
      <w:r>
        <w:tab/>
      </w:r>
      <w:r>
        <w:fldChar w:fldCharType="begin"/>
      </w:r>
      <w:r>
        <w:instrText xml:space="preserve"> PAGEREF _Toc2257 </w:instrText>
      </w:r>
      <w:r>
        <w:fldChar w:fldCharType="separate"/>
      </w:r>
      <w:r>
        <w:t>5</w:t>
      </w:r>
      <w:r>
        <w:fldChar w:fldCharType="end"/>
      </w:r>
      <w:r>
        <w:fldChar w:fldCharType="end"/>
      </w:r>
    </w:p>
    <w:p>
      <w:pPr>
        <w:pStyle w:val="9"/>
        <w:tabs>
          <w:tab w:val="right" w:leader="dot" w:pos="8504"/>
          <w:tab w:val="clear" w:pos="8494"/>
        </w:tabs>
      </w:pPr>
      <w:r>
        <w:fldChar w:fldCharType="begin"/>
      </w:r>
      <w:r>
        <w:instrText xml:space="preserve"> HYPERLINK \l _Toc7165 </w:instrText>
      </w:r>
      <w:r>
        <w:fldChar w:fldCharType="separate"/>
      </w:r>
      <w:r>
        <w:rPr>
          <w:kern w:val="0"/>
        </w:rPr>
        <w:t>1</w:t>
      </w:r>
      <w:r>
        <w:rPr>
          <w:rFonts w:hint="eastAsia" w:cs="宋体"/>
          <w:kern w:val="0"/>
        </w:rPr>
        <w:t>、国际价格</w:t>
      </w:r>
      <w:r>
        <w:tab/>
      </w:r>
      <w:r>
        <w:fldChar w:fldCharType="begin"/>
      </w:r>
      <w:r>
        <w:instrText xml:space="preserve"> PAGEREF _Toc7165 </w:instrText>
      </w:r>
      <w:r>
        <w:fldChar w:fldCharType="separate"/>
      </w:r>
      <w:r>
        <w:t>5</w:t>
      </w:r>
      <w:r>
        <w:fldChar w:fldCharType="end"/>
      </w:r>
      <w:r>
        <w:fldChar w:fldCharType="end"/>
      </w:r>
    </w:p>
    <w:p>
      <w:pPr>
        <w:pStyle w:val="9"/>
        <w:tabs>
          <w:tab w:val="right" w:leader="dot" w:pos="8504"/>
          <w:tab w:val="clear" w:pos="8494"/>
        </w:tabs>
      </w:pPr>
      <w:r>
        <w:fldChar w:fldCharType="begin"/>
      </w:r>
      <w:r>
        <w:instrText xml:space="preserve"> HYPERLINK \l _Toc29151 </w:instrText>
      </w:r>
      <w:r>
        <w:fldChar w:fldCharType="separate"/>
      </w:r>
      <w:r>
        <w:rPr>
          <w:kern w:val="0"/>
        </w:rPr>
        <w:t>2</w:t>
      </w:r>
      <w:r>
        <w:rPr>
          <w:rFonts w:hint="eastAsia" w:cs="宋体"/>
          <w:kern w:val="0"/>
        </w:rPr>
        <w:t>、欧洲鹿特丹小金属价格</w:t>
      </w:r>
      <w:r>
        <w:tab/>
      </w:r>
      <w:r>
        <w:fldChar w:fldCharType="begin"/>
      </w:r>
      <w:r>
        <w:instrText xml:space="preserve"> PAGEREF _Toc29151 </w:instrText>
      </w:r>
      <w:r>
        <w:fldChar w:fldCharType="separate"/>
      </w:r>
      <w:r>
        <w:t>5</w:t>
      </w:r>
      <w:r>
        <w:fldChar w:fldCharType="end"/>
      </w:r>
      <w:r>
        <w:fldChar w:fldCharType="end"/>
      </w:r>
    </w:p>
    <w:p>
      <w:pPr>
        <w:pStyle w:val="9"/>
        <w:tabs>
          <w:tab w:val="right" w:leader="dot" w:pos="8504"/>
          <w:tab w:val="clear" w:pos="8494"/>
        </w:tabs>
      </w:pPr>
      <w:r>
        <w:fldChar w:fldCharType="begin"/>
      </w:r>
      <w:r>
        <w:instrText xml:space="preserve"> HYPERLINK \l _Toc953 </w:instrText>
      </w:r>
      <w:r>
        <w:fldChar w:fldCharType="separate"/>
      </w:r>
      <w:r>
        <w:rPr>
          <w:kern w:val="0"/>
        </w:rPr>
        <w:t>3</w:t>
      </w:r>
      <w:r>
        <w:rPr>
          <w:rFonts w:hint="eastAsia" w:cs="宋体"/>
          <w:kern w:val="0"/>
        </w:rPr>
        <w:t>、国内一周小金属价格汇总</w:t>
      </w:r>
      <w:r>
        <w:tab/>
      </w:r>
      <w:r>
        <w:fldChar w:fldCharType="begin"/>
      </w:r>
      <w:r>
        <w:instrText xml:space="preserve"> PAGEREF _Toc953 </w:instrText>
      </w:r>
      <w:r>
        <w:fldChar w:fldCharType="separate"/>
      </w:r>
      <w:r>
        <w:t>6</w:t>
      </w:r>
      <w:r>
        <w:fldChar w:fldCharType="end"/>
      </w:r>
      <w:r>
        <w:fldChar w:fldCharType="end"/>
      </w:r>
    </w:p>
    <w:p>
      <w:pPr>
        <w:pStyle w:val="15"/>
        <w:tabs>
          <w:tab w:val="right" w:leader="dot" w:pos="8504"/>
          <w:tab w:val="clear" w:pos="9170"/>
        </w:tabs>
      </w:pPr>
      <w:r>
        <w:fldChar w:fldCharType="begin"/>
      </w:r>
      <w:r>
        <w:instrText xml:space="preserve"> HYPERLINK \l _Toc3733 </w:instrText>
      </w:r>
      <w:r>
        <w:fldChar w:fldCharType="separate"/>
      </w:r>
      <w:r>
        <w:rPr>
          <w:rFonts w:hint="eastAsia"/>
        </w:rPr>
        <w:t xml:space="preserve">三、 </w:t>
      </w:r>
      <w:r>
        <w:rPr>
          <w:rFonts w:hint="eastAsia" w:cs="黑体"/>
          <w:kern w:val="0"/>
        </w:rPr>
        <w:t>一周市场动态回</w:t>
      </w:r>
      <w:r>
        <w:rPr>
          <w:rFonts w:hint="eastAsia" w:cs="黑体"/>
          <w:kern w:val="0"/>
          <w:lang w:eastAsia="zh-CN"/>
        </w:rPr>
        <w:t>顾</w:t>
      </w:r>
      <w:r>
        <w:tab/>
      </w:r>
      <w:r>
        <w:fldChar w:fldCharType="begin"/>
      </w:r>
      <w:r>
        <w:instrText xml:space="preserve"> PAGEREF _Toc3733 </w:instrText>
      </w:r>
      <w:r>
        <w:fldChar w:fldCharType="separate"/>
      </w:r>
      <w:r>
        <w:t>6</w:t>
      </w:r>
      <w:r>
        <w:fldChar w:fldCharType="end"/>
      </w:r>
      <w:r>
        <w:fldChar w:fldCharType="end"/>
      </w:r>
    </w:p>
    <w:p>
      <w:pPr>
        <w:pStyle w:val="17"/>
        <w:tabs>
          <w:tab w:val="right" w:leader="dot" w:pos="8504"/>
          <w:tab w:val="clear" w:pos="9170"/>
        </w:tabs>
      </w:pPr>
      <w:r>
        <w:fldChar w:fldCharType="begin"/>
      </w:r>
      <w:r>
        <w:instrText xml:space="preserve"> HYPERLINK \l _Toc31732 </w:instrText>
      </w:r>
      <w:r>
        <w:fldChar w:fldCharType="separate"/>
      </w:r>
      <w:r>
        <w:rPr>
          <w:rFonts w:hint="eastAsia" w:ascii="宋体" w:hAnsi="宋体" w:cs="宋体"/>
          <w:bCs/>
          <w:kern w:val="0"/>
          <w:szCs w:val="30"/>
        </w:rPr>
        <w:t>蒙古哈马戈泰钻探发现新的斑铜矿体</w:t>
      </w:r>
      <w:r>
        <w:tab/>
      </w:r>
      <w:r>
        <w:fldChar w:fldCharType="begin"/>
      </w:r>
      <w:r>
        <w:instrText xml:space="preserve"> PAGEREF _Toc31732 </w:instrText>
      </w:r>
      <w:r>
        <w:fldChar w:fldCharType="separate"/>
      </w:r>
      <w:r>
        <w:t>6</w:t>
      </w:r>
      <w:r>
        <w:fldChar w:fldCharType="end"/>
      </w:r>
      <w:r>
        <w:fldChar w:fldCharType="end"/>
      </w:r>
    </w:p>
    <w:p>
      <w:pPr>
        <w:pStyle w:val="17"/>
        <w:tabs>
          <w:tab w:val="right" w:leader="dot" w:pos="8504"/>
          <w:tab w:val="clear" w:pos="9170"/>
        </w:tabs>
      </w:pPr>
      <w:r>
        <w:fldChar w:fldCharType="begin"/>
      </w:r>
      <w:r>
        <w:instrText xml:space="preserve"> HYPERLINK \l _Toc23666 </w:instrText>
      </w:r>
      <w:r>
        <w:fldChar w:fldCharType="separate"/>
      </w:r>
      <w:r>
        <w:rPr>
          <w:rFonts w:hint="eastAsia" w:ascii="宋体" w:hAnsi="宋体" w:cs="宋体"/>
          <w:bCs/>
          <w:kern w:val="0"/>
          <w:szCs w:val="30"/>
        </w:rPr>
        <w:t>江西铜业拟29.76亿控股恒邦股份</w:t>
      </w:r>
      <w:r>
        <w:tab/>
      </w:r>
      <w:r>
        <w:fldChar w:fldCharType="begin"/>
      </w:r>
      <w:r>
        <w:instrText xml:space="preserve"> PAGEREF _Toc23666 </w:instrText>
      </w:r>
      <w:r>
        <w:fldChar w:fldCharType="separate"/>
      </w:r>
      <w:r>
        <w:t>7</w:t>
      </w:r>
      <w:r>
        <w:fldChar w:fldCharType="end"/>
      </w:r>
      <w:r>
        <w:fldChar w:fldCharType="end"/>
      </w:r>
    </w:p>
    <w:p>
      <w:pPr>
        <w:pStyle w:val="17"/>
        <w:tabs>
          <w:tab w:val="right" w:leader="dot" w:pos="8504"/>
          <w:tab w:val="clear" w:pos="9170"/>
        </w:tabs>
      </w:pPr>
      <w:r>
        <w:fldChar w:fldCharType="begin"/>
      </w:r>
      <w:r>
        <w:instrText xml:space="preserve"> HYPERLINK \l _Toc2520 </w:instrText>
      </w:r>
      <w:r>
        <w:fldChar w:fldCharType="separate"/>
      </w:r>
      <w:r>
        <w:rPr>
          <w:rFonts w:hint="eastAsia" w:ascii="宋体" w:hAnsi="宋体" w:cs="宋体"/>
          <w:bCs/>
          <w:kern w:val="0"/>
          <w:szCs w:val="30"/>
        </w:rPr>
        <w:t>鹰潭市推动铜产业高质量发展</w:t>
      </w:r>
      <w:r>
        <w:tab/>
      </w:r>
      <w:r>
        <w:fldChar w:fldCharType="begin"/>
      </w:r>
      <w:r>
        <w:instrText xml:space="preserve"> PAGEREF _Toc2520 </w:instrText>
      </w:r>
      <w:r>
        <w:fldChar w:fldCharType="separate"/>
      </w:r>
      <w:r>
        <w:t>8</w:t>
      </w:r>
      <w:r>
        <w:fldChar w:fldCharType="end"/>
      </w:r>
      <w:r>
        <w:fldChar w:fldCharType="end"/>
      </w:r>
    </w:p>
    <w:p>
      <w:pPr>
        <w:pStyle w:val="17"/>
        <w:tabs>
          <w:tab w:val="right" w:leader="dot" w:pos="8504"/>
          <w:tab w:val="clear" w:pos="9170"/>
        </w:tabs>
      </w:pPr>
      <w:r>
        <w:fldChar w:fldCharType="begin"/>
      </w:r>
      <w:r>
        <w:instrText xml:space="preserve"> HYPERLINK \l _Toc31477 </w:instrText>
      </w:r>
      <w:r>
        <w:fldChar w:fldCharType="separate"/>
      </w:r>
      <w:r>
        <w:rPr>
          <w:rFonts w:hint="eastAsia" w:ascii="宋体" w:hAnsi="宋体" w:cs="宋体"/>
          <w:bCs/>
          <w:kern w:val="0"/>
          <w:szCs w:val="30"/>
        </w:rPr>
        <w:t>紫金矿业海外板块的产量和利润将全面超过国内</w:t>
      </w:r>
      <w:r>
        <w:tab/>
      </w:r>
      <w:r>
        <w:fldChar w:fldCharType="begin"/>
      </w:r>
      <w:r>
        <w:instrText xml:space="preserve"> PAGEREF _Toc31477 </w:instrText>
      </w:r>
      <w:r>
        <w:fldChar w:fldCharType="separate"/>
      </w:r>
      <w:r>
        <w:t>17</w:t>
      </w:r>
      <w:r>
        <w:fldChar w:fldCharType="end"/>
      </w:r>
      <w:r>
        <w:fldChar w:fldCharType="end"/>
      </w:r>
    </w:p>
    <w:p>
      <w:pPr>
        <w:pStyle w:val="17"/>
        <w:tabs>
          <w:tab w:val="right" w:leader="dot" w:pos="8504"/>
          <w:tab w:val="clear" w:pos="9170"/>
        </w:tabs>
      </w:pPr>
      <w:r>
        <w:fldChar w:fldCharType="begin"/>
      </w:r>
      <w:r>
        <w:instrText xml:space="preserve"> HYPERLINK \l _Toc18916 </w:instrText>
      </w:r>
      <w:r>
        <w:fldChar w:fldCharType="separate"/>
      </w:r>
      <w:r>
        <w:rPr>
          <w:rFonts w:hint="eastAsia" w:ascii="宋体" w:hAnsi="宋体" w:cs="宋体"/>
          <w:bCs/>
          <w:kern w:val="0"/>
          <w:szCs w:val="30"/>
        </w:rPr>
        <w:t>六大要素已“配齐” 天津开启新一轮治污攻坚战</w:t>
      </w:r>
      <w:r>
        <w:tab/>
      </w:r>
      <w:r>
        <w:fldChar w:fldCharType="begin"/>
      </w:r>
      <w:r>
        <w:instrText xml:space="preserve"> PAGEREF _Toc18916 </w:instrText>
      </w:r>
      <w:r>
        <w:fldChar w:fldCharType="separate"/>
      </w:r>
      <w:r>
        <w:t>18</w:t>
      </w:r>
      <w:r>
        <w:fldChar w:fldCharType="end"/>
      </w:r>
      <w:r>
        <w:fldChar w:fldCharType="end"/>
      </w:r>
    </w:p>
    <w:p>
      <w:pPr>
        <w:pStyle w:val="17"/>
        <w:tabs>
          <w:tab w:val="right" w:leader="dot" w:pos="8504"/>
          <w:tab w:val="clear" w:pos="9170"/>
        </w:tabs>
      </w:pPr>
      <w:r>
        <w:fldChar w:fldCharType="begin"/>
      </w:r>
      <w:r>
        <w:instrText xml:space="preserve"> HYPERLINK \l _Toc2996 </w:instrText>
      </w:r>
      <w:r>
        <w:fldChar w:fldCharType="separate"/>
      </w:r>
      <w:r>
        <w:rPr>
          <w:rFonts w:hint="eastAsia" w:ascii="宋体" w:hAnsi="宋体" w:cs="宋体"/>
          <w:bCs/>
          <w:kern w:val="0"/>
          <w:szCs w:val="30"/>
        </w:rPr>
        <w:t>废旧铅蓄电池七成流入小作坊 张天任代表：尽快将回收处置纳入制度化轨道</w:t>
      </w:r>
      <w:r>
        <w:tab/>
      </w:r>
      <w:r>
        <w:fldChar w:fldCharType="begin"/>
      </w:r>
      <w:r>
        <w:instrText xml:space="preserve"> PAGEREF _Toc2996 </w:instrText>
      </w:r>
      <w:r>
        <w:fldChar w:fldCharType="separate"/>
      </w:r>
      <w:r>
        <w:t>21</w:t>
      </w:r>
      <w:r>
        <w:fldChar w:fldCharType="end"/>
      </w:r>
      <w:r>
        <w:fldChar w:fldCharType="end"/>
      </w:r>
    </w:p>
    <w:p>
      <w:pPr>
        <w:pStyle w:val="17"/>
        <w:tabs>
          <w:tab w:val="right" w:leader="dot" w:pos="8504"/>
          <w:tab w:val="clear" w:pos="9170"/>
        </w:tabs>
      </w:pPr>
      <w:r>
        <w:fldChar w:fldCharType="begin"/>
      </w:r>
      <w:r>
        <w:instrText xml:space="preserve"> HYPERLINK \l _Toc14879 </w:instrText>
      </w:r>
      <w:r>
        <w:fldChar w:fldCharType="separate"/>
      </w:r>
      <w:r>
        <w:rPr>
          <w:rFonts w:hint="eastAsia" w:ascii="宋体" w:hAnsi="宋体" w:cs="宋体"/>
          <w:bCs/>
          <w:kern w:val="0"/>
          <w:szCs w:val="30"/>
        </w:rPr>
        <w:t>江西省矿山救护总队强化“两会”期间安全维稳和应急战备值守</w:t>
      </w:r>
      <w:r>
        <w:tab/>
      </w:r>
      <w:r>
        <w:fldChar w:fldCharType="begin"/>
      </w:r>
      <w:r>
        <w:instrText xml:space="preserve"> PAGEREF _Toc14879 </w:instrText>
      </w:r>
      <w:r>
        <w:fldChar w:fldCharType="separate"/>
      </w:r>
      <w:r>
        <w:t>24</w:t>
      </w:r>
      <w:r>
        <w:fldChar w:fldCharType="end"/>
      </w:r>
      <w:r>
        <w:fldChar w:fldCharType="end"/>
      </w:r>
    </w:p>
    <w:p>
      <w:pPr>
        <w:pStyle w:val="17"/>
        <w:tabs>
          <w:tab w:val="right" w:leader="dot" w:pos="8504"/>
          <w:tab w:val="clear" w:pos="9170"/>
        </w:tabs>
      </w:pPr>
      <w:r>
        <w:fldChar w:fldCharType="begin"/>
      </w:r>
      <w:r>
        <w:instrText xml:space="preserve"> HYPERLINK \l _Toc5178 </w:instrText>
      </w:r>
      <w:r>
        <w:fldChar w:fldCharType="separate"/>
      </w:r>
      <w:r>
        <w:rPr>
          <w:rFonts w:hint="eastAsia" w:ascii="宋体" w:hAnsi="宋体" w:cs="宋体"/>
          <w:bCs/>
          <w:kern w:val="0"/>
          <w:szCs w:val="30"/>
          <w:lang w:val="en-US" w:eastAsia="zh-CN"/>
        </w:rPr>
        <w:t>全面竞价模式下，哪些地区光伏电站将更具实力？</w:t>
      </w:r>
      <w:r>
        <w:tab/>
      </w:r>
      <w:r>
        <w:fldChar w:fldCharType="begin"/>
      </w:r>
      <w:r>
        <w:instrText xml:space="preserve"> PAGEREF _Toc5178 </w:instrText>
      </w:r>
      <w:r>
        <w:fldChar w:fldCharType="separate"/>
      </w:r>
      <w:r>
        <w:t>25</w:t>
      </w:r>
      <w:r>
        <w:fldChar w:fldCharType="end"/>
      </w:r>
      <w:r>
        <w:fldChar w:fldCharType="end"/>
      </w:r>
    </w:p>
    <w:p>
      <w:pPr>
        <w:pStyle w:val="17"/>
        <w:tabs>
          <w:tab w:val="right" w:leader="dot" w:pos="8504"/>
          <w:tab w:val="clear" w:pos="9170"/>
        </w:tabs>
      </w:pPr>
      <w:r>
        <w:fldChar w:fldCharType="begin"/>
      </w:r>
      <w:r>
        <w:instrText xml:space="preserve"> HYPERLINK \l _Toc21250 </w:instrText>
      </w:r>
      <w:r>
        <w:fldChar w:fldCharType="separate"/>
      </w:r>
      <w:r>
        <w:rPr>
          <w:rFonts w:hint="eastAsia" w:ascii="宋体" w:hAnsi="宋体" w:cs="宋体"/>
          <w:bCs/>
          <w:kern w:val="0"/>
          <w:szCs w:val="30"/>
          <w:lang w:val="en-US" w:eastAsia="zh-CN"/>
        </w:rPr>
        <w:t>学习萤火虫提升LED发光效率？美国研究团队已经这样做了</w:t>
      </w:r>
      <w:r>
        <w:tab/>
      </w:r>
      <w:r>
        <w:fldChar w:fldCharType="begin"/>
      </w:r>
      <w:r>
        <w:instrText xml:space="preserve"> PAGEREF _Toc21250 </w:instrText>
      </w:r>
      <w:r>
        <w:fldChar w:fldCharType="separate"/>
      </w:r>
      <w:r>
        <w:t>27</w:t>
      </w:r>
      <w:r>
        <w:fldChar w:fldCharType="end"/>
      </w:r>
      <w:r>
        <w:fldChar w:fldCharType="end"/>
      </w:r>
    </w:p>
    <w:p>
      <w:pPr>
        <w:pStyle w:val="17"/>
        <w:tabs>
          <w:tab w:val="right" w:leader="dot" w:pos="8504"/>
          <w:tab w:val="clear" w:pos="9170"/>
        </w:tabs>
      </w:pPr>
      <w:r>
        <w:fldChar w:fldCharType="begin"/>
      </w:r>
      <w:r>
        <w:instrText xml:space="preserve"> HYPERLINK \l _Toc30675 </w:instrText>
      </w:r>
      <w:r>
        <w:fldChar w:fldCharType="separate"/>
      </w:r>
      <w:r>
        <w:rPr>
          <w:rFonts w:hint="eastAsia" w:ascii="宋体" w:hAnsi="宋体" w:cs="宋体"/>
          <w:bCs/>
          <w:kern w:val="0"/>
          <w:szCs w:val="30"/>
          <w:lang w:val="en-US" w:eastAsia="zh-CN"/>
        </w:rPr>
        <w:t>全球石油行业正在扩大太阳能与储能投资</w:t>
      </w:r>
      <w:r>
        <w:tab/>
      </w:r>
      <w:r>
        <w:fldChar w:fldCharType="begin"/>
      </w:r>
      <w:r>
        <w:instrText xml:space="preserve"> PAGEREF _Toc30675 </w:instrText>
      </w:r>
      <w:r>
        <w:fldChar w:fldCharType="separate"/>
      </w:r>
      <w:r>
        <w:t>28</w:t>
      </w:r>
      <w:r>
        <w:fldChar w:fldCharType="end"/>
      </w:r>
      <w:r>
        <w:fldChar w:fldCharType="end"/>
      </w:r>
    </w:p>
    <w:p>
      <w:pPr>
        <w:pStyle w:val="2"/>
        <w:spacing w:line="400" w:lineRule="exact"/>
      </w:pPr>
      <w:r>
        <w:fldChar w:fldCharType="end"/>
      </w:r>
      <w:bookmarkEnd w:id="0"/>
      <w:bookmarkStart w:id="2" w:name="_Toc17789"/>
      <w:r>
        <w:rPr>
          <w:rFonts w:hint="eastAsia" w:cs="黑体"/>
        </w:rPr>
        <w:t>　　一、小金属一周评述</w:t>
      </w:r>
      <w:bookmarkEnd w:id="1"/>
      <w:bookmarkEnd w:id="2"/>
    </w:p>
    <w:p>
      <w:pPr>
        <w:widowControl/>
        <w:wordWrap w:val="0"/>
        <w:spacing w:after="90" w:line="288" w:lineRule="auto"/>
        <w:ind w:firstLine="643" w:firstLineChars="200"/>
        <w:jc w:val="left"/>
        <w:rPr>
          <w:rFonts w:hint="eastAsia" w:ascii="仿宋_GB2312" w:hAnsi="宋体" w:eastAsia="仿宋_GB2312" w:cs="仿宋_GB2312"/>
          <w:kern w:val="0"/>
          <w:sz w:val="28"/>
          <w:szCs w:val="28"/>
          <w:lang w:val="en-US" w:eastAsia="zh-CN"/>
        </w:rPr>
      </w:pPr>
      <w:r>
        <w:rPr>
          <w:rFonts w:hint="eastAsia" w:ascii="Calibri" w:hAnsi="Calibri" w:eastAsia="宋体" w:cs="Calibri"/>
          <w:b/>
          <w:bCs/>
          <w:kern w:val="0"/>
          <w:sz w:val="32"/>
          <w:szCs w:val="32"/>
          <w:lang w:val="en-US" w:eastAsia="zh-CN" w:bidi="ar-SA"/>
        </w:rPr>
        <w:t>1、硒评论：锰价下跌</w:t>
      </w:r>
      <w:r>
        <w:rPr>
          <w:rFonts w:hint="eastAsia" w:cs="Calibri"/>
          <w:b/>
          <w:bCs/>
          <w:kern w:val="0"/>
          <w:sz w:val="32"/>
          <w:szCs w:val="32"/>
          <w:lang w:val="en-US" w:eastAsia="zh-CN" w:bidi="ar-SA"/>
        </w:rPr>
        <w:t xml:space="preserve"> </w:t>
      </w:r>
      <w:r>
        <w:rPr>
          <w:rFonts w:hint="eastAsia" w:ascii="Calibri" w:hAnsi="Calibri" w:eastAsia="宋体" w:cs="Calibri"/>
          <w:b/>
          <w:bCs/>
          <w:kern w:val="0"/>
          <w:sz w:val="32"/>
          <w:szCs w:val="32"/>
          <w:lang w:val="en-US" w:eastAsia="zh-CN" w:bidi="ar-SA"/>
        </w:rPr>
        <w:t>硒市弱势运行</w:t>
      </w:r>
      <w:r>
        <w:rPr>
          <w:rFonts w:hint="eastAsia" w:ascii="Calibri" w:hAnsi="Calibri" w:eastAsia="宋体" w:cs="宋体"/>
          <w:b/>
          <w:bCs/>
          <w:kern w:val="0"/>
          <w:sz w:val="30"/>
          <w:szCs w:val="30"/>
          <w:lang w:val="en-US" w:eastAsia="zh-CN" w:bidi="ar-SA"/>
        </w:rPr>
        <w:br w:type="textWrapping"/>
      </w:r>
      <w:r>
        <w:rPr>
          <w:rFonts w:hint="eastAsia" w:ascii="Calibri" w:hAnsi="Calibri" w:eastAsia="宋体" w:cs="宋体"/>
          <w:b/>
          <w:bCs/>
          <w:kern w:val="0"/>
          <w:sz w:val="30"/>
          <w:szCs w:val="30"/>
          <w:lang w:val="en-US" w:eastAsia="zh-CN" w:bidi="ar-SA"/>
        </w:rPr>
        <w:t xml:space="preserve">   </w:t>
      </w:r>
      <w:r>
        <w:rPr>
          <w:rFonts w:hint="eastAsia" w:ascii="仿宋_GB2312" w:hAnsi="宋体" w:eastAsia="仿宋_GB2312" w:cs="仿宋_GB2312"/>
          <w:kern w:val="0"/>
          <w:sz w:val="28"/>
          <w:szCs w:val="28"/>
          <w:lang w:val="en-US" w:eastAsia="zh-CN"/>
        </w:rPr>
        <w:t xml:space="preserve"> 中商网讯：本周电解锰市场弱势运行，市场价格持续下跌。截至到目前电解锰的最新报价在13000-13200元/吨，均价格较上周下调100元/吨。</w:t>
      </w:r>
    </w:p>
    <w:p>
      <w:pPr>
        <w:widowControl/>
        <w:wordWrap w:val="0"/>
        <w:spacing w:after="90" w:line="288" w:lineRule="auto"/>
        <w:ind w:firstLine="480"/>
        <w:jc w:val="left"/>
        <w:rPr>
          <w:rFonts w:hint="eastAsia" w:ascii="仿宋_GB2312" w:hAnsi="宋体" w:eastAsia="仿宋_GB2312" w:cs="仿宋_GB2312"/>
          <w:kern w:val="0"/>
          <w:sz w:val="28"/>
          <w:szCs w:val="28"/>
          <w:lang w:val="en-US" w:eastAsia="zh-CN"/>
        </w:rPr>
      </w:pPr>
      <w:r>
        <w:rPr>
          <w:rFonts w:hint="default" w:ascii="仿宋_GB2312" w:hAnsi="宋体" w:eastAsia="仿宋_GB2312" w:cs="仿宋_GB2312"/>
          <w:kern w:val="0"/>
          <w:sz w:val="28"/>
          <w:szCs w:val="28"/>
          <w:lang w:val="en-US" w:eastAsia="zh-CN"/>
        </w:rPr>
        <w:t>硒粉国际市场价格最新报价在8</w:t>
      </w:r>
      <w:r>
        <w:rPr>
          <w:rFonts w:hint="eastAsia" w:ascii="仿宋_GB2312" w:hAnsi="宋体" w:eastAsia="仿宋_GB2312" w:cs="仿宋_GB2312"/>
          <w:kern w:val="0"/>
          <w:sz w:val="28"/>
          <w:szCs w:val="28"/>
          <w:lang w:val="en-US" w:eastAsia="zh-CN"/>
        </w:rPr>
        <w:t>.5</w:t>
      </w:r>
      <w:r>
        <w:rPr>
          <w:rFonts w:hint="default" w:ascii="仿宋_GB2312" w:hAnsi="宋体" w:eastAsia="仿宋_GB2312" w:cs="仿宋_GB2312"/>
          <w:kern w:val="0"/>
          <w:sz w:val="28"/>
          <w:szCs w:val="28"/>
          <w:lang w:val="en-US" w:eastAsia="zh-CN"/>
        </w:rPr>
        <w:t>-1</w:t>
      </w:r>
      <w:r>
        <w:rPr>
          <w:rFonts w:hint="eastAsia" w:ascii="仿宋_GB2312" w:hAnsi="宋体" w:eastAsia="仿宋_GB2312" w:cs="仿宋_GB2312"/>
          <w:kern w:val="0"/>
          <w:sz w:val="28"/>
          <w:szCs w:val="28"/>
          <w:lang w:val="en-US" w:eastAsia="zh-CN"/>
        </w:rPr>
        <w:t>0.5</w:t>
      </w:r>
      <w:r>
        <w:rPr>
          <w:rFonts w:hint="default" w:ascii="仿宋_GB2312" w:hAnsi="宋体" w:eastAsia="仿宋_GB2312" w:cs="仿宋_GB2312"/>
          <w:kern w:val="0"/>
          <w:sz w:val="28"/>
          <w:szCs w:val="28"/>
          <w:lang w:val="en-US" w:eastAsia="zh-CN"/>
        </w:rPr>
        <w:t>美元/磅，最低价较上周五</w:t>
      </w:r>
      <w:r>
        <w:rPr>
          <w:rFonts w:hint="eastAsia" w:ascii="仿宋_GB2312" w:hAnsi="宋体" w:eastAsia="仿宋_GB2312" w:cs="仿宋_GB2312"/>
          <w:kern w:val="0"/>
          <w:sz w:val="28"/>
          <w:szCs w:val="28"/>
          <w:lang w:val="en-US" w:eastAsia="zh-CN"/>
        </w:rPr>
        <w:t>上调</w:t>
      </w:r>
      <w:r>
        <w:rPr>
          <w:rFonts w:hint="default" w:ascii="仿宋_GB2312" w:hAnsi="宋体" w:eastAsia="仿宋_GB2312" w:cs="仿宋_GB2312"/>
          <w:kern w:val="0"/>
          <w:sz w:val="28"/>
          <w:szCs w:val="28"/>
          <w:lang w:val="en-US" w:eastAsia="zh-CN"/>
        </w:rPr>
        <w:t>0.</w:t>
      </w:r>
      <w:r>
        <w:rPr>
          <w:rFonts w:hint="eastAsia" w:ascii="仿宋_GB2312" w:hAnsi="宋体" w:eastAsia="仿宋_GB2312" w:cs="仿宋_GB2312"/>
          <w:kern w:val="0"/>
          <w:sz w:val="28"/>
          <w:szCs w:val="28"/>
          <w:lang w:val="en-US" w:eastAsia="zh-CN"/>
        </w:rPr>
        <w:t>5</w:t>
      </w:r>
      <w:r>
        <w:rPr>
          <w:rFonts w:hint="default" w:ascii="仿宋_GB2312" w:hAnsi="宋体" w:eastAsia="仿宋_GB2312" w:cs="仿宋_GB2312"/>
          <w:kern w:val="0"/>
          <w:sz w:val="28"/>
          <w:szCs w:val="28"/>
          <w:lang w:val="en-US" w:eastAsia="zh-CN"/>
        </w:rPr>
        <w:t>美元/磅</w:t>
      </w:r>
      <w:r>
        <w:rPr>
          <w:rFonts w:hint="eastAsia" w:ascii="仿宋_GB2312" w:hAnsi="宋体" w:eastAsia="仿宋_GB2312" w:cs="仿宋_GB2312"/>
          <w:kern w:val="0"/>
          <w:sz w:val="28"/>
          <w:szCs w:val="28"/>
          <w:lang w:val="en-US" w:eastAsia="zh-CN"/>
        </w:rPr>
        <w:t>，</w:t>
      </w:r>
      <w:r>
        <w:rPr>
          <w:rFonts w:hint="default" w:ascii="仿宋_GB2312" w:hAnsi="宋体" w:eastAsia="仿宋_GB2312" w:cs="仿宋_GB2312"/>
          <w:kern w:val="0"/>
          <w:sz w:val="28"/>
          <w:szCs w:val="28"/>
          <w:lang w:val="en-US" w:eastAsia="zh-CN"/>
        </w:rPr>
        <w:t>;最高价较上周五</w:t>
      </w:r>
      <w:r>
        <w:rPr>
          <w:rFonts w:hint="eastAsia" w:ascii="仿宋_GB2312" w:hAnsi="宋体" w:eastAsia="仿宋_GB2312" w:cs="仿宋_GB2312"/>
          <w:kern w:val="0"/>
          <w:sz w:val="28"/>
          <w:szCs w:val="28"/>
          <w:lang w:val="en-US" w:eastAsia="zh-CN"/>
        </w:rPr>
        <w:t>不变</w:t>
      </w:r>
      <w:r>
        <w:rPr>
          <w:rFonts w:hint="default" w:ascii="仿宋_GB2312" w:hAnsi="宋体" w:eastAsia="仿宋_GB2312" w:cs="仿宋_GB2312"/>
          <w:kern w:val="0"/>
          <w:sz w:val="28"/>
          <w:szCs w:val="28"/>
          <w:lang w:val="en-US" w:eastAsia="zh-CN"/>
        </w:rPr>
        <w:t>。欧洲鹿特丹市场硒粉价格没有涨跌变化，报价持稳在14.5美元/磅。周硒粉市场价格在170-190元/公斤，较上周五</w:t>
      </w:r>
      <w:r>
        <w:rPr>
          <w:rFonts w:hint="eastAsia" w:ascii="仿宋_GB2312" w:hAnsi="宋体" w:eastAsia="仿宋_GB2312" w:cs="仿宋_GB2312"/>
          <w:kern w:val="0"/>
          <w:sz w:val="28"/>
          <w:szCs w:val="28"/>
          <w:lang w:val="en-US" w:eastAsia="zh-CN"/>
        </w:rPr>
        <w:t>持平</w:t>
      </w:r>
      <w:r>
        <w:rPr>
          <w:rFonts w:hint="default" w:ascii="仿宋_GB2312" w:hAnsi="宋体" w:eastAsia="仿宋_GB2312" w:cs="仿宋_GB2312"/>
          <w:kern w:val="0"/>
          <w:sz w:val="28"/>
          <w:szCs w:val="28"/>
          <w:lang w:val="en-US" w:eastAsia="zh-CN"/>
        </w:rPr>
        <w:t>。</w:t>
      </w:r>
      <w:r>
        <w:rPr>
          <w:rFonts w:hint="eastAsia" w:ascii="仿宋_GB2312" w:hAnsi="宋体" w:eastAsia="仿宋_GB2312" w:cs="仿宋_GB2312"/>
          <w:kern w:val="0"/>
          <w:sz w:val="28"/>
          <w:szCs w:val="28"/>
          <w:lang w:val="en-US" w:eastAsia="zh-CN"/>
        </w:rPr>
        <w:t>当前国内硒粉市场下游需求疲软</w:t>
      </w:r>
      <w:r>
        <w:rPr>
          <w:rFonts w:hint="default" w:ascii="仿宋_GB2312" w:hAnsi="宋体" w:eastAsia="仿宋_GB2312" w:cs="仿宋_GB2312"/>
          <w:kern w:val="0"/>
          <w:sz w:val="28"/>
          <w:szCs w:val="28"/>
          <w:lang w:val="en-US" w:eastAsia="zh-CN"/>
        </w:rPr>
        <w:t>，</w:t>
      </w:r>
      <w:r>
        <w:rPr>
          <w:rFonts w:hint="eastAsia" w:ascii="仿宋_GB2312" w:hAnsi="宋体" w:eastAsia="仿宋_GB2312" w:cs="仿宋_GB2312"/>
          <w:kern w:val="0"/>
          <w:sz w:val="28"/>
          <w:szCs w:val="28"/>
          <w:lang w:val="en-US" w:eastAsia="zh-CN"/>
        </w:rPr>
        <w:t>海外硒粉价格虽小幅上涨，但国内下游客户接受意愿较低。考虑短期内硒粉市场需求不会明显改善，预计本周中国进口品牌硒粉价格将弱势运行。</w:t>
      </w:r>
    </w:p>
    <w:p>
      <w:pPr>
        <w:widowControl/>
        <w:wordWrap w:val="0"/>
        <w:spacing w:after="90" w:line="288" w:lineRule="auto"/>
        <w:ind w:firstLine="480"/>
        <w:jc w:val="left"/>
        <w:rPr>
          <w:rFonts w:hint="eastAsia" w:ascii="仿宋_GB2312" w:hAnsi="宋体" w:eastAsia="仿宋_GB2312" w:cs="仿宋_GB2312"/>
          <w:kern w:val="0"/>
          <w:sz w:val="28"/>
          <w:szCs w:val="28"/>
          <w:lang w:val="en-US" w:eastAsia="zh-CN"/>
        </w:rPr>
      </w:pPr>
      <w:r>
        <w:rPr>
          <w:rFonts w:hint="default" w:ascii="仿宋_GB2312" w:hAnsi="宋体" w:eastAsia="仿宋_GB2312" w:cs="仿宋_GB2312"/>
          <w:kern w:val="0"/>
          <w:sz w:val="28"/>
          <w:szCs w:val="28"/>
          <w:lang w:val="en-US" w:eastAsia="zh-CN"/>
        </w:rPr>
        <w:t>电解锰市场行情延续，目前</w:t>
      </w:r>
      <w:r>
        <w:rPr>
          <w:rFonts w:hint="eastAsia" w:ascii="仿宋_GB2312" w:hAnsi="宋体" w:eastAsia="仿宋_GB2312" w:cs="仿宋_GB2312"/>
          <w:kern w:val="0"/>
          <w:sz w:val="28"/>
          <w:szCs w:val="28"/>
          <w:lang w:val="en-US" w:eastAsia="zh-CN"/>
        </w:rPr>
        <w:t>市场行情并不乐观。</w:t>
      </w:r>
      <w:r>
        <w:rPr>
          <w:rFonts w:hint="default" w:ascii="仿宋_GB2312" w:hAnsi="宋体" w:eastAsia="仿宋_GB2312" w:cs="仿宋_GB2312"/>
          <w:kern w:val="0"/>
          <w:sz w:val="28"/>
          <w:szCs w:val="28"/>
          <w:lang w:val="en-US" w:eastAsia="zh-CN"/>
        </w:rPr>
        <w:t>二氧化硒主流价格报于11</w:t>
      </w:r>
      <w:r>
        <w:rPr>
          <w:rFonts w:hint="eastAsia" w:ascii="仿宋_GB2312" w:hAnsi="宋体" w:eastAsia="仿宋_GB2312" w:cs="仿宋_GB2312"/>
          <w:kern w:val="0"/>
          <w:sz w:val="28"/>
          <w:szCs w:val="28"/>
          <w:lang w:val="en-US" w:eastAsia="zh-CN"/>
        </w:rPr>
        <w:t>0</w:t>
      </w:r>
      <w:r>
        <w:rPr>
          <w:rFonts w:hint="default" w:ascii="仿宋_GB2312" w:hAnsi="宋体" w:eastAsia="仿宋_GB2312" w:cs="仿宋_GB2312"/>
          <w:kern w:val="0"/>
          <w:sz w:val="28"/>
          <w:szCs w:val="28"/>
          <w:lang w:val="en-US" w:eastAsia="zh-CN"/>
        </w:rPr>
        <w:t>-1</w:t>
      </w:r>
      <w:r>
        <w:rPr>
          <w:rFonts w:hint="eastAsia" w:ascii="仿宋_GB2312" w:hAnsi="宋体" w:eastAsia="仿宋_GB2312" w:cs="仿宋_GB2312"/>
          <w:kern w:val="0"/>
          <w:sz w:val="28"/>
          <w:szCs w:val="28"/>
          <w:lang w:val="en-US" w:eastAsia="zh-CN"/>
        </w:rPr>
        <w:t>15</w:t>
      </w:r>
      <w:r>
        <w:rPr>
          <w:rFonts w:hint="default" w:ascii="仿宋_GB2312" w:hAnsi="宋体" w:eastAsia="仿宋_GB2312" w:cs="仿宋_GB2312"/>
          <w:kern w:val="0"/>
          <w:sz w:val="28"/>
          <w:szCs w:val="28"/>
          <w:lang w:val="en-US" w:eastAsia="zh-CN"/>
        </w:rPr>
        <w:t>元/公斤，</w:t>
      </w:r>
      <w:r>
        <w:rPr>
          <w:rFonts w:hint="eastAsia" w:ascii="仿宋_GB2312" w:hAnsi="宋体" w:eastAsia="仿宋_GB2312" w:cs="仿宋_GB2312"/>
          <w:kern w:val="0"/>
          <w:sz w:val="28"/>
          <w:szCs w:val="28"/>
          <w:lang w:val="en-US" w:eastAsia="zh-CN"/>
        </w:rPr>
        <w:t>均价较上周下调6元/公斤</w:t>
      </w:r>
      <w:r>
        <w:rPr>
          <w:rFonts w:hint="default" w:ascii="仿宋_GB2312" w:hAnsi="宋体" w:eastAsia="仿宋_GB2312" w:cs="仿宋_GB2312"/>
          <w:kern w:val="0"/>
          <w:sz w:val="28"/>
          <w:szCs w:val="28"/>
          <w:lang w:val="en-US" w:eastAsia="zh-CN"/>
        </w:rPr>
        <w:t>。二硒市场</w:t>
      </w:r>
      <w:r>
        <w:rPr>
          <w:rFonts w:hint="eastAsia" w:ascii="仿宋_GB2312" w:hAnsi="宋体" w:eastAsia="仿宋_GB2312" w:cs="仿宋_GB2312"/>
          <w:kern w:val="0"/>
          <w:sz w:val="28"/>
          <w:szCs w:val="28"/>
          <w:lang w:val="en-US" w:eastAsia="zh-CN"/>
        </w:rPr>
        <w:t>整体成交冷清</w:t>
      </w:r>
      <w:r>
        <w:rPr>
          <w:rFonts w:hint="default" w:ascii="仿宋_GB2312" w:hAnsi="宋体" w:eastAsia="仿宋_GB2312" w:cs="仿宋_GB2312"/>
          <w:kern w:val="0"/>
          <w:sz w:val="28"/>
          <w:szCs w:val="28"/>
          <w:lang w:val="en-US" w:eastAsia="zh-CN"/>
        </w:rPr>
        <w:t>，</w:t>
      </w:r>
      <w:r>
        <w:rPr>
          <w:rFonts w:hint="eastAsia" w:ascii="仿宋_GB2312" w:hAnsi="宋体" w:eastAsia="仿宋_GB2312" w:cs="仿宋_GB2312"/>
          <w:kern w:val="0"/>
          <w:sz w:val="28"/>
          <w:szCs w:val="28"/>
          <w:lang w:val="en-US" w:eastAsia="zh-CN"/>
        </w:rPr>
        <w:t>下游客户还没有到采购节点，所以需求很差，为避免亏损不准备进一步降低报价。</w:t>
      </w:r>
    </w:p>
    <w:p>
      <w:pPr>
        <w:widowControl/>
        <w:wordWrap w:val="0"/>
        <w:spacing w:after="90" w:line="288" w:lineRule="auto"/>
        <w:ind w:firstLine="480"/>
        <w:jc w:val="left"/>
        <w:rPr>
          <w:rFonts w:hint="eastAsia" w:ascii="仿宋_GB2312" w:hAnsi="宋体" w:eastAsia="仿宋_GB2312" w:cs="仿宋_GB2312"/>
          <w:kern w:val="0"/>
          <w:sz w:val="28"/>
          <w:szCs w:val="28"/>
          <w:lang w:val="en-US" w:eastAsia="zh-CN"/>
        </w:rPr>
      </w:pPr>
      <w:r>
        <w:rPr>
          <w:rFonts w:hint="default" w:ascii="仿宋_GB2312" w:hAnsi="宋体" w:eastAsia="仿宋_GB2312" w:cs="仿宋_GB2312"/>
          <w:kern w:val="0"/>
          <w:sz w:val="28"/>
          <w:szCs w:val="28"/>
          <w:lang w:val="en-US" w:eastAsia="zh-CN"/>
        </w:rPr>
        <w:t>分析评述：</w:t>
      </w:r>
    </w:p>
    <w:p>
      <w:pPr>
        <w:widowControl/>
        <w:wordWrap w:val="0"/>
        <w:spacing w:after="90" w:line="288" w:lineRule="auto"/>
        <w:ind w:firstLine="480"/>
        <w:jc w:val="left"/>
        <w:rPr>
          <w:rFonts w:hint="default" w:ascii="仿宋_GB2312" w:hAnsi="宋体" w:eastAsia="仿宋_GB2312" w:cs="仿宋_GB2312"/>
          <w:kern w:val="0"/>
          <w:sz w:val="28"/>
          <w:szCs w:val="28"/>
          <w:lang w:val="en-US" w:eastAsia="zh-CN"/>
        </w:rPr>
      </w:pPr>
      <w:r>
        <w:rPr>
          <w:rFonts w:hint="default" w:ascii="仿宋_GB2312" w:hAnsi="宋体" w:eastAsia="仿宋_GB2312" w:cs="仿宋_GB2312"/>
          <w:kern w:val="0"/>
          <w:sz w:val="28"/>
          <w:szCs w:val="28"/>
          <w:lang w:val="en-US" w:eastAsia="zh-CN"/>
        </w:rPr>
        <w:t>市场</w:t>
      </w:r>
      <w:r>
        <w:rPr>
          <w:rFonts w:hint="eastAsia" w:ascii="仿宋_GB2312" w:hAnsi="宋体" w:eastAsia="仿宋_GB2312" w:cs="仿宋_GB2312"/>
          <w:kern w:val="0"/>
          <w:sz w:val="28"/>
          <w:szCs w:val="28"/>
          <w:lang w:val="en-US" w:eastAsia="zh-CN"/>
        </w:rPr>
        <w:t>弱势运行，</w:t>
      </w:r>
      <w:r>
        <w:rPr>
          <w:rFonts w:hint="default" w:ascii="仿宋_GB2312" w:hAnsi="宋体" w:eastAsia="仿宋_GB2312" w:cs="仿宋_GB2312"/>
          <w:kern w:val="0"/>
          <w:sz w:val="28"/>
          <w:szCs w:val="28"/>
          <w:lang w:val="en-US" w:eastAsia="zh-CN"/>
        </w:rPr>
        <w:t>实际成交有限，整体行情并不乐观，预计短期内市场或将继续承压。</w:t>
      </w:r>
    </w:p>
    <w:p>
      <w:pPr>
        <w:widowControl/>
        <w:wordWrap w:val="0"/>
        <w:spacing w:after="90" w:line="288" w:lineRule="auto"/>
        <w:ind w:firstLine="480"/>
        <w:jc w:val="left"/>
        <w:rPr>
          <w:kern w:val="0"/>
        </w:rPr>
      </w:pPr>
      <w:r>
        <w:rPr>
          <w:kern w:val="0"/>
        </w:rPr>
        <w:br w:type="textWrapping"/>
      </w:r>
      <w:r>
        <w:rPr>
          <w:rFonts w:hint="eastAsia" w:ascii="Calibri" w:hAnsi="Calibri" w:eastAsia="宋体" w:cs="Calibri"/>
          <w:b/>
          <w:bCs/>
          <w:kern w:val="0"/>
          <w:sz w:val="32"/>
          <w:szCs w:val="32"/>
          <w:lang w:val="en-US" w:eastAsia="zh-CN" w:bidi="ar-SA"/>
        </w:rPr>
        <w:t> 2、铋评论：铋锭成交量低</w:t>
      </w:r>
      <w:r>
        <w:rPr>
          <w:rFonts w:hint="eastAsia" w:cs="Calibri"/>
          <w:b/>
          <w:bCs/>
          <w:kern w:val="0"/>
          <w:sz w:val="32"/>
          <w:szCs w:val="32"/>
          <w:lang w:val="en-US" w:eastAsia="zh-CN" w:bidi="ar-SA"/>
        </w:rPr>
        <w:t xml:space="preserve"> </w:t>
      </w:r>
      <w:r>
        <w:rPr>
          <w:rFonts w:hint="eastAsia" w:ascii="Calibri" w:hAnsi="Calibri" w:eastAsia="宋体" w:cs="Calibri"/>
          <w:b/>
          <w:bCs/>
          <w:kern w:val="0"/>
          <w:sz w:val="32"/>
          <w:szCs w:val="32"/>
          <w:lang w:val="en-US" w:eastAsia="zh-CN" w:bidi="ar-SA"/>
        </w:rPr>
        <w:t>价格下跌</w:t>
      </w:r>
    </w:p>
    <w:p>
      <w:pPr>
        <w:widowControl/>
        <w:wordWrap w:val="0"/>
        <w:spacing w:after="90" w:line="288" w:lineRule="auto"/>
        <w:ind w:firstLine="480"/>
        <w:jc w:val="left"/>
        <w:rPr>
          <w:rFonts w:hint="eastAsia" w:ascii="仿宋_GB2312" w:hAnsi="宋体" w:eastAsia="仿宋_GB2312" w:cs="仿宋_GB2312"/>
          <w:kern w:val="0"/>
          <w:sz w:val="28"/>
          <w:szCs w:val="28"/>
        </w:rPr>
      </w:pPr>
      <w:r>
        <w:rPr>
          <w:rFonts w:hint="eastAsia" w:ascii="仿宋_GB2312" w:hAnsi="宋体" w:eastAsia="仿宋_GB2312" w:cs="仿宋_GB2312"/>
          <w:kern w:val="0"/>
          <w:sz w:val="28"/>
          <w:szCs w:val="28"/>
        </w:rPr>
        <w:t>中商网讯：本周铋锭市场整体活跃度不高，市场成交迟缓。</w:t>
      </w:r>
    </w:p>
    <w:p>
      <w:pPr>
        <w:widowControl/>
        <w:wordWrap w:val="0"/>
        <w:spacing w:after="90" w:line="288" w:lineRule="auto"/>
        <w:ind w:firstLine="480"/>
        <w:jc w:val="left"/>
        <w:rPr>
          <w:rFonts w:hint="eastAsia" w:ascii="仿宋_GB2312" w:hAnsi="宋体" w:eastAsia="仿宋_GB2312" w:cs="仿宋_GB2312"/>
          <w:kern w:val="0"/>
          <w:sz w:val="28"/>
          <w:szCs w:val="28"/>
        </w:rPr>
      </w:pPr>
      <w:r>
        <w:rPr>
          <w:rFonts w:hint="default" w:ascii="仿宋_GB2312" w:hAnsi="宋体" w:eastAsia="仿宋_GB2312" w:cs="仿宋_GB2312"/>
          <w:kern w:val="0"/>
          <w:sz w:val="28"/>
          <w:szCs w:val="28"/>
        </w:rPr>
        <w:t>国际市场铋锭价格报价在3.55-3.9美元/磅，最低价较较上周五下降0.05美元/磅，最高价较上周五下降0.1美元/磅。欧洲鹿特丹市场最新报价在3.75美元/磅，较上周报价持平;出口市场价格持稳在3.5-3.7美元/磅。</w:t>
      </w:r>
    </w:p>
    <w:p>
      <w:pPr>
        <w:widowControl/>
        <w:wordWrap w:val="0"/>
        <w:spacing w:after="90" w:line="288" w:lineRule="auto"/>
        <w:ind w:firstLine="480"/>
        <w:jc w:val="left"/>
        <w:rPr>
          <w:rFonts w:hint="eastAsia" w:ascii="仿宋_GB2312" w:hAnsi="宋体" w:eastAsia="仿宋_GB2312" w:cs="仿宋_GB2312"/>
          <w:kern w:val="0"/>
          <w:sz w:val="28"/>
          <w:szCs w:val="28"/>
        </w:rPr>
      </w:pPr>
      <w:r>
        <w:rPr>
          <w:rFonts w:hint="default" w:ascii="仿宋_GB2312" w:hAnsi="宋体" w:eastAsia="仿宋_GB2312" w:cs="仿宋_GB2312"/>
          <w:kern w:val="0"/>
          <w:sz w:val="28"/>
          <w:szCs w:val="28"/>
        </w:rPr>
        <w:t>本周铋锭市场并不活跃。铋市许多生产商拒绝降价销售，但由于部分厂商面临资金等压力，出货积极性增强，现货市场价格也随之下跌。但跌价后，除了有急需的消费商，其余消费商普遍对市场持有观望态度，故买卖双方处于僵持状态，短期内市场或将继续承压，导致成交不易。截至本周五铋锭主流报价为48000-49000元/吨，均价格较上周五下降500元/吨。</w:t>
      </w:r>
    </w:p>
    <w:p>
      <w:pPr>
        <w:widowControl/>
        <w:wordWrap w:val="0"/>
        <w:spacing w:after="90" w:line="288" w:lineRule="auto"/>
        <w:ind w:firstLine="480"/>
        <w:jc w:val="left"/>
        <w:rPr>
          <w:rFonts w:hint="eastAsia" w:ascii="仿宋_GB2312" w:hAnsi="宋体" w:eastAsia="仿宋_GB2312" w:cs="仿宋_GB2312"/>
          <w:kern w:val="0"/>
          <w:sz w:val="28"/>
          <w:szCs w:val="28"/>
        </w:rPr>
      </w:pPr>
      <w:r>
        <w:rPr>
          <w:rFonts w:hint="default" w:ascii="仿宋_GB2312" w:hAnsi="宋体" w:eastAsia="仿宋_GB2312" w:cs="仿宋_GB2312"/>
          <w:kern w:val="0"/>
          <w:sz w:val="28"/>
          <w:szCs w:val="28"/>
        </w:rPr>
        <w:t>目前氧化铋报价稳定在51000-52000元/吨，最高价较上周五下降1000元/吨。市场行情持续平淡状态。</w:t>
      </w:r>
    </w:p>
    <w:p>
      <w:pPr>
        <w:widowControl/>
        <w:wordWrap w:val="0"/>
        <w:spacing w:after="90" w:line="288" w:lineRule="auto"/>
        <w:ind w:firstLine="480"/>
        <w:jc w:val="left"/>
        <w:rPr>
          <w:rFonts w:hint="eastAsia" w:ascii="仿宋_GB2312" w:hAnsi="宋体" w:eastAsia="仿宋_GB2312" w:cs="仿宋_GB2312"/>
          <w:kern w:val="0"/>
          <w:sz w:val="28"/>
          <w:szCs w:val="28"/>
        </w:rPr>
      </w:pPr>
      <w:r>
        <w:rPr>
          <w:rFonts w:hint="default" w:ascii="仿宋_GB2312" w:hAnsi="宋体" w:eastAsia="仿宋_GB2312" w:cs="仿宋_GB2312"/>
          <w:kern w:val="0"/>
          <w:sz w:val="28"/>
          <w:szCs w:val="28"/>
        </w:rPr>
        <w:t>分析评述：</w:t>
      </w:r>
    </w:p>
    <w:p>
      <w:pPr>
        <w:widowControl/>
        <w:wordWrap w:val="0"/>
        <w:spacing w:after="90" w:line="288" w:lineRule="auto"/>
        <w:ind w:firstLine="480"/>
        <w:jc w:val="left"/>
        <w:rPr>
          <w:rFonts w:hint="eastAsia" w:ascii="仿宋_GB2312" w:hAnsi="宋体" w:eastAsia="仿宋_GB2312" w:cs="仿宋_GB2312"/>
          <w:kern w:val="0"/>
          <w:sz w:val="28"/>
          <w:szCs w:val="28"/>
        </w:rPr>
      </w:pPr>
      <w:r>
        <w:rPr>
          <w:rFonts w:hint="default" w:ascii="仿宋_GB2312" w:hAnsi="宋体" w:eastAsia="仿宋_GB2312" w:cs="仿宋_GB2312"/>
          <w:kern w:val="0"/>
          <w:sz w:val="28"/>
          <w:szCs w:val="28"/>
        </w:rPr>
        <w:t>当前市场成交量低，由于库存逐步增加，预计短期内市场价格将会持续下跌。</w:t>
      </w:r>
    </w:p>
    <w:p>
      <w:pPr>
        <w:pStyle w:val="4"/>
        <w:spacing w:line="400" w:lineRule="exact"/>
        <w:rPr>
          <w:rFonts w:hint="eastAsia"/>
          <w:kern w:val="0"/>
        </w:rPr>
      </w:pPr>
      <w:bookmarkStart w:id="3" w:name="_Toc15023"/>
      <w:r>
        <w:rPr>
          <w:kern w:val="0"/>
        </w:rPr>
        <w:t>3</w:t>
      </w:r>
      <w:r>
        <w:rPr>
          <w:rFonts w:hint="eastAsia"/>
          <w:kern w:val="0"/>
        </w:rPr>
        <w:t>、铟评论</w:t>
      </w:r>
      <w:r>
        <w:rPr>
          <w:kern w:val="0"/>
        </w:rPr>
        <w:t xml:space="preserve">: </w:t>
      </w:r>
      <w:r>
        <w:rPr>
          <w:rFonts w:hint="eastAsia"/>
          <w:kern w:val="0"/>
        </w:rPr>
        <w:t>铟市弱势运行</w:t>
      </w:r>
      <w:r>
        <w:rPr>
          <w:rFonts w:hint="eastAsia"/>
          <w:kern w:val="0"/>
          <w:lang w:val="en-US" w:eastAsia="zh-CN"/>
        </w:rPr>
        <w:t xml:space="preserve"> </w:t>
      </w:r>
      <w:r>
        <w:rPr>
          <w:rFonts w:hint="eastAsia"/>
          <w:kern w:val="0"/>
        </w:rPr>
        <w:t>交投稀少</w:t>
      </w:r>
      <w:bookmarkEnd w:id="3"/>
    </w:p>
    <w:p>
      <w:pPr>
        <w:widowControl/>
        <w:wordWrap w:val="0"/>
        <w:spacing w:after="90" w:line="288" w:lineRule="auto"/>
        <w:ind w:firstLine="480"/>
        <w:jc w:val="left"/>
        <w:rPr>
          <w:rFonts w:hint="eastAsia" w:ascii="仿宋_GB2312" w:hAnsi="宋体" w:eastAsia="仿宋_GB2312" w:cs="仿宋_GB2312"/>
          <w:kern w:val="0"/>
          <w:sz w:val="28"/>
          <w:szCs w:val="28"/>
        </w:rPr>
      </w:pPr>
      <w:r>
        <w:rPr>
          <w:rFonts w:hint="eastAsia" w:ascii="仿宋_GB2312" w:hAnsi="宋体" w:eastAsia="仿宋_GB2312" w:cs="仿宋_GB2312"/>
          <w:kern w:val="0"/>
          <w:sz w:val="28"/>
          <w:szCs w:val="28"/>
        </w:rPr>
        <w:t>中商网讯：目前国内铟锭市场整体情况弱势运行，成交不易。消费商库存充足不急于采购，整体市场活跃度很低，因此造成市场成交量小，大单采购仍有难度。供应商心态不佳，拒绝降价，价格维持。当前精铟主流成交价格在 1250-1300元/公斤，均价较上一交易日持平。</w:t>
      </w:r>
    </w:p>
    <w:p>
      <w:pPr>
        <w:widowControl/>
        <w:wordWrap w:val="0"/>
        <w:spacing w:after="90" w:line="288" w:lineRule="auto"/>
        <w:ind w:firstLine="480"/>
        <w:jc w:val="left"/>
        <w:rPr>
          <w:rFonts w:hint="eastAsia" w:ascii="仿宋_GB2312" w:hAnsi="宋体" w:eastAsia="仿宋_GB2312" w:cs="仿宋_GB2312"/>
          <w:kern w:val="0"/>
          <w:sz w:val="28"/>
          <w:szCs w:val="28"/>
        </w:rPr>
      </w:pPr>
      <w:r>
        <w:rPr>
          <w:rFonts w:hint="default" w:ascii="仿宋_GB2312" w:hAnsi="宋体" w:eastAsia="仿宋_GB2312" w:cs="仿宋_GB2312"/>
          <w:kern w:val="0"/>
          <w:sz w:val="28"/>
          <w:szCs w:val="28"/>
        </w:rPr>
        <w:t>目前来看，预计短期市场价格趋稳，成交持续清淡。</w:t>
      </w:r>
    </w:p>
    <w:p>
      <w:pPr>
        <w:pStyle w:val="4"/>
        <w:spacing w:line="400" w:lineRule="exact"/>
        <w:rPr>
          <w:rFonts w:hint="eastAsia" w:cs="宋体"/>
          <w:kern w:val="0"/>
        </w:rPr>
      </w:pPr>
      <w:bookmarkStart w:id="4" w:name="_Toc22551"/>
      <w:r>
        <w:rPr>
          <w:kern w:val="0"/>
        </w:rPr>
        <w:t>4</w:t>
      </w:r>
      <w:r>
        <w:rPr>
          <w:rFonts w:hint="eastAsia" w:cs="宋体"/>
          <w:kern w:val="0"/>
        </w:rPr>
        <w:t>、碲评论：碲锭市场需求低</w:t>
      </w:r>
      <w:r>
        <w:rPr>
          <w:rFonts w:hint="eastAsia" w:cs="宋体"/>
          <w:kern w:val="0"/>
          <w:lang w:val="en-US" w:eastAsia="zh-CN"/>
        </w:rPr>
        <w:t xml:space="preserve"> </w:t>
      </w:r>
      <w:r>
        <w:rPr>
          <w:rFonts w:hint="eastAsia" w:cs="宋体"/>
          <w:kern w:val="0"/>
        </w:rPr>
        <w:t>平稳运行</w:t>
      </w:r>
      <w:bookmarkEnd w:id="4"/>
    </w:p>
    <w:p>
      <w:pPr>
        <w:widowControl/>
        <w:wordWrap w:val="0"/>
        <w:spacing w:after="90" w:line="288" w:lineRule="auto"/>
        <w:ind w:firstLine="480"/>
        <w:jc w:val="left"/>
        <w:rPr>
          <w:rFonts w:hint="eastAsia" w:ascii="仿宋_GB2312" w:hAnsi="宋体" w:eastAsia="仿宋_GB2312" w:cs="仿宋_GB2312"/>
          <w:kern w:val="0"/>
          <w:sz w:val="28"/>
          <w:szCs w:val="28"/>
        </w:rPr>
      </w:pPr>
      <w:r>
        <w:rPr>
          <w:rFonts w:hint="eastAsia" w:ascii="仿宋_GB2312" w:hAnsi="宋体" w:eastAsia="仿宋_GB2312" w:cs="仿宋_GB2312"/>
          <w:kern w:val="0"/>
          <w:sz w:val="28"/>
          <w:szCs w:val="28"/>
        </w:rPr>
        <w:t>中商网讯：碲锭市场延续平淡，现货交易困难。目前市场主流价格在430-450元/公斤，均价较上一交易日持平。总体看来，市场表现比较清淡。下游需求量回暖程度一般，采购意愿不高，虽有少量询单，但市场成交暂无明显的变化。</w:t>
      </w:r>
    </w:p>
    <w:p>
      <w:pPr>
        <w:widowControl/>
        <w:wordWrap w:val="0"/>
        <w:spacing w:after="90" w:line="288" w:lineRule="auto"/>
        <w:ind w:firstLine="480"/>
        <w:jc w:val="left"/>
        <w:rPr>
          <w:rFonts w:hint="eastAsia" w:ascii="仿宋_GB2312" w:hAnsi="宋体" w:eastAsia="仿宋_GB2312" w:cs="仿宋_GB2312"/>
          <w:kern w:val="0"/>
          <w:sz w:val="28"/>
          <w:szCs w:val="28"/>
        </w:rPr>
      </w:pPr>
      <w:r>
        <w:rPr>
          <w:rFonts w:hint="default" w:ascii="仿宋_GB2312" w:hAnsi="宋体" w:eastAsia="仿宋_GB2312" w:cs="仿宋_GB2312"/>
          <w:kern w:val="0"/>
          <w:sz w:val="28"/>
          <w:szCs w:val="28"/>
        </w:rPr>
        <w:t>由于目前市场需求较低，成交重心上扬并不高。预计碲锭市场短期内继续平稳运行。</w:t>
      </w:r>
    </w:p>
    <w:p>
      <w:pPr>
        <w:pStyle w:val="2"/>
        <w:spacing w:line="400" w:lineRule="exact"/>
        <w:rPr>
          <w:kern w:val="0"/>
        </w:rPr>
      </w:pPr>
      <w:bookmarkStart w:id="5" w:name="_Toc2257"/>
      <w:r>
        <w:rPr>
          <w:rFonts w:hint="eastAsia" w:cs="黑体"/>
        </w:rPr>
        <w:t>二、价格行情</w:t>
      </w:r>
      <w:bookmarkEnd w:id="5"/>
    </w:p>
    <w:p>
      <w:pPr>
        <w:pStyle w:val="4"/>
        <w:spacing w:line="400" w:lineRule="exact"/>
        <w:rPr>
          <w:rFonts w:cs="Times New Roman"/>
          <w:kern w:val="0"/>
        </w:rPr>
      </w:pPr>
      <w:bookmarkStart w:id="6" w:name="_Toc7165"/>
      <w:r>
        <w:rPr>
          <w:kern w:val="0"/>
        </w:rPr>
        <w:t>1</w:t>
      </w:r>
      <w:r>
        <w:rPr>
          <w:rFonts w:hint="eastAsia" w:cs="宋体"/>
          <w:kern w:val="0"/>
        </w:rPr>
        <w:t>、国际价格</w:t>
      </w:r>
      <w:bookmarkEnd w:id="6"/>
    </w:p>
    <w:tbl>
      <w:tblPr>
        <w:tblStyle w:val="21"/>
        <w:tblW w:w="8720" w:type="dxa"/>
        <w:tblInd w:w="-106" w:type="dxa"/>
        <w:tblLayout w:type="fixed"/>
        <w:tblCellMar>
          <w:top w:w="0" w:type="dxa"/>
          <w:left w:w="108" w:type="dxa"/>
          <w:bottom w:w="0" w:type="dxa"/>
          <w:right w:w="108" w:type="dxa"/>
        </w:tblCellMar>
      </w:tblPr>
      <w:tblGrid>
        <w:gridCol w:w="553"/>
        <w:gridCol w:w="540"/>
        <w:gridCol w:w="647"/>
        <w:gridCol w:w="648"/>
        <w:gridCol w:w="541"/>
        <w:gridCol w:w="593"/>
        <w:gridCol w:w="593"/>
        <w:gridCol w:w="593"/>
        <w:gridCol w:w="593"/>
        <w:gridCol w:w="553"/>
        <w:gridCol w:w="553"/>
        <w:gridCol w:w="494"/>
        <w:gridCol w:w="494"/>
        <w:gridCol w:w="603"/>
        <w:gridCol w:w="722"/>
      </w:tblGrid>
      <w:tr>
        <w:tblPrEx>
          <w:tblLayout w:type="fixed"/>
          <w:tblCellMar>
            <w:top w:w="0" w:type="dxa"/>
            <w:left w:w="108" w:type="dxa"/>
            <w:bottom w:w="0" w:type="dxa"/>
            <w:right w:w="108" w:type="dxa"/>
          </w:tblCellMar>
        </w:tblPrEx>
        <w:trPr>
          <w:trHeight w:val="255" w:hRule="atLeast"/>
        </w:trPr>
        <w:tc>
          <w:tcPr>
            <w:tcW w:w="8720" w:type="dxa"/>
            <w:gridSpan w:val="15"/>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仿宋_GB2312" w:hAnsi="宋体" w:eastAsia="仿宋_GB2312" w:cs="Times New Roman"/>
                <w:b/>
                <w:bCs/>
                <w:color w:val="000000"/>
                <w:kern w:val="0"/>
              </w:rPr>
            </w:pPr>
            <w:r>
              <w:rPr>
                <w:rFonts w:hint="eastAsia" w:ascii="仿宋_GB2312" w:hAnsi="宋体" w:eastAsia="仿宋_GB2312" w:cs="仿宋_GB2312"/>
                <w:b/>
                <w:bCs/>
                <w:color w:val="000000"/>
                <w:kern w:val="0"/>
              </w:rPr>
              <w:t>国际小金属价格</w:t>
            </w:r>
          </w:p>
        </w:tc>
      </w:tr>
      <w:tr>
        <w:tblPrEx>
          <w:tblLayout w:type="fixed"/>
          <w:tblCellMar>
            <w:top w:w="0" w:type="dxa"/>
            <w:left w:w="108" w:type="dxa"/>
            <w:bottom w:w="0" w:type="dxa"/>
            <w:right w:w="108" w:type="dxa"/>
          </w:tblCellMar>
        </w:tblPrEx>
        <w:trPr>
          <w:trHeight w:val="465" w:hRule="atLeast"/>
        </w:trPr>
        <w:tc>
          <w:tcPr>
            <w:tcW w:w="553"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Times New Roman"/>
                <w:color w:val="000000"/>
                <w:kern w:val="0"/>
              </w:rPr>
            </w:pPr>
            <w:r>
              <w:rPr>
                <w:rFonts w:hint="eastAsia" w:ascii="仿宋_GB2312" w:hAnsi="宋体" w:eastAsia="仿宋_GB2312" w:cs="仿宋_GB2312"/>
                <w:color w:val="000000"/>
                <w:kern w:val="0"/>
              </w:rPr>
              <w:t>日期</w:t>
            </w:r>
          </w:p>
        </w:tc>
        <w:tc>
          <w:tcPr>
            <w:tcW w:w="1187"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_GB2312" w:hAnsi="宋体" w:eastAsia="仿宋_GB2312" w:cs="Times New Roman"/>
                <w:color w:val="000000"/>
                <w:kern w:val="0"/>
              </w:rPr>
            </w:pPr>
            <w:r>
              <w:rPr>
                <w:rFonts w:hint="eastAsia" w:ascii="仿宋_GB2312" w:hAnsi="宋体" w:eastAsia="仿宋_GB2312" w:cs="仿宋_GB2312"/>
                <w:color w:val="000000"/>
                <w:kern w:val="0"/>
              </w:rPr>
              <w:t>硒（美元）</w:t>
            </w:r>
          </w:p>
        </w:tc>
        <w:tc>
          <w:tcPr>
            <w:tcW w:w="1189"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_GB2312" w:hAnsi="宋体" w:eastAsia="仿宋_GB2312" w:cs="Times New Roman"/>
                <w:color w:val="000000"/>
                <w:kern w:val="0"/>
              </w:rPr>
            </w:pPr>
            <w:r>
              <w:rPr>
                <w:rFonts w:hint="eastAsia" w:ascii="仿宋_GB2312" w:hAnsi="宋体" w:eastAsia="仿宋_GB2312" w:cs="仿宋_GB2312"/>
                <w:color w:val="000000"/>
                <w:kern w:val="0"/>
              </w:rPr>
              <w:t>铋（美元）</w:t>
            </w:r>
          </w:p>
        </w:tc>
        <w:tc>
          <w:tcPr>
            <w:tcW w:w="1186"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_GB2312" w:hAnsi="宋体" w:eastAsia="仿宋_GB2312" w:cs="Times New Roman"/>
                <w:color w:val="000000"/>
                <w:kern w:val="0"/>
              </w:rPr>
            </w:pPr>
            <w:r>
              <w:rPr>
                <w:rFonts w:hint="eastAsia" w:ascii="仿宋_GB2312" w:hAnsi="宋体" w:eastAsia="仿宋_GB2312" w:cs="仿宋_GB2312"/>
                <w:color w:val="000000"/>
                <w:kern w:val="0"/>
              </w:rPr>
              <w:t>镉</w:t>
            </w:r>
          </w:p>
          <w:p>
            <w:pPr>
              <w:widowControl/>
              <w:spacing w:line="400" w:lineRule="exact"/>
              <w:jc w:val="center"/>
              <w:rPr>
                <w:rFonts w:ascii="仿宋_GB2312" w:hAnsi="宋体" w:eastAsia="仿宋_GB2312" w:cs="Times New Roman"/>
                <w:color w:val="000000"/>
                <w:kern w:val="0"/>
              </w:rPr>
            </w:pPr>
            <w:r>
              <w:rPr>
                <w:rFonts w:hint="eastAsia" w:ascii="仿宋_GB2312" w:hAnsi="宋体" w:eastAsia="仿宋_GB2312" w:cs="仿宋_GB2312"/>
                <w:color w:val="000000"/>
                <w:kern w:val="0"/>
              </w:rPr>
              <w:t>（</w:t>
            </w:r>
            <w:r>
              <w:rPr>
                <w:rFonts w:ascii="仿宋_GB2312" w:hAnsi="宋体" w:eastAsia="仿宋_GB2312" w:cs="仿宋_GB2312"/>
                <w:color w:val="000000"/>
                <w:kern w:val="0"/>
              </w:rPr>
              <w:t>99.95</w:t>
            </w:r>
            <w:r>
              <w:rPr>
                <w:rFonts w:hint="eastAsia" w:ascii="仿宋_GB2312" w:hAnsi="宋体" w:eastAsia="仿宋_GB2312" w:cs="仿宋_GB2312"/>
                <w:color w:val="000000"/>
                <w:kern w:val="0"/>
              </w:rPr>
              <w:t>美分）</w:t>
            </w:r>
          </w:p>
        </w:tc>
        <w:tc>
          <w:tcPr>
            <w:tcW w:w="1186"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_GB2312" w:hAnsi="宋体" w:eastAsia="仿宋_GB2312" w:cs="Times New Roman"/>
                <w:color w:val="000000"/>
                <w:kern w:val="0"/>
              </w:rPr>
            </w:pPr>
            <w:r>
              <w:rPr>
                <w:rFonts w:hint="eastAsia" w:ascii="仿宋_GB2312" w:hAnsi="宋体" w:eastAsia="仿宋_GB2312" w:cs="仿宋_GB2312"/>
                <w:color w:val="000000"/>
                <w:kern w:val="0"/>
              </w:rPr>
              <w:t>镉</w:t>
            </w:r>
          </w:p>
          <w:p>
            <w:pPr>
              <w:widowControl/>
              <w:spacing w:line="400" w:lineRule="exact"/>
              <w:jc w:val="center"/>
              <w:rPr>
                <w:rFonts w:ascii="仿宋_GB2312" w:hAnsi="宋体" w:eastAsia="仿宋_GB2312" w:cs="Times New Roman"/>
                <w:color w:val="000000"/>
                <w:kern w:val="0"/>
              </w:rPr>
            </w:pPr>
            <w:r>
              <w:rPr>
                <w:rFonts w:hint="eastAsia" w:ascii="仿宋_GB2312" w:hAnsi="宋体" w:eastAsia="仿宋_GB2312" w:cs="仿宋_GB2312"/>
                <w:color w:val="000000"/>
                <w:kern w:val="0"/>
              </w:rPr>
              <w:t>（</w:t>
            </w:r>
            <w:r>
              <w:rPr>
                <w:rFonts w:ascii="仿宋_GB2312" w:hAnsi="宋体" w:eastAsia="仿宋_GB2312" w:cs="仿宋_GB2312"/>
                <w:color w:val="000000"/>
                <w:kern w:val="0"/>
              </w:rPr>
              <w:t>99.99</w:t>
            </w:r>
            <w:r>
              <w:rPr>
                <w:rFonts w:hint="eastAsia" w:ascii="仿宋_GB2312" w:hAnsi="宋体" w:eastAsia="仿宋_GB2312" w:cs="仿宋_GB2312"/>
                <w:color w:val="000000"/>
                <w:kern w:val="0"/>
              </w:rPr>
              <w:t>美分）</w:t>
            </w:r>
          </w:p>
        </w:tc>
        <w:tc>
          <w:tcPr>
            <w:tcW w:w="1106"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_GB2312" w:hAnsi="宋体" w:eastAsia="仿宋_GB2312" w:cs="Times New Roman"/>
                <w:color w:val="000000"/>
                <w:kern w:val="0"/>
              </w:rPr>
            </w:pPr>
            <w:r>
              <w:rPr>
                <w:rFonts w:hint="eastAsia" w:ascii="仿宋_GB2312" w:hAnsi="宋体" w:eastAsia="仿宋_GB2312" w:cs="仿宋_GB2312"/>
                <w:color w:val="000000"/>
                <w:kern w:val="0"/>
              </w:rPr>
              <w:t>铟（美元）</w:t>
            </w:r>
          </w:p>
        </w:tc>
        <w:tc>
          <w:tcPr>
            <w:tcW w:w="988"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_GB2312" w:hAnsi="宋体" w:eastAsia="仿宋_GB2312" w:cs="Times New Roman"/>
                <w:color w:val="000000"/>
                <w:kern w:val="0"/>
              </w:rPr>
            </w:pPr>
            <w:r>
              <w:rPr>
                <w:rFonts w:hint="eastAsia" w:ascii="仿宋_GB2312" w:hAnsi="宋体" w:eastAsia="仿宋_GB2312" w:cs="仿宋_GB2312"/>
                <w:color w:val="000000"/>
                <w:kern w:val="0"/>
              </w:rPr>
              <w:t>碲锭（美元）</w:t>
            </w:r>
          </w:p>
        </w:tc>
        <w:tc>
          <w:tcPr>
            <w:tcW w:w="1325"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_GB2312" w:hAnsi="宋体" w:eastAsia="仿宋_GB2312" w:cs="Times New Roman"/>
                <w:color w:val="000000"/>
                <w:kern w:val="0"/>
              </w:rPr>
            </w:pPr>
            <w:r>
              <w:rPr>
                <w:rFonts w:hint="eastAsia" w:ascii="仿宋_GB2312" w:hAnsi="宋体" w:eastAsia="仿宋_GB2312" w:cs="仿宋_GB2312"/>
                <w:color w:val="000000"/>
                <w:kern w:val="0"/>
              </w:rPr>
              <w:t>二氧化锗（美元）</w:t>
            </w:r>
          </w:p>
        </w:tc>
      </w:tr>
      <w:tr>
        <w:tblPrEx>
          <w:tblLayout w:type="fixed"/>
          <w:tblCellMar>
            <w:top w:w="0" w:type="dxa"/>
            <w:left w:w="108" w:type="dxa"/>
            <w:bottom w:w="0" w:type="dxa"/>
            <w:right w:w="108" w:type="dxa"/>
          </w:tblCellMar>
        </w:tblPrEx>
        <w:trPr>
          <w:trHeight w:val="465" w:hRule="atLeast"/>
        </w:trPr>
        <w:tc>
          <w:tcPr>
            <w:tcW w:w="553"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Times New Roman"/>
                <w:kern w:val="0"/>
                <w:lang w:eastAsia="zh-CN"/>
              </w:rPr>
            </w:pPr>
            <w:bookmarkStart w:id="7" w:name="_Toc296348073"/>
            <w:r>
              <w:rPr>
                <w:rFonts w:hint="eastAsia" w:ascii="仿宋_GB2312" w:hAnsi="宋体" w:eastAsia="仿宋_GB2312" w:cs="仿宋_GB2312"/>
                <w:kern w:val="0"/>
                <w:lang w:val="en-US" w:eastAsia="zh-CN"/>
              </w:rPr>
              <w:t>3</w:t>
            </w:r>
            <w:r>
              <w:rPr>
                <w:rFonts w:ascii="仿宋_GB2312" w:hAnsi="宋体" w:eastAsia="仿宋_GB2312" w:cs="仿宋_GB2312"/>
                <w:kern w:val="0"/>
              </w:rPr>
              <w:t>-</w:t>
            </w:r>
            <w:r>
              <w:rPr>
                <w:rFonts w:hint="eastAsia" w:ascii="仿宋_GB2312" w:hAnsi="宋体" w:eastAsia="仿宋_GB2312" w:cs="仿宋_GB2312"/>
                <w:kern w:val="0"/>
                <w:lang w:val="en-US" w:eastAsia="zh-CN"/>
              </w:rPr>
              <w:t>6</w:t>
            </w:r>
          </w:p>
        </w:tc>
        <w:tc>
          <w:tcPr>
            <w:tcW w:w="540"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ascii="仿宋_GB2312" w:eastAsia="仿宋_GB2312" w:cs="仿宋_GB2312"/>
              </w:rPr>
              <w:t>8</w:t>
            </w:r>
            <w:r>
              <w:rPr>
                <w:rFonts w:hint="eastAsia" w:ascii="仿宋_GB2312" w:eastAsia="仿宋_GB2312" w:cs="仿宋_GB2312"/>
                <w:lang w:val="en-US" w:eastAsia="zh-CN"/>
              </w:rPr>
              <w:t>.5</w:t>
            </w:r>
          </w:p>
        </w:tc>
        <w:tc>
          <w:tcPr>
            <w:tcW w:w="647"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10.5</w:t>
            </w:r>
          </w:p>
        </w:tc>
        <w:tc>
          <w:tcPr>
            <w:tcW w:w="648"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ascii="仿宋_GB2312" w:eastAsia="仿宋_GB2312" w:cs="仿宋_GB2312"/>
              </w:rPr>
              <w:t>3.</w:t>
            </w:r>
            <w:r>
              <w:rPr>
                <w:rFonts w:hint="eastAsia" w:ascii="仿宋_GB2312" w:eastAsia="仿宋_GB2312" w:cs="仿宋_GB2312"/>
                <w:lang w:val="en-US" w:eastAsia="zh-CN"/>
              </w:rPr>
              <w:t>55</w:t>
            </w:r>
          </w:p>
        </w:tc>
        <w:tc>
          <w:tcPr>
            <w:tcW w:w="541"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3.9</w:t>
            </w:r>
          </w:p>
        </w:tc>
        <w:tc>
          <w:tcPr>
            <w:tcW w:w="593"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133</w:t>
            </w:r>
          </w:p>
        </w:tc>
        <w:tc>
          <w:tcPr>
            <w:tcW w:w="593"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143</w:t>
            </w:r>
          </w:p>
        </w:tc>
        <w:tc>
          <w:tcPr>
            <w:tcW w:w="593"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137</w:t>
            </w:r>
          </w:p>
        </w:tc>
        <w:tc>
          <w:tcPr>
            <w:tcW w:w="593"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146</w:t>
            </w:r>
          </w:p>
        </w:tc>
        <w:tc>
          <w:tcPr>
            <w:tcW w:w="553"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200</w:t>
            </w:r>
          </w:p>
        </w:tc>
        <w:tc>
          <w:tcPr>
            <w:tcW w:w="553"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220</w:t>
            </w:r>
          </w:p>
        </w:tc>
        <w:tc>
          <w:tcPr>
            <w:tcW w:w="494"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53</w:t>
            </w:r>
          </w:p>
        </w:tc>
        <w:tc>
          <w:tcPr>
            <w:tcW w:w="494"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65</w:t>
            </w:r>
          </w:p>
        </w:tc>
        <w:tc>
          <w:tcPr>
            <w:tcW w:w="603"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950</w:t>
            </w:r>
          </w:p>
        </w:tc>
        <w:tc>
          <w:tcPr>
            <w:tcW w:w="722"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1150</w:t>
            </w:r>
          </w:p>
        </w:tc>
      </w:tr>
      <w:bookmarkEnd w:id="7"/>
    </w:tbl>
    <w:p>
      <w:pPr>
        <w:rPr>
          <w:rFonts w:cs="Times New Roman"/>
        </w:rPr>
      </w:pPr>
    </w:p>
    <w:p>
      <w:pPr>
        <w:pStyle w:val="4"/>
        <w:spacing w:line="400" w:lineRule="exact"/>
        <w:rPr>
          <w:kern w:val="0"/>
        </w:rPr>
      </w:pPr>
    </w:p>
    <w:p>
      <w:pPr>
        <w:pStyle w:val="4"/>
        <w:spacing w:line="400" w:lineRule="exact"/>
        <w:rPr>
          <w:rFonts w:cs="Times New Roman"/>
          <w:kern w:val="0"/>
        </w:rPr>
      </w:pPr>
      <w:bookmarkStart w:id="8" w:name="_Toc29151"/>
      <w:r>
        <w:rPr>
          <w:kern w:val="0"/>
        </w:rPr>
        <w:t>2</w:t>
      </w:r>
      <w:r>
        <w:rPr>
          <w:rFonts w:hint="eastAsia" w:cs="宋体"/>
          <w:kern w:val="0"/>
        </w:rPr>
        <w:t>、欧洲鹿特丹小金属价格</w:t>
      </w:r>
      <w:bookmarkEnd w:id="8"/>
    </w:p>
    <w:tbl>
      <w:tblPr>
        <w:tblStyle w:val="21"/>
        <w:tblW w:w="8720" w:type="dxa"/>
        <w:tblInd w:w="-106" w:type="dxa"/>
        <w:tblLayout w:type="fixed"/>
        <w:tblCellMar>
          <w:top w:w="0" w:type="dxa"/>
          <w:left w:w="108" w:type="dxa"/>
          <w:bottom w:w="0" w:type="dxa"/>
          <w:right w:w="108" w:type="dxa"/>
        </w:tblCellMar>
      </w:tblPr>
      <w:tblGrid>
        <w:gridCol w:w="670"/>
        <w:gridCol w:w="864"/>
        <w:gridCol w:w="864"/>
        <w:gridCol w:w="1242"/>
        <w:gridCol w:w="1242"/>
        <w:gridCol w:w="914"/>
        <w:gridCol w:w="864"/>
        <w:gridCol w:w="1066"/>
        <w:gridCol w:w="994"/>
      </w:tblGrid>
      <w:tr>
        <w:tblPrEx>
          <w:tblLayout w:type="fixed"/>
          <w:tblCellMar>
            <w:top w:w="0" w:type="dxa"/>
            <w:left w:w="108" w:type="dxa"/>
            <w:bottom w:w="0" w:type="dxa"/>
            <w:right w:w="108" w:type="dxa"/>
          </w:tblCellMar>
        </w:tblPrEx>
        <w:trPr>
          <w:trHeight w:val="285" w:hRule="atLeast"/>
        </w:trPr>
        <w:tc>
          <w:tcPr>
            <w:tcW w:w="8720" w:type="dxa"/>
            <w:gridSpan w:val="9"/>
            <w:tcBorders>
              <w:top w:val="single" w:color="auto" w:sz="8" w:space="0"/>
              <w:left w:val="single" w:color="auto" w:sz="8" w:space="0"/>
              <w:bottom w:val="single" w:color="auto" w:sz="4" w:space="0"/>
              <w:right w:val="single" w:color="000000" w:sz="8" w:space="0"/>
            </w:tcBorders>
            <w:vAlign w:val="center"/>
          </w:tcPr>
          <w:p>
            <w:pPr>
              <w:spacing w:line="400" w:lineRule="exact"/>
              <w:jc w:val="center"/>
              <w:rPr>
                <w:rFonts w:ascii="仿宋_GB2312" w:eastAsia="仿宋_GB2312" w:cs="Times New Roman"/>
                <w:b/>
                <w:bCs/>
              </w:rPr>
            </w:pPr>
            <w:r>
              <w:rPr>
                <w:rFonts w:hint="eastAsia" w:ascii="仿宋_GB2312" w:eastAsia="仿宋_GB2312" w:cs="仿宋_GB2312"/>
                <w:b/>
                <w:bCs/>
              </w:rPr>
              <w:t>欧洲鹿特丹小金属价格一周汇总</w:t>
            </w:r>
          </w:p>
        </w:tc>
      </w:tr>
      <w:tr>
        <w:tblPrEx>
          <w:tblLayout w:type="fixed"/>
          <w:tblCellMar>
            <w:top w:w="0" w:type="dxa"/>
            <w:left w:w="108" w:type="dxa"/>
            <w:bottom w:w="0" w:type="dxa"/>
            <w:right w:w="108" w:type="dxa"/>
          </w:tblCellMar>
        </w:tblPrEx>
        <w:trPr>
          <w:trHeight w:val="450" w:hRule="atLeast"/>
        </w:trPr>
        <w:tc>
          <w:tcPr>
            <w:tcW w:w="670" w:type="dxa"/>
            <w:tcBorders>
              <w:top w:val="nil"/>
              <w:left w:val="single" w:color="auto" w:sz="8" w:space="0"/>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日期</w:t>
            </w:r>
          </w:p>
        </w:tc>
        <w:tc>
          <w:tcPr>
            <w:tcW w:w="864"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硒（美元</w:t>
            </w:r>
            <w:r>
              <w:rPr>
                <w:rFonts w:ascii="仿宋_GB2312" w:eastAsia="仿宋_GB2312" w:cs="仿宋_GB2312"/>
              </w:rPr>
              <w:t>/</w:t>
            </w:r>
            <w:r>
              <w:rPr>
                <w:rFonts w:hint="eastAsia" w:ascii="仿宋_GB2312" w:eastAsia="仿宋_GB2312" w:cs="仿宋_GB2312"/>
              </w:rPr>
              <w:t>磅）</w:t>
            </w:r>
          </w:p>
        </w:tc>
        <w:tc>
          <w:tcPr>
            <w:tcW w:w="864"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铋（美元</w:t>
            </w:r>
            <w:r>
              <w:rPr>
                <w:rFonts w:ascii="仿宋_GB2312" w:eastAsia="仿宋_GB2312" w:cs="仿宋_GB2312"/>
              </w:rPr>
              <w:t>/</w:t>
            </w:r>
            <w:r>
              <w:rPr>
                <w:rFonts w:hint="eastAsia" w:ascii="仿宋_GB2312" w:eastAsia="仿宋_GB2312" w:cs="仿宋_GB2312"/>
              </w:rPr>
              <w:t>磅）</w:t>
            </w:r>
          </w:p>
        </w:tc>
        <w:tc>
          <w:tcPr>
            <w:tcW w:w="1242"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镉（</w:t>
            </w:r>
            <w:r>
              <w:rPr>
                <w:rFonts w:ascii="仿宋_GB2312" w:eastAsia="仿宋_GB2312" w:cs="仿宋_GB2312"/>
              </w:rPr>
              <w:t>99.95</w:t>
            </w:r>
            <w:r>
              <w:rPr>
                <w:rFonts w:hint="eastAsia" w:ascii="仿宋_GB2312" w:eastAsia="仿宋_GB2312" w:cs="仿宋_GB2312"/>
              </w:rPr>
              <w:t>美元</w:t>
            </w:r>
            <w:r>
              <w:rPr>
                <w:rFonts w:ascii="仿宋_GB2312" w:eastAsia="仿宋_GB2312" w:cs="仿宋_GB2312"/>
              </w:rPr>
              <w:t>/</w:t>
            </w:r>
            <w:r>
              <w:rPr>
                <w:rFonts w:hint="eastAsia" w:ascii="仿宋_GB2312" w:eastAsia="仿宋_GB2312" w:cs="仿宋_GB2312"/>
              </w:rPr>
              <w:t>磅）</w:t>
            </w:r>
          </w:p>
        </w:tc>
        <w:tc>
          <w:tcPr>
            <w:tcW w:w="1242"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镉（</w:t>
            </w:r>
            <w:r>
              <w:rPr>
                <w:rFonts w:ascii="仿宋_GB2312" w:eastAsia="仿宋_GB2312" w:cs="仿宋_GB2312"/>
              </w:rPr>
              <w:t>99.99</w:t>
            </w:r>
            <w:r>
              <w:rPr>
                <w:rFonts w:hint="eastAsia" w:ascii="仿宋_GB2312" w:eastAsia="仿宋_GB2312" w:cs="仿宋_GB2312"/>
              </w:rPr>
              <w:t>美元</w:t>
            </w:r>
            <w:r>
              <w:rPr>
                <w:rFonts w:ascii="仿宋_GB2312" w:eastAsia="仿宋_GB2312" w:cs="仿宋_GB2312"/>
              </w:rPr>
              <w:t>/</w:t>
            </w:r>
            <w:r>
              <w:rPr>
                <w:rFonts w:hint="eastAsia" w:ascii="仿宋_GB2312" w:eastAsia="仿宋_GB2312" w:cs="仿宋_GB2312"/>
              </w:rPr>
              <w:t>磅）</w:t>
            </w:r>
          </w:p>
        </w:tc>
        <w:tc>
          <w:tcPr>
            <w:tcW w:w="914"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铟（美元</w:t>
            </w:r>
            <w:r>
              <w:rPr>
                <w:rFonts w:ascii="仿宋_GB2312" w:eastAsia="仿宋_GB2312" w:cs="仿宋_GB2312"/>
              </w:rPr>
              <w:t>/</w:t>
            </w:r>
            <w:r>
              <w:rPr>
                <w:rFonts w:hint="eastAsia" w:ascii="仿宋_GB2312" w:eastAsia="仿宋_GB2312" w:cs="仿宋_GB2312"/>
              </w:rPr>
              <w:t>公斤）</w:t>
            </w:r>
          </w:p>
        </w:tc>
        <w:tc>
          <w:tcPr>
            <w:tcW w:w="864"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锗（元</w:t>
            </w:r>
            <w:r>
              <w:rPr>
                <w:rFonts w:ascii="仿宋_GB2312" w:eastAsia="仿宋_GB2312" w:cs="仿宋_GB2312"/>
              </w:rPr>
              <w:t>/</w:t>
            </w:r>
            <w:r>
              <w:rPr>
                <w:rFonts w:hint="eastAsia" w:ascii="仿宋_GB2312" w:eastAsia="仿宋_GB2312" w:cs="仿宋_GB2312"/>
              </w:rPr>
              <w:t>公斤）</w:t>
            </w:r>
          </w:p>
        </w:tc>
        <w:tc>
          <w:tcPr>
            <w:tcW w:w="1066"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二氧化锗（美元</w:t>
            </w:r>
            <w:r>
              <w:rPr>
                <w:rFonts w:ascii="仿宋_GB2312" w:eastAsia="仿宋_GB2312" w:cs="仿宋_GB2312"/>
              </w:rPr>
              <w:t>/</w:t>
            </w:r>
            <w:r>
              <w:rPr>
                <w:rFonts w:hint="eastAsia" w:ascii="仿宋_GB2312" w:eastAsia="仿宋_GB2312" w:cs="仿宋_GB2312"/>
              </w:rPr>
              <w:t>公斤）</w:t>
            </w:r>
          </w:p>
        </w:tc>
        <w:tc>
          <w:tcPr>
            <w:tcW w:w="994" w:type="dxa"/>
            <w:tcBorders>
              <w:top w:val="single" w:color="auto" w:sz="4" w:space="0"/>
              <w:left w:val="nil"/>
              <w:bottom w:val="single" w:color="auto" w:sz="4" w:space="0"/>
              <w:right w:val="single" w:color="000000" w:sz="8"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镓（美元</w:t>
            </w:r>
            <w:r>
              <w:rPr>
                <w:rFonts w:ascii="仿宋_GB2312" w:eastAsia="仿宋_GB2312" w:cs="仿宋_GB2312"/>
              </w:rPr>
              <w:t>/</w:t>
            </w:r>
            <w:r>
              <w:rPr>
                <w:rFonts w:hint="eastAsia" w:ascii="仿宋_GB2312" w:eastAsia="仿宋_GB2312" w:cs="仿宋_GB2312"/>
              </w:rPr>
              <w:t>公斤）</w:t>
            </w:r>
          </w:p>
        </w:tc>
      </w:tr>
      <w:tr>
        <w:tblPrEx>
          <w:tblLayout w:type="fixed"/>
          <w:tblCellMar>
            <w:top w:w="0" w:type="dxa"/>
            <w:left w:w="108" w:type="dxa"/>
            <w:bottom w:w="0" w:type="dxa"/>
            <w:right w:w="108" w:type="dxa"/>
          </w:tblCellMar>
        </w:tblPrEx>
        <w:trPr>
          <w:trHeight w:val="285" w:hRule="atLeast"/>
        </w:trPr>
        <w:tc>
          <w:tcPr>
            <w:tcW w:w="670" w:type="dxa"/>
            <w:tcBorders>
              <w:top w:val="nil"/>
              <w:left w:val="single" w:color="auto" w:sz="8" w:space="0"/>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lang w:val="en-US" w:eastAsia="zh-CN"/>
              </w:rPr>
              <w:t>3</w:t>
            </w:r>
            <w:r>
              <w:rPr>
                <w:rFonts w:hint="eastAsia" w:ascii="仿宋_GB2312" w:eastAsia="仿宋_GB2312" w:cs="仿宋_GB2312"/>
              </w:rPr>
              <w:t>月</w:t>
            </w:r>
            <w:r>
              <w:rPr>
                <w:rFonts w:hint="eastAsia" w:ascii="仿宋_GB2312" w:eastAsia="仿宋_GB2312" w:cs="仿宋_GB2312"/>
                <w:lang w:val="en-US" w:eastAsia="zh-CN"/>
              </w:rPr>
              <w:t>6</w:t>
            </w:r>
            <w:r>
              <w:rPr>
                <w:rFonts w:hint="eastAsia" w:ascii="仿宋_GB2312" w:eastAsia="仿宋_GB2312" w:cs="仿宋_GB2312"/>
              </w:rPr>
              <w:t>日</w:t>
            </w:r>
          </w:p>
        </w:tc>
        <w:tc>
          <w:tcPr>
            <w:tcW w:w="864" w:type="dxa"/>
            <w:tcBorders>
              <w:top w:val="single" w:color="auto" w:sz="4" w:space="0"/>
              <w:left w:val="nil"/>
              <w:bottom w:val="single" w:color="auto" w:sz="4" w:space="0"/>
              <w:right w:val="single" w:color="auto" w:sz="4" w:space="0"/>
            </w:tcBorders>
            <w:noWrap/>
            <w:vAlign w:val="center"/>
          </w:tcPr>
          <w:p>
            <w:pPr>
              <w:jc w:val="center"/>
              <w:rPr>
                <w:rFonts w:ascii="仿宋_GB2312" w:eastAsia="仿宋_GB2312" w:cs="仿宋_GB2312"/>
              </w:rPr>
            </w:pPr>
            <w:r>
              <w:rPr>
                <w:rFonts w:ascii="仿宋_GB2312" w:eastAsia="仿宋_GB2312" w:cs="仿宋_GB2312"/>
              </w:rPr>
              <w:t>14.5</w:t>
            </w:r>
          </w:p>
        </w:tc>
        <w:tc>
          <w:tcPr>
            <w:tcW w:w="864" w:type="dxa"/>
            <w:tcBorders>
              <w:top w:val="single" w:color="auto" w:sz="4" w:space="0"/>
              <w:left w:val="nil"/>
              <w:bottom w:val="single" w:color="auto" w:sz="4" w:space="0"/>
              <w:right w:val="single" w:color="auto" w:sz="4" w:space="0"/>
            </w:tcBorders>
            <w:noWrap/>
            <w:vAlign w:val="center"/>
          </w:tcPr>
          <w:p>
            <w:pPr>
              <w:jc w:val="center"/>
              <w:rPr>
                <w:rFonts w:ascii="仿宋_GB2312" w:eastAsia="仿宋_GB2312" w:cs="仿宋_GB2312"/>
              </w:rPr>
            </w:pPr>
            <w:r>
              <w:rPr>
                <w:rFonts w:ascii="仿宋_GB2312" w:eastAsia="仿宋_GB2312" w:cs="仿宋_GB2312"/>
              </w:rPr>
              <w:t>3.75</w:t>
            </w:r>
          </w:p>
        </w:tc>
        <w:tc>
          <w:tcPr>
            <w:tcW w:w="1242" w:type="dxa"/>
            <w:tcBorders>
              <w:top w:val="single" w:color="auto" w:sz="4" w:space="0"/>
              <w:left w:val="nil"/>
              <w:bottom w:val="single" w:color="auto" w:sz="4" w:space="0"/>
              <w:right w:val="single" w:color="auto" w:sz="4" w:space="0"/>
            </w:tcBorders>
            <w:noWrap/>
            <w:vAlign w:val="center"/>
          </w:tcPr>
          <w:p>
            <w:pPr>
              <w:jc w:val="center"/>
              <w:rPr>
                <w:rFonts w:ascii="仿宋_GB2312" w:eastAsia="仿宋_GB2312" w:cs="仿宋_GB2312"/>
              </w:rPr>
            </w:pPr>
            <w:r>
              <w:rPr>
                <w:rFonts w:ascii="仿宋_GB2312" w:eastAsia="仿宋_GB2312" w:cs="仿宋_GB2312"/>
              </w:rPr>
              <w:t>1.25</w:t>
            </w:r>
          </w:p>
        </w:tc>
        <w:tc>
          <w:tcPr>
            <w:tcW w:w="1242" w:type="dxa"/>
            <w:tcBorders>
              <w:top w:val="single" w:color="auto" w:sz="4" w:space="0"/>
              <w:left w:val="nil"/>
              <w:bottom w:val="single" w:color="auto" w:sz="4" w:space="0"/>
              <w:right w:val="single" w:color="auto" w:sz="4" w:space="0"/>
            </w:tcBorders>
            <w:noWrap/>
            <w:vAlign w:val="center"/>
          </w:tcPr>
          <w:p>
            <w:pPr>
              <w:jc w:val="center"/>
              <w:rPr>
                <w:rFonts w:ascii="仿宋_GB2312" w:eastAsia="仿宋_GB2312" w:cs="仿宋_GB2312"/>
              </w:rPr>
            </w:pPr>
            <w:r>
              <w:rPr>
                <w:rFonts w:ascii="仿宋_GB2312" w:eastAsia="仿宋_GB2312" w:cs="仿宋_GB2312"/>
              </w:rPr>
              <w:t>1.3</w:t>
            </w:r>
          </w:p>
        </w:tc>
        <w:tc>
          <w:tcPr>
            <w:tcW w:w="914" w:type="dxa"/>
            <w:tcBorders>
              <w:top w:val="single" w:color="auto" w:sz="4" w:space="0"/>
              <w:left w:val="nil"/>
              <w:bottom w:val="single" w:color="auto" w:sz="4" w:space="0"/>
              <w:right w:val="single" w:color="auto" w:sz="4" w:space="0"/>
            </w:tcBorders>
            <w:noWrap/>
            <w:vAlign w:val="center"/>
          </w:tcPr>
          <w:p>
            <w:pPr>
              <w:jc w:val="center"/>
              <w:rPr>
                <w:rFonts w:ascii="仿宋_GB2312" w:eastAsia="仿宋_GB2312" w:cs="仿宋_GB2312"/>
              </w:rPr>
            </w:pPr>
            <w:r>
              <w:rPr>
                <w:rFonts w:ascii="仿宋_GB2312" w:eastAsia="仿宋_GB2312" w:cs="仿宋_GB2312"/>
              </w:rPr>
              <w:t>235</w:t>
            </w:r>
          </w:p>
        </w:tc>
        <w:tc>
          <w:tcPr>
            <w:tcW w:w="864" w:type="dxa"/>
            <w:tcBorders>
              <w:top w:val="single" w:color="auto" w:sz="4" w:space="0"/>
              <w:left w:val="nil"/>
              <w:bottom w:val="single" w:color="auto" w:sz="4" w:space="0"/>
              <w:right w:val="single" w:color="auto" w:sz="4" w:space="0"/>
            </w:tcBorders>
            <w:noWrap/>
            <w:vAlign w:val="center"/>
          </w:tcPr>
          <w:p>
            <w:pPr>
              <w:jc w:val="center"/>
              <w:rPr>
                <w:rFonts w:ascii="仿宋_GB2312" w:eastAsia="仿宋_GB2312" w:cs="仿宋_GB2312"/>
              </w:rPr>
            </w:pPr>
            <w:r>
              <w:rPr>
                <w:rFonts w:ascii="仿宋_GB2312" w:eastAsia="仿宋_GB2312" w:cs="仿宋_GB2312"/>
              </w:rPr>
              <w:t>1350</w:t>
            </w:r>
          </w:p>
        </w:tc>
        <w:tc>
          <w:tcPr>
            <w:tcW w:w="1066" w:type="dxa"/>
            <w:tcBorders>
              <w:top w:val="single" w:color="auto" w:sz="4" w:space="0"/>
              <w:left w:val="nil"/>
              <w:bottom w:val="single" w:color="auto" w:sz="4" w:space="0"/>
              <w:right w:val="single" w:color="auto" w:sz="4" w:space="0"/>
            </w:tcBorders>
            <w:noWrap/>
            <w:vAlign w:val="center"/>
          </w:tcPr>
          <w:p>
            <w:pPr>
              <w:jc w:val="center"/>
              <w:rPr>
                <w:rFonts w:ascii="仿宋_GB2312" w:eastAsia="仿宋_GB2312" w:cs="仿宋_GB2312"/>
              </w:rPr>
            </w:pPr>
            <w:r>
              <w:rPr>
                <w:rFonts w:ascii="仿宋_GB2312" w:eastAsia="仿宋_GB2312" w:cs="仿宋_GB2312"/>
              </w:rPr>
              <w:t>950</w:t>
            </w:r>
          </w:p>
        </w:tc>
        <w:tc>
          <w:tcPr>
            <w:tcW w:w="994" w:type="dxa"/>
            <w:tcBorders>
              <w:top w:val="single" w:color="auto" w:sz="4" w:space="0"/>
              <w:left w:val="nil"/>
              <w:bottom w:val="single" w:color="auto" w:sz="4" w:space="0"/>
              <w:right w:val="single" w:color="000000" w:sz="8" w:space="0"/>
            </w:tcBorders>
            <w:noWrap/>
            <w:vAlign w:val="center"/>
          </w:tcPr>
          <w:p>
            <w:pPr>
              <w:jc w:val="center"/>
              <w:rPr>
                <w:rFonts w:ascii="仿宋_GB2312" w:eastAsia="仿宋_GB2312" w:cs="仿宋_GB2312"/>
              </w:rPr>
            </w:pPr>
            <w:r>
              <w:rPr>
                <w:rFonts w:ascii="仿宋_GB2312" w:eastAsia="仿宋_GB2312" w:cs="仿宋_GB2312"/>
              </w:rPr>
              <w:t>172.5</w:t>
            </w:r>
          </w:p>
        </w:tc>
      </w:tr>
      <w:tr>
        <w:tblPrEx>
          <w:tblLayout w:type="fixed"/>
          <w:tblCellMar>
            <w:top w:w="0" w:type="dxa"/>
            <w:left w:w="108" w:type="dxa"/>
            <w:bottom w:w="0" w:type="dxa"/>
            <w:right w:w="108" w:type="dxa"/>
          </w:tblCellMar>
        </w:tblPrEx>
        <w:trPr>
          <w:trHeight w:val="285" w:hRule="atLeast"/>
        </w:trPr>
        <w:tc>
          <w:tcPr>
            <w:tcW w:w="670" w:type="dxa"/>
            <w:tcBorders>
              <w:top w:val="nil"/>
              <w:left w:val="single" w:color="auto" w:sz="8" w:space="0"/>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lang w:val="en-US" w:eastAsia="zh-CN"/>
              </w:rPr>
              <w:t>3</w:t>
            </w:r>
            <w:r>
              <w:rPr>
                <w:rFonts w:hint="eastAsia" w:ascii="仿宋_GB2312" w:eastAsia="仿宋_GB2312" w:cs="仿宋_GB2312"/>
              </w:rPr>
              <w:t>月</w:t>
            </w:r>
            <w:r>
              <w:rPr>
                <w:rFonts w:hint="eastAsia" w:ascii="仿宋_GB2312" w:eastAsia="仿宋_GB2312" w:cs="仿宋_GB2312"/>
                <w:lang w:val="en-US" w:eastAsia="zh-CN"/>
              </w:rPr>
              <w:t>7</w:t>
            </w:r>
            <w:r>
              <w:rPr>
                <w:rFonts w:hint="eastAsia" w:ascii="仿宋_GB2312" w:eastAsia="仿宋_GB2312" w:cs="仿宋_GB2312"/>
              </w:rPr>
              <w:t>日</w:t>
            </w:r>
          </w:p>
        </w:tc>
        <w:tc>
          <w:tcPr>
            <w:tcW w:w="864" w:type="dxa"/>
            <w:tcBorders>
              <w:top w:val="single" w:color="auto" w:sz="4" w:space="0"/>
              <w:left w:val="nil"/>
              <w:bottom w:val="single" w:color="auto" w:sz="4" w:space="0"/>
              <w:right w:val="single" w:color="auto" w:sz="4" w:space="0"/>
            </w:tcBorders>
            <w:noWrap/>
            <w:vAlign w:val="center"/>
          </w:tcPr>
          <w:p>
            <w:pPr>
              <w:jc w:val="center"/>
              <w:rPr>
                <w:rFonts w:ascii="仿宋_GB2312" w:eastAsia="仿宋_GB2312" w:cs="仿宋_GB2312"/>
              </w:rPr>
            </w:pPr>
            <w:r>
              <w:rPr>
                <w:rFonts w:ascii="仿宋_GB2312" w:eastAsia="仿宋_GB2312" w:cs="仿宋_GB2312"/>
              </w:rPr>
              <w:t>14.5</w:t>
            </w:r>
          </w:p>
        </w:tc>
        <w:tc>
          <w:tcPr>
            <w:tcW w:w="864" w:type="dxa"/>
            <w:tcBorders>
              <w:top w:val="single" w:color="auto" w:sz="4" w:space="0"/>
              <w:left w:val="nil"/>
              <w:bottom w:val="single" w:color="auto" w:sz="4" w:space="0"/>
              <w:right w:val="single" w:color="auto" w:sz="4" w:space="0"/>
            </w:tcBorders>
            <w:noWrap/>
            <w:vAlign w:val="center"/>
          </w:tcPr>
          <w:p>
            <w:pPr>
              <w:jc w:val="center"/>
              <w:rPr>
                <w:rFonts w:ascii="仿宋_GB2312" w:eastAsia="仿宋_GB2312" w:cs="仿宋_GB2312"/>
              </w:rPr>
            </w:pPr>
            <w:r>
              <w:rPr>
                <w:rFonts w:ascii="仿宋_GB2312" w:eastAsia="仿宋_GB2312" w:cs="仿宋_GB2312"/>
              </w:rPr>
              <w:t>3.75</w:t>
            </w:r>
          </w:p>
        </w:tc>
        <w:tc>
          <w:tcPr>
            <w:tcW w:w="1242" w:type="dxa"/>
            <w:tcBorders>
              <w:top w:val="single" w:color="auto" w:sz="4" w:space="0"/>
              <w:left w:val="nil"/>
              <w:bottom w:val="single" w:color="auto" w:sz="4" w:space="0"/>
              <w:right w:val="single" w:color="auto" w:sz="4" w:space="0"/>
            </w:tcBorders>
            <w:noWrap/>
            <w:vAlign w:val="center"/>
          </w:tcPr>
          <w:p>
            <w:pPr>
              <w:jc w:val="center"/>
              <w:rPr>
                <w:rFonts w:ascii="仿宋_GB2312" w:eastAsia="仿宋_GB2312" w:cs="仿宋_GB2312"/>
              </w:rPr>
            </w:pPr>
            <w:r>
              <w:rPr>
                <w:rFonts w:ascii="仿宋_GB2312" w:eastAsia="仿宋_GB2312" w:cs="仿宋_GB2312"/>
              </w:rPr>
              <w:t>1.25</w:t>
            </w:r>
          </w:p>
        </w:tc>
        <w:tc>
          <w:tcPr>
            <w:tcW w:w="1242" w:type="dxa"/>
            <w:tcBorders>
              <w:top w:val="single" w:color="auto" w:sz="4" w:space="0"/>
              <w:left w:val="nil"/>
              <w:bottom w:val="single" w:color="auto" w:sz="4" w:space="0"/>
              <w:right w:val="single" w:color="auto" w:sz="4" w:space="0"/>
            </w:tcBorders>
            <w:noWrap/>
            <w:vAlign w:val="center"/>
          </w:tcPr>
          <w:p>
            <w:pPr>
              <w:jc w:val="center"/>
              <w:rPr>
                <w:rFonts w:ascii="仿宋_GB2312" w:eastAsia="仿宋_GB2312" w:cs="仿宋_GB2312"/>
              </w:rPr>
            </w:pPr>
            <w:r>
              <w:rPr>
                <w:rFonts w:ascii="仿宋_GB2312" w:eastAsia="仿宋_GB2312" w:cs="仿宋_GB2312"/>
              </w:rPr>
              <w:t>1.3</w:t>
            </w:r>
          </w:p>
        </w:tc>
        <w:tc>
          <w:tcPr>
            <w:tcW w:w="914" w:type="dxa"/>
            <w:tcBorders>
              <w:top w:val="single" w:color="auto" w:sz="4" w:space="0"/>
              <w:left w:val="nil"/>
              <w:bottom w:val="single" w:color="auto" w:sz="4" w:space="0"/>
              <w:right w:val="single" w:color="auto" w:sz="4" w:space="0"/>
            </w:tcBorders>
            <w:noWrap/>
            <w:vAlign w:val="center"/>
          </w:tcPr>
          <w:p>
            <w:pPr>
              <w:jc w:val="center"/>
              <w:rPr>
                <w:rFonts w:ascii="仿宋_GB2312" w:eastAsia="仿宋_GB2312" w:cs="仿宋_GB2312"/>
              </w:rPr>
            </w:pPr>
            <w:r>
              <w:rPr>
                <w:rFonts w:ascii="仿宋_GB2312" w:eastAsia="仿宋_GB2312" w:cs="仿宋_GB2312"/>
              </w:rPr>
              <w:t>235</w:t>
            </w:r>
          </w:p>
        </w:tc>
        <w:tc>
          <w:tcPr>
            <w:tcW w:w="864" w:type="dxa"/>
            <w:tcBorders>
              <w:top w:val="single" w:color="auto" w:sz="4" w:space="0"/>
              <w:left w:val="nil"/>
              <w:bottom w:val="single" w:color="auto" w:sz="4" w:space="0"/>
              <w:right w:val="single" w:color="auto" w:sz="4" w:space="0"/>
            </w:tcBorders>
            <w:noWrap/>
            <w:vAlign w:val="center"/>
          </w:tcPr>
          <w:p>
            <w:pPr>
              <w:jc w:val="center"/>
              <w:rPr>
                <w:rFonts w:ascii="仿宋_GB2312" w:eastAsia="仿宋_GB2312" w:cs="仿宋_GB2312"/>
              </w:rPr>
            </w:pPr>
            <w:r>
              <w:rPr>
                <w:rFonts w:ascii="仿宋_GB2312" w:eastAsia="仿宋_GB2312" w:cs="仿宋_GB2312"/>
              </w:rPr>
              <w:t>1350</w:t>
            </w:r>
          </w:p>
        </w:tc>
        <w:tc>
          <w:tcPr>
            <w:tcW w:w="1066" w:type="dxa"/>
            <w:tcBorders>
              <w:top w:val="single" w:color="auto" w:sz="4" w:space="0"/>
              <w:left w:val="nil"/>
              <w:bottom w:val="single" w:color="auto" w:sz="4" w:space="0"/>
              <w:right w:val="single" w:color="auto" w:sz="4" w:space="0"/>
            </w:tcBorders>
            <w:noWrap/>
            <w:vAlign w:val="center"/>
          </w:tcPr>
          <w:p>
            <w:pPr>
              <w:jc w:val="center"/>
              <w:rPr>
                <w:rFonts w:ascii="仿宋_GB2312" w:eastAsia="仿宋_GB2312" w:cs="仿宋_GB2312"/>
              </w:rPr>
            </w:pPr>
            <w:r>
              <w:rPr>
                <w:rFonts w:ascii="仿宋_GB2312" w:eastAsia="仿宋_GB2312" w:cs="仿宋_GB2312"/>
              </w:rPr>
              <w:t>950</w:t>
            </w:r>
          </w:p>
        </w:tc>
        <w:tc>
          <w:tcPr>
            <w:tcW w:w="994" w:type="dxa"/>
            <w:tcBorders>
              <w:top w:val="single" w:color="auto" w:sz="4" w:space="0"/>
              <w:left w:val="nil"/>
              <w:bottom w:val="single" w:color="auto" w:sz="4" w:space="0"/>
              <w:right w:val="single" w:color="000000" w:sz="8" w:space="0"/>
            </w:tcBorders>
            <w:noWrap/>
            <w:vAlign w:val="center"/>
          </w:tcPr>
          <w:p>
            <w:pPr>
              <w:jc w:val="center"/>
              <w:rPr>
                <w:rFonts w:ascii="仿宋_GB2312" w:eastAsia="仿宋_GB2312" w:cs="仿宋_GB2312"/>
              </w:rPr>
            </w:pPr>
            <w:r>
              <w:rPr>
                <w:rFonts w:ascii="仿宋_GB2312" w:eastAsia="仿宋_GB2312" w:cs="仿宋_GB2312"/>
              </w:rPr>
              <w:t>172.5</w:t>
            </w:r>
          </w:p>
        </w:tc>
      </w:tr>
    </w:tbl>
    <w:p>
      <w:pPr>
        <w:rPr>
          <w:rFonts w:cs="Times New Roman"/>
        </w:rPr>
      </w:pPr>
    </w:p>
    <w:p>
      <w:pPr>
        <w:pStyle w:val="4"/>
        <w:spacing w:line="400" w:lineRule="exact"/>
        <w:rPr>
          <w:rFonts w:cs="Times New Roman"/>
          <w:kern w:val="0"/>
        </w:rPr>
      </w:pPr>
      <w:bookmarkStart w:id="9" w:name="_Toc953"/>
      <w:r>
        <w:rPr>
          <w:kern w:val="0"/>
        </w:rPr>
        <w:t>3</w:t>
      </w:r>
      <w:r>
        <w:rPr>
          <w:rFonts w:hint="eastAsia" w:cs="宋体"/>
          <w:kern w:val="0"/>
        </w:rPr>
        <w:t>、国内一周小金属价格汇总</w:t>
      </w:r>
      <w:bookmarkEnd w:id="9"/>
    </w:p>
    <w:tbl>
      <w:tblPr>
        <w:tblStyle w:val="21"/>
        <w:tblW w:w="8720" w:type="dxa"/>
        <w:tblInd w:w="-106" w:type="dxa"/>
        <w:tblLayout w:type="fixed"/>
        <w:tblCellMar>
          <w:top w:w="0" w:type="dxa"/>
          <w:left w:w="108" w:type="dxa"/>
          <w:bottom w:w="0" w:type="dxa"/>
          <w:right w:w="108" w:type="dxa"/>
        </w:tblCellMar>
      </w:tblPr>
      <w:tblGrid>
        <w:gridCol w:w="1225"/>
        <w:gridCol w:w="702"/>
        <w:gridCol w:w="703"/>
        <w:gridCol w:w="703"/>
        <w:gridCol w:w="703"/>
        <w:gridCol w:w="703"/>
        <w:gridCol w:w="705"/>
        <w:gridCol w:w="820"/>
        <w:gridCol w:w="820"/>
        <w:gridCol w:w="820"/>
        <w:gridCol w:w="816"/>
      </w:tblGrid>
      <w:tr>
        <w:tblPrEx>
          <w:tblLayout w:type="fixed"/>
          <w:tblCellMar>
            <w:top w:w="0" w:type="dxa"/>
            <w:left w:w="108" w:type="dxa"/>
            <w:bottom w:w="0" w:type="dxa"/>
            <w:right w:w="108" w:type="dxa"/>
          </w:tblCellMar>
        </w:tblPrEx>
        <w:trPr>
          <w:trHeight w:val="300" w:hRule="atLeast"/>
        </w:trPr>
        <w:tc>
          <w:tcPr>
            <w:tcW w:w="8720" w:type="dxa"/>
            <w:gridSpan w:val="11"/>
            <w:tcBorders>
              <w:top w:val="single" w:color="auto" w:sz="4" w:space="0"/>
              <w:left w:val="single" w:color="auto" w:sz="4" w:space="0"/>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b/>
                <w:bCs/>
                <w:kern w:val="0"/>
              </w:rPr>
            </w:pPr>
            <w:r>
              <w:rPr>
                <w:rFonts w:hint="eastAsia" w:ascii="仿宋_GB2312" w:hAnsi="宋体" w:eastAsia="仿宋_GB2312" w:cs="仿宋_GB2312"/>
                <w:b/>
                <w:bCs/>
                <w:kern w:val="0"/>
              </w:rPr>
              <w:t>国内小金属价格一周汇总</w:t>
            </w:r>
          </w:p>
        </w:tc>
      </w:tr>
      <w:tr>
        <w:tblPrEx>
          <w:tblLayout w:type="fixed"/>
          <w:tblCellMar>
            <w:top w:w="0" w:type="dxa"/>
            <w:left w:w="108" w:type="dxa"/>
            <w:bottom w:w="0" w:type="dxa"/>
            <w:right w:w="108" w:type="dxa"/>
          </w:tblCellMar>
        </w:tblPrEx>
        <w:trPr>
          <w:trHeight w:val="225" w:hRule="atLeast"/>
        </w:trPr>
        <w:tc>
          <w:tcPr>
            <w:tcW w:w="1225" w:type="dxa"/>
            <w:tcBorders>
              <w:top w:val="nil"/>
              <w:left w:val="single" w:color="auto" w:sz="4" w:space="0"/>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日期</w:t>
            </w:r>
          </w:p>
        </w:tc>
        <w:tc>
          <w:tcPr>
            <w:tcW w:w="1405"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仿宋_GB2312"/>
                <w:kern w:val="0"/>
              </w:rPr>
            </w:pPr>
            <w:r>
              <w:rPr>
                <w:rFonts w:hint="eastAsia" w:ascii="仿宋_GB2312" w:hAnsi="宋体" w:eastAsia="仿宋_GB2312" w:cs="仿宋_GB2312"/>
                <w:kern w:val="0"/>
              </w:rPr>
              <w:t>硒粉</w:t>
            </w:r>
            <w:r>
              <w:rPr>
                <w:rFonts w:ascii="仿宋_GB2312" w:hAnsi="宋体" w:eastAsia="仿宋_GB2312" w:cs="仿宋_GB2312"/>
                <w:kern w:val="0"/>
              </w:rPr>
              <w:t>99.9%</w:t>
            </w:r>
          </w:p>
        </w:tc>
        <w:tc>
          <w:tcPr>
            <w:tcW w:w="1406"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二氧化硒</w:t>
            </w:r>
          </w:p>
        </w:tc>
        <w:tc>
          <w:tcPr>
            <w:tcW w:w="1408"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精铟</w:t>
            </w:r>
          </w:p>
        </w:tc>
        <w:tc>
          <w:tcPr>
            <w:tcW w:w="1640"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粗铟</w:t>
            </w:r>
          </w:p>
        </w:tc>
        <w:tc>
          <w:tcPr>
            <w:tcW w:w="1636"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锗锭</w:t>
            </w:r>
          </w:p>
        </w:tc>
      </w:tr>
      <w:tr>
        <w:tblPrEx>
          <w:tblLayout w:type="fixed"/>
          <w:tblCellMar>
            <w:top w:w="0" w:type="dxa"/>
            <w:left w:w="108" w:type="dxa"/>
            <w:bottom w:w="0" w:type="dxa"/>
            <w:right w:w="108" w:type="dxa"/>
          </w:tblCellMar>
        </w:tblPrEx>
        <w:trPr>
          <w:trHeight w:val="241" w:hRule="atLeast"/>
        </w:trPr>
        <w:tc>
          <w:tcPr>
            <w:tcW w:w="1225"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lang w:val="en-US" w:eastAsia="zh-CN"/>
              </w:rPr>
              <w:t>3</w:t>
            </w:r>
            <w:r>
              <w:rPr>
                <w:rFonts w:hint="eastAsia" w:ascii="仿宋_GB2312" w:eastAsia="仿宋_GB2312" w:cs="仿宋_GB2312"/>
              </w:rPr>
              <w:t>月</w:t>
            </w:r>
            <w:r>
              <w:rPr>
                <w:rFonts w:hint="eastAsia" w:ascii="仿宋_GB2312" w:eastAsia="仿宋_GB2312" w:cs="仿宋_GB2312"/>
                <w:lang w:val="en-US" w:eastAsia="zh-CN"/>
              </w:rPr>
              <w:t>6</w:t>
            </w:r>
            <w:r>
              <w:rPr>
                <w:rFonts w:hint="eastAsia" w:ascii="仿宋_GB2312" w:eastAsia="仿宋_GB2312" w:cs="仿宋_GB2312"/>
              </w:rPr>
              <w:t>日</w:t>
            </w:r>
          </w:p>
        </w:tc>
        <w:tc>
          <w:tcPr>
            <w:tcW w:w="702" w:type="dxa"/>
            <w:tcBorders>
              <w:top w:val="nil"/>
              <w:left w:val="nil"/>
              <w:bottom w:val="single" w:color="auto" w:sz="4" w:space="0"/>
              <w:right w:val="single" w:color="auto" w:sz="4" w:space="0"/>
            </w:tcBorders>
            <w:noWrap/>
            <w:vAlign w:val="center"/>
          </w:tcPr>
          <w:p>
            <w:pPr>
              <w:jc w:val="center"/>
              <w:rPr>
                <w:rFonts w:ascii="仿宋_GB2312" w:eastAsia="仿宋_GB2312" w:cs="仿宋_GB2312"/>
              </w:rPr>
            </w:pPr>
            <w:r>
              <w:rPr>
                <w:rFonts w:ascii="仿宋_GB2312" w:eastAsia="仿宋_GB2312" w:cs="仿宋_GB2312"/>
              </w:rPr>
              <w:t>170</w:t>
            </w:r>
          </w:p>
        </w:tc>
        <w:tc>
          <w:tcPr>
            <w:tcW w:w="703" w:type="dxa"/>
            <w:tcBorders>
              <w:top w:val="nil"/>
              <w:left w:val="nil"/>
              <w:bottom w:val="single" w:color="auto" w:sz="4" w:space="0"/>
              <w:right w:val="single" w:color="auto" w:sz="4" w:space="0"/>
            </w:tcBorders>
            <w:noWrap/>
            <w:vAlign w:val="center"/>
          </w:tcPr>
          <w:p>
            <w:pPr>
              <w:jc w:val="center"/>
              <w:rPr>
                <w:rFonts w:ascii="仿宋_GB2312" w:eastAsia="仿宋_GB2312" w:cs="仿宋_GB2312"/>
              </w:rPr>
            </w:pPr>
            <w:r>
              <w:rPr>
                <w:rFonts w:ascii="仿宋_GB2312" w:eastAsia="仿宋_GB2312" w:cs="仿宋_GB2312"/>
              </w:rPr>
              <w:t>190</w:t>
            </w:r>
          </w:p>
        </w:tc>
        <w:tc>
          <w:tcPr>
            <w:tcW w:w="703"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eastAsia="zh-CN"/>
              </w:rPr>
            </w:pPr>
            <w:r>
              <w:rPr>
                <w:rFonts w:ascii="仿宋_GB2312" w:eastAsia="仿宋_GB2312" w:cs="仿宋_GB2312"/>
              </w:rPr>
              <w:t>11</w:t>
            </w:r>
            <w:r>
              <w:rPr>
                <w:rFonts w:hint="eastAsia" w:ascii="仿宋_GB2312" w:eastAsia="仿宋_GB2312" w:cs="仿宋_GB2312"/>
                <w:lang w:val="en-US" w:eastAsia="zh-CN"/>
              </w:rPr>
              <w:t>0</w:t>
            </w:r>
          </w:p>
        </w:tc>
        <w:tc>
          <w:tcPr>
            <w:tcW w:w="703"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ascii="仿宋_GB2312" w:eastAsia="仿宋_GB2312" w:cs="仿宋_GB2312"/>
              </w:rPr>
              <w:t>1</w:t>
            </w:r>
            <w:r>
              <w:rPr>
                <w:rFonts w:hint="eastAsia" w:ascii="仿宋_GB2312" w:eastAsia="仿宋_GB2312" w:cs="仿宋_GB2312"/>
                <w:lang w:val="en-US" w:eastAsia="zh-CN"/>
              </w:rPr>
              <w:t>15</w:t>
            </w:r>
          </w:p>
        </w:tc>
        <w:tc>
          <w:tcPr>
            <w:tcW w:w="703"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1250</w:t>
            </w:r>
          </w:p>
        </w:tc>
        <w:tc>
          <w:tcPr>
            <w:tcW w:w="705"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1300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1150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1200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7600</w:t>
            </w:r>
          </w:p>
        </w:tc>
        <w:tc>
          <w:tcPr>
            <w:tcW w:w="816"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8000</w:t>
            </w:r>
          </w:p>
        </w:tc>
      </w:tr>
      <w:tr>
        <w:tblPrEx>
          <w:tblLayout w:type="fixed"/>
          <w:tblCellMar>
            <w:top w:w="0" w:type="dxa"/>
            <w:left w:w="108" w:type="dxa"/>
            <w:bottom w:w="0" w:type="dxa"/>
            <w:right w:w="108" w:type="dxa"/>
          </w:tblCellMar>
        </w:tblPrEx>
        <w:trPr>
          <w:trHeight w:val="245" w:hRule="atLeast"/>
        </w:trPr>
        <w:tc>
          <w:tcPr>
            <w:tcW w:w="1225"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lang w:val="en-US" w:eastAsia="zh-CN"/>
              </w:rPr>
              <w:t>3</w:t>
            </w:r>
            <w:r>
              <w:rPr>
                <w:rFonts w:hint="eastAsia" w:ascii="仿宋_GB2312" w:eastAsia="仿宋_GB2312" w:cs="仿宋_GB2312"/>
              </w:rPr>
              <w:t>月</w:t>
            </w:r>
            <w:r>
              <w:rPr>
                <w:rFonts w:hint="eastAsia" w:ascii="仿宋_GB2312" w:eastAsia="仿宋_GB2312" w:cs="仿宋_GB2312"/>
                <w:lang w:val="en-US" w:eastAsia="zh-CN"/>
              </w:rPr>
              <w:t>7</w:t>
            </w:r>
            <w:r>
              <w:rPr>
                <w:rFonts w:hint="eastAsia" w:ascii="仿宋_GB2312" w:eastAsia="仿宋_GB2312" w:cs="仿宋_GB2312"/>
              </w:rPr>
              <w:t>日</w:t>
            </w:r>
          </w:p>
        </w:tc>
        <w:tc>
          <w:tcPr>
            <w:tcW w:w="702" w:type="dxa"/>
            <w:tcBorders>
              <w:top w:val="nil"/>
              <w:left w:val="nil"/>
              <w:bottom w:val="single" w:color="auto" w:sz="4" w:space="0"/>
              <w:right w:val="single" w:color="auto" w:sz="4" w:space="0"/>
            </w:tcBorders>
            <w:noWrap/>
            <w:vAlign w:val="center"/>
          </w:tcPr>
          <w:p>
            <w:pPr>
              <w:jc w:val="center"/>
              <w:rPr>
                <w:rFonts w:ascii="仿宋_GB2312" w:eastAsia="仿宋_GB2312" w:cs="仿宋_GB2312"/>
              </w:rPr>
            </w:pPr>
            <w:r>
              <w:rPr>
                <w:rFonts w:ascii="仿宋_GB2312" w:eastAsia="仿宋_GB2312" w:cs="仿宋_GB2312"/>
              </w:rPr>
              <w:t>170</w:t>
            </w:r>
          </w:p>
        </w:tc>
        <w:tc>
          <w:tcPr>
            <w:tcW w:w="703" w:type="dxa"/>
            <w:tcBorders>
              <w:top w:val="nil"/>
              <w:left w:val="nil"/>
              <w:bottom w:val="single" w:color="auto" w:sz="4" w:space="0"/>
              <w:right w:val="single" w:color="auto" w:sz="4" w:space="0"/>
            </w:tcBorders>
            <w:noWrap/>
            <w:vAlign w:val="center"/>
          </w:tcPr>
          <w:p>
            <w:pPr>
              <w:jc w:val="center"/>
              <w:rPr>
                <w:rFonts w:ascii="仿宋_GB2312" w:eastAsia="仿宋_GB2312" w:cs="仿宋_GB2312"/>
              </w:rPr>
            </w:pPr>
            <w:r>
              <w:rPr>
                <w:rFonts w:ascii="仿宋_GB2312" w:eastAsia="仿宋_GB2312" w:cs="仿宋_GB2312"/>
              </w:rPr>
              <w:t>190</w:t>
            </w:r>
          </w:p>
        </w:tc>
        <w:tc>
          <w:tcPr>
            <w:tcW w:w="703"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11</w:t>
            </w:r>
            <w:r>
              <w:rPr>
                <w:rFonts w:hint="eastAsia" w:ascii="仿宋_GB2312" w:eastAsia="仿宋_GB2312" w:cs="仿宋_GB2312"/>
                <w:lang w:val="en-US" w:eastAsia="zh-CN"/>
              </w:rPr>
              <w:t>0</w:t>
            </w:r>
          </w:p>
        </w:tc>
        <w:tc>
          <w:tcPr>
            <w:tcW w:w="703"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1</w:t>
            </w:r>
            <w:r>
              <w:rPr>
                <w:rFonts w:hint="eastAsia" w:ascii="仿宋_GB2312" w:eastAsia="仿宋_GB2312" w:cs="仿宋_GB2312"/>
                <w:lang w:val="en-US" w:eastAsia="zh-CN"/>
              </w:rPr>
              <w:t>15</w:t>
            </w:r>
          </w:p>
        </w:tc>
        <w:tc>
          <w:tcPr>
            <w:tcW w:w="703"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1250</w:t>
            </w:r>
          </w:p>
        </w:tc>
        <w:tc>
          <w:tcPr>
            <w:tcW w:w="705"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1300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1150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1200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7600</w:t>
            </w:r>
          </w:p>
        </w:tc>
        <w:tc>
          <w:tcPr>
            <w:tcW w:w="816"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8000</w:t>
            </w:r>
          </w:p>
        </w:tc>
      </w:tr>
      <w:tr>
        <w:tblPrEx>
          <w:tblLayout w:type="fixed"/>
          <w:tblCellMar>
            <w:top w:w="0" w:type="dxa"/>
            <w:left w:w="108" w:type="dxa"/>
            <w:bottom w:w="0" w:type="dxa"/>
            <w:right w:w="108" w:type="dxa"/>
          </w:tblCellMar>
        </w:tblPrEx>
        <w:trPr>
          <w:trHeight w:val="245" w:hRule="atLeast"/>
        </w:trPr>
        <w:tc>
          <w:tcPr>
            <w:tcW w:w="1225"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ascii="仿宋_GB2312" w:eastAsia="仿宋_GB2312" w:cs="仿宋_GB2312"/>
              </w:rPr>
              <w:t>3</w:t>
            </w:r>
            <w:r>
              <w:rPr>
                <w:rFonts w:hint="eastAsia" w:ascii="仿宋_GB2312" w:eastAsia="仿宋_GB2312" w:cs="仿宋_GB2312"/>
              </w:rPr>
              <w:t>月</w:t>
            </w:r>
            <w:r>
              <w:rPr>
                <w:rFonts w:hint="eastAsia" w:ascii="仿宋_GB2312" w:eastAsia="仿宋_GB2312" w:cs="仿宋_GB2312"/>
                <w:lang w:val="en-US" w:eastAsia="zh-CN"/>
              </w:rPr>
              <w:t>8</w:t>
            </w:r>
            <w:r>
              <w:rPr>
                <w:rFonts w:hint="eastAsia" w:ascii="仿宋_GB2312" w:eastAsia="仿宋_GB2312" w:cs="仿宋_GB2312"/>
              </w:rPr>
              <w:t>日</w:t>
            </w:r>
          </w:p>
        </w:tc>
        <w:tc>
          <w:tcPr>
            <w:tcW w:w="702" w:type="dxa"/>
            <w:tcBorders>
              <w:top w:val="nil"/>
              <w:left w:val="nil"/>
              <w:bottom w:val="single" w:color="auto" w:sz="4" w:space="0"/>
              <w:right w:val="single" w:color="auto" w:sz="4" w:space="0"/>
            </w:tcBorders>
            <w:noWrap/>
            <w:vAlign w:val="center"/>
          </w:tcPr>
          <w:p>
            <w:pPr>
              <w:jc w:val="center"/>
              <w:rPr>
                <w:rFonts w:ascii="仿宋_GB2312" w:eastAsia="仿宋_GB2312" w:cs="仿宋_GB2312"/>
              </w:rPr>
            </w:pPr>
            <w:r>
              <w:rPr>
                <w:rFonts w:ascii="仿宋_GB2312" w:eastAsia="仿宋_GB2312" w:cs="仿宋_GB2312"/>
              </w:rPr>
              <w:t>170</w:t>
            </w:r>
          </w:p>
        </w:tc>
        <w:tc>
          <w:tcPr>
            <w:tcW w:w="703" w:type="dxa"/>
            <w:tcBorders>
              <w:top w:val="nil"/>
              <w:left w:val="nil"/>
              <w:bottom w:val="single" w:color="auto" w:sz="4" w:space="0"/>
              <w:right w:val="single" w:color="auto" w:sz="4" w:space="0"/>
            </w:tcBorders>
            <w:noWrap/>
            <w:vAlign w:val="center"/>
          </w:tcPr>
          <w:p>
            <w:pPr>
              <w:jc w:val="center"/>
              <w:rPr>
                <w:rFonts w:ascii="仿宋_GB2312" w:eastAsia="仿宋_GB2312" w:cs="仿宋_GB2312"/>
              </w:rPr>
            </w:pPr>
            <w:r>
              <w:rPr>
                <w:rFonts w:ascii="仿宋_GB2312" w:eastAsia="仿宋_GB2312" w:cs="仿宋_GB2312"/>
              </w:rPr>
              <w:t>190</w:t>
            </w:r>
          </w:p>
        </w:tc>
        <w:tc>
          <w:tcPr>
            <w:tcW w:w="703"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11</w:t>
            </w:r>
            <w:r>
              <w:rPr>
                <w:rFonts w:hint="eastAsia" w:ascii="仿宋_GB2312" w:eastAsia="仿宋_GB2312" w:cs="仿宋_GB2312"/>
                <w:lang w:val="en-US" w:eastAsia="zh-CN"/>
              </w:rPr>
              <w:t>0</w:t>
            </w:r>
          </w:p>
        </w:tc>
        <w:tc>
          <w:tcPr>
            <w:tcW w:w="703"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1</w:t>
            </w:r>
            <w:r>
              <w:rPr>
                <w:rFonts w:hint="eastAsia" w:ascii="仿宋_GB2312" w:eastAsia="仿宋_GB2312" w:cs="仿宋_GB2312"/>
                <w:lang w:val="en-US" w:eastAsia="zh-CN"/>
              </w:rPr>
              <w:t>15</w:t>
            </w:r>
          </w:p>
        </w:tc>
        <w:tc>
          <w:tcPr>
            <w:tcW w:w="703"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1250</w:t>
            </w:r>
          </w:p>
        </w:tc>
        <w:tc>
          <w:tcPr>
            <w:tcW w:w="705"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1300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1150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1200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7600</w:t>
            </w:r>
          </w:p>
        </w:tc>
        <w:tc>
          <w:tcPr>
            <w:tcW w:w="816"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8000</w:t>
            </w:r>
          </w:p>
        </w:tc>
      </w:tr>
      <w:tr>
        <w:tblPrEx>
          <w:tblLayout w:type="fixed"/>
        </w:tblPrEx>
        <w:trPr>
          <w:trHeight w:val="225" w:hRule="atLeast"/>
        </w:trPr>
        <w:tc>
          <w:tcPr>
            <w:tcW w:w="1225" w:type="dxa"/>
            <w:tcBorders>
              <w:top w:val="nil"/>
              <w:left w:val="single" w:color="auto" w:sz="4" w:space="0"/>
              <w:bottom w:val="single" w:color="auto" w:sz="4" w:space="0"/>
              <w:right w:val="single" w:color="auto" w:sz="4" w:space="0"/>
            </w:tcBorders>
            <w:noWrap/>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单位</w:t>
            </w:r>
          </w:p>
        </w:tc>
        <w:tc>
          <w:tcPr>
            <w:tcW w:w="7495" w:type="dxa"/>
            <w:gridSpan w:val="10"/>
            <w:tcBorders>
              <w:top w:val="single" w:color="auto" w:sz="4" w:space="0"/>
              <w:left w:val="nil"/>
              <w:bottom w:val="single" w:color="auto" w:sz="4" w:space="0"/>
              <w:right w:val="single" w:color="auto" w:sz="4" w:space="0"/>
            </w:tcBorders>
            <w:noWrap/>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元</w:t>
            </w:r>
            <w:r>
              <w:rPr>
                <w:rFonts w:ascii="仿宋_GB2312" w:hAnsi="宋体" w:eastAsia="仿宋_GB2312" w:cs="仿宋_GB2312"/>
                <w:kern w:val="0"/>
              </w:rPr>
              <w:t>/</w:t>
            </w:r>
            <w:r>
              <w:rPr>
                <w:rFonts w:hint="eastAsia" w:ascii="仿宋_GB2312" w:hAnsi="宋体" w:eastAsia="仿宋_GB2312" w:cs="仿宋_GB2312"/>
                <w:kern w:val="0"/>
              </w:rPr>
              <w:t>公斤</w:t>
            </w:r>
          </w:p>
        </w:tc>
      </w:tr>
      <w:tr>
        <w:tblPrEx>
          <w:tblLayout w:type="fixed"/>
          <w:tblCellMar>
            <w:top w:w="0" w:type="dxa"/>
            <w:left w:w="108" w:type="dxa"/>
            <w:bottom w:w="0" w:type="dxa"/>
            <w:right w:w="108" w:type="dxa"/>
          </w:tblCellMar>
        </w:tblPrEx>
        <w:trPr>
          <w:trHeight w:val="225" w:hRule="atLeast"/>
        </w:trPr>
        <w:tc>
          <w:tcPr>
            <w:tcW w:w="1225" w:type="dxa"/>
            <w:tcBorders>
              <w:top w:val="nil"/>
              <w:left w:val="single" w:color="auto" w:sz="4" w:space="0"/>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日期</w:t>
            </w:r>
          </w:p>
        </w:tc>
        <w:tc>
          <w:tcPr>
            <w:tcW w:w="1405"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二氧化锗</w:t>
            </w:r>
          </w:p>
        </w:tc>
        <w:tc>
          <w:tcPr>
            <w:tcW w:w="1406"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镓锭</w:t>
            </w:r>
          </w:p>
        </w:tc>
        <w:tc>
          <w:tcPr>
            <w:tcW w:w="1408"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碲锭</w:t>
            </w:r>
          </w:p>
        </w:tc>
        <w:tc>
          <w:tcPr>
            <w:tcW w:w="1640"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铋锭</w:t>
            </w:r>
          </w:p>
        </w:tc>
        <w:tc>
          <w:tcPr>
            <w:tcW w:w="1636"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镉锭</w:t>
            </w:r>
          </w:p>
        </w:tc>
      </w:tr>
      <w:tr>
        <w:tblPrEx>
          <w:tblLayout w:type="fixed"/>
          <w:tblCellMar>
            <w:top w:w="0" w:type="dxa"/>
            <w:left w:w="108" w:type="dxa"/>
            <w:bottom w:w="0" w:type="dxa"/>
            <w:right w:w="108" w:type="dxa"/>
          </w:tblCellMar>
        </w:tblPrEx>
        <w:trPr>
          <w:trHeight w:val="225" w:hRule="atLeast"/>
        </w:trPr>
        <w:tc>
          <w:tcPr>
            <w:tcW w:w="1225"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lang w:val="en-US" w:eastAsia="zh-CN"/>
              </w:rPr>
              <w:t>3</w:t>
            </w:r>
            <w:r>
              <w:rPr>
                <w:rFonts w:hint="eastAsia" w:ascii="仿宋_GB2312" w:eastAsia="仿宋_GB2312" w:cs="仿宋_GB2312"/>
              </w:rPr>
              <w:t>月</w:t>
            </w:r>
            <w:r>
              <w:rPr>
                <w:rFonts w:hint="eastAsia" w:ascii="仿宋_GB2312" w:eastAsia="仿宋_GB2312" w:cs="仿宋_GB2312"/>
                <w:lang w:val="en-US" w:eastAsia="zh-CN"/>
              </w:rPr>
              <w:t>6</w:t>
            </w:r>
            <w:r>
              <w:rPr>
                <w:rFonts w:hint="eastAsia" w:ascii="仿宋_GB2312" w:eastAsia="仿宋_GB2312" w:cs="仿宋_GB2312"/>
              </w:rPr>
              <w:t>日</w:t>
            </w:r>
          </w:p>
        </w:tc>
        <w:tc>
          <w:tcPr>
            <w:tcW w:w="702"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4800</w:t>
            </w:r>
          </w:p>
        </w:tc>
        <w:tc>
          <w:tcPr>
            <w:tcW w:w="703"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5200</w:t>
            </w:r>
          </w:p>
        </w:tc>
        <w:tc>
          <w:tcPr>
            <w:tcW w:w="703"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1000</w:t>
            </w:r>
          </w:p>
        </w:tc>
        <w:tc>
          <w:tcPr>
            <w:tcW w:w="703"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1030</w:t>
            </w:r>
          </w:p>
        </w:tc>
        <w:tc>
          <w:tcPr>
            <w:tcW w:w="703" w:type="dxa"/>
            <w:tcBorders>
              <w:top w:val="nil"/>
              <w:left w:val="nil"/>
              <w:bottom w:val="single" w:color="auto" w:sz="4" w:space="0"/>
              <w:right w:val="single" w:color="auto" w:sz="4" w:space="0"/>
            </w:tcBorders>
            <w:noWrap/>
            <w:vAlign w:val="center"/>
          </w:tcPr>
          <w:p>
            <w:pPr>
              <w:jc w:val="center"/>
              <w:rPr>
                <w:rFonts w:ascii="仿宋_GB2312" w:eastAsia="仿宋_GB2312" w:cs="仿宋_GB2312"/>
              </w:rPr>
            </w:pPr>
            <w:r>
              <w:rPr>
                <w:rFonts w:ascii="仿宋_GB2312" w:eastAsia="仿宋_GB2312" w:cs="仿宋_GB2312"/>
              </w:rPr>
              <w:t>430</w:t>
            </w:r>
          </w:p>
        </w:tc>
        <w:tc>
          <w:tcPr>
            <w:tcW w:w="705" w:type="dxa"/>
            <w:tcBorders>
              <w:top w:val="nil"/>
              <w:left w:val="nil"/>
              <w:bottom w:val="single" w:color="auto" w:sz="4" w:space="0"/>
              <w:right w:val="single" w:color="auto" w:sz="4" w:space="0"/>
            </w:tcBorders>
            <w:noWrap/>
            <w:vAlign w:val="center"/>
          </w:tcPr>
          <w:p>
            <w:pPr>
              <w:jc w:val="center"/>
              <w:rPr>
                <w:rFonts w:ascii="仿宋_GB2312" w:eastAsia="仿宋_GB2312" w:cs="仿宋_GB2312"/>
              </w:rPr>
            </w:pPr>
            <w:r>
              <w:rPr>
                <w:rFonts w:ascii="仿宋_GB2312" w:eastAsia="仿宋_GB2312" w:cs="仿宋_GB2312"/>
              </w:rPr>
              <w:t>450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default" w:ascii="仿宋_GB2312" w:eastAsia="仿宋_GB2312" w:cs="仿宋_GB2312"/>
                <w:lang w:val="en-US" w:eastAsia="zh-CN"/>
              </w:rPr>
              <w:t>48500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default" w:ascii="仿宋_GB2312" w:eastAsia="仿宋_GB2312" w:cs="仿宋_GB2312"/>
                <w:lang w:val="en-US" w:eastAsia="zh-CN"/>
              </w:rPr>
              <w:t>49500</w:t>
            </w:r>
          </w:p>
        </w:tc>
        <w:tc>
          <w:tcPr>
            <w:tcW w:w="820" w:type="dxa"/>
            <w:tcBorders>
              <w:top w:val="nil"/>
              <w:left w:val="nil"/>
              <w:bottom w:val="single" w:color="auto" w:sz="4" w:space="0"/>
              <w:right w:val="single" w:color="auto" w:sz="4" w:space="0"/>
            </w:tcBorders>
            <w:noWrap/>
            <w:vAlign w:val="center"/>
          </w:tcPr>
          <w:p>
            <w:pPr>
              <w:jc w:val="center"/>
              <w:rPr>
                <w:rFonts w:ascii="仿宋_GB2312" w:eastAsia="仿宋_GB2312" w:cs="仿宋_GB2312"/>
              </w:rPr>
            </w:pPr>
            <w:r>
              <w:rPr>
                <w:rFonts w:ascii="仿宋_GB2312" w:eastAsia="仿宋_GB2312" w:cs="仿宋_GB2312"/>
              </w:rPr>
              <w:t>18000</w:t>
            </w:r>
          </w:p>
        </w:tc>
        <w:tc>
          <w:tcPr>
            <w:tcW w:w="816"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18500</w:t>
            </w:r>
          </w:p>
        </w:tc>
      </w:tr>
      <w:tr>
        <w:tblPrEx>
          <w:tblLayout w:type="fixed"/>
          <w:tblCellMar>
            <w:top w:w="0" w:type="dxa"/>
            <w:left w:w="108" w:type="dxa"/>
            <w:bottom w:w="0" w:type="dxa"/>
            <w:right w:w="108" w:type="dxa"/>
          </w:tblCellMar>
        </w:tblPrEx>
        <w:trPr>
          <w:trHeight w:val="225" w:hRule="atLeast"/>
        </w:trPr>
        <w:tc>
          <w:tcPr>
            <w:tcW w:w="1225"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lang w:val="en-US" w:eastAsia="zh-CN"/>
              </w:rPr>
              <w:t>3</w:t>
            </w:r>
            <w:r>
              <w:rPr>
                <w:rFonts w:hint="eastAsia" w:ascii="仿宋_GB2312" w:eastAsia="仿宋_GB2312" w:cs="仿宋_GB2312"/>
              </w:rPr>
              <w:t>月</w:t>
            </w:r>
            <w:r>
              <w:rPr>
                <w:rFonts w:hint="eastAsia" w:ascii="仿宋_GB2312" w:eastAsia="仿宋_GB2312" w:cs="仿宋_GB2312"/>
                <w:lang w:val="en-US" w:eastAsia="zh-CN"/>
              </w:rPr>
              <w:t>7</w:t>
            </w:r>
            <w:r>
              <w:rPr>
                <w:rFonts w:hint="eastAsia" w:ascii="仿宋_GB2312" w:eastAsia="仿宋_GB2312" w:cs="仿宋_GB2312"/>
              </w:rPr>
              <w:t>日</w:t>
            </w:r>
          </w:p>
        </w:tc>
        <w:tc>
          <w:tcPr>
            <w:tcW w:w="702"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4800</w:t>
            </w:r>
          </w:p>
        </w:tc>
        <w:tc>
          <w:tcPr>
            <w:tcW w:w="703"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5200</w:t>
            </w:r>
          </w:p>
        </w:tc>
        <w:tc>
          <w:tcPr>
            <w:tcW w:w="703"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1000</w:t>
            </w:r>
          </w:p>
        </w:tc>
        <w:tc>
          <w:tcPr>
            <w:tcW w:w="703"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1030</w:t>
            </w:r>
          </w:p>
        </w:tc>
        <w:tc>
          <w:tcPr>
            <w:tcW w:w="703" w:type="dxa"/>
            <w:tcBorders>
              <w:top w:val="nil"/>
              <w:left w:val="nil"/>
              <w:bottom w:val="single" w:color="auto" w:sz="4" w:space="0"/>
              <w:right w:val="single" w:color="auto" w:sz="4" w:space="0"/>
            </w:tcBorders>
            <w:noWrap/>
            <w:vAlign w:val="center"/>
          </w:tcPr>
          <w:p>
            <w:pPr>
              <w:jc w:val="center"/>
              <w:rPr>
                <w:rFonts w:ascii="仿宋_GB2312" w:eastAsia="仿宋_GB2312" w:cs="仿宋_GB2312"/>
              </w:rPr>
            </w:pPr>
            <w:r>
              <w:rPr>
                <w:rFonts w:ascii="仿宋_GB2312" w:eastAsia="仿宋_GB2312" w:cs="仿宋_GB2312"/>
              </w:rPr>
              <w:t>430</w:t>
            </w:r>
          </w:p>
        </w:tc>
        <w:tc>
          <w:tcPr>
            <w:tcW w:w="705" w:type="dxa"/>
            <w:tcBorders>
              <w:top w:val="nil"/>
              <w:left w:val="nil"/>
              <w:bottom w:val="single" w:color="auto" w:sz="4" w:space="0"/>
              <w:right w:val="single" w:color="auto" w:sz="4" w:space="0"/>
            </w:tcBorders>
            <w:noWrap/>
            <w:vAlign w:val="center"/>
          </w:tcPr>
          <w:p>
            <w:pPr>
              <w:jc w:val="center"/>
              <w:rPr>
                <w:rFonts w:ascii="仿宋_GB2312" w:eastAsia="仿宋_GB2312" w:cs="仿宋_GB2312"/>
              </w:rPr>
            </w:pPr>
            <w:r>
              <w:rPr>
                <w:rFonts w:ascii="仿宋_GB2312" w:eastAsia="仿宋_GB2312" w:cs="仿宋_GB2312"/>
              </w:rPr>
              <w:t>450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default" w:ascii="仿宋_GB2312" w:eastAsia="仿宋_GB2312" w:cs="仿宋_GB2312"/>
                <w:lang w:val="en-US" w:eastAsia="zh-CN"/>
              </w:rPr>
              <w:t>48000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default" w:ascii="仿宋_GB2312" w:eastAsia="仿宋_GB2312" w:cs="仿宋_GB2312"/>
                <w:lang w:val="en-US" w:eastAsia="zh-CN"/>
              </w:rPr>
              <w:t>49000</w:t>
            </w:r>
          </w:p>
        </w:tc>
        <w:tc>
          <w:tcPr>
            <w:tcW w:w="820" w:type="dxa"/>
            <w:tcBorders>
              <w:top w:val="nil"/>
              <w:left w:val="nil"/>
              <w:bottom w:val="single" w:color="auto" w:sz="4" w:space="0"/>
              <w:right w:val="single" w:color="auto" w:sz="4" w:space="0"/>
            </w:tcBorders>
            <w:noWrap/>
            <w:vAlign w:val="center"/>
          </w:tcPr>
          <w:p>
            <w:pPr>
              <w:jc w:val="center"/>
              <w:rPr>
                <w:rFonts w:ascii="仿宋_GB2312" w:eastAsia="仿宋_GB2312" w:cs="仿宋_GB2312"/>
              </w:rPr>
            </w:pPr>
            <w:r>
              <w:rPr>
                <w:rFonts w:ascii="仿宋_GB2312" w:eastAsia="仿宋_GB2312" w:cs="仿宋_GB2312"/>
              </w:rPr>
              <w:t>18000</w:t>
            </w:r>
          </w:p>
        </w:tc>
        <w:tc>
          <w:tcPr>
            <w:tcW w:w="816"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18500</w:t>
            </w:r>
          </w:p>
        </w:tc>
      </w:tr>
      <w:tr>
        <w:tblPrEx>
          <w:tblLayout w:type="fixed"/>
          <w:tblCellMar>
            <w:top w:w="0" w:type="dxa"/>
            <w:left w:w="108" w:type="dxa"/>
            <w:bottom w:w="0" w:type="dxa"/>
            <w:right w:w="108" w:type="dxa"/>
          </w:tblCellMar>
        </w:tblPrEx>
        <w:trPr>
          <w:trHeight w:val="225" w:hRule="atLeast"/>
        </w:trPr>
        <w:tc>
          <w:tcPr>
            <w:tcW w:w="1225"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ascii="仿宋_GB2312" w:eastAsia="仿宋_GB2312" w:cs="仿宋_GB2312"/>
              </w:rPr>
              <w:t>3</w:t>
            </w:r>
            <w:r>
              <w:rPr>
                <w:rFonts w:hint="eastAsia" w:ascii="仿宋_GB2312" w:eastAsia="仿宋_GB2312" w:cs="仿宋_GB2312"/>
              </w:rPr>
              <w:t>月</w:t>
            </w:r>
            <w:r>
              <w:rPr>
                <w:rFonts w:hint="eastAsia" w:ascii="仿宋_GB2312" w:eastAsia="仿宋_GB2312" w:cs="仿宋_GB2312"/>
                <w:lang w:val="en-US" w:eastAsia="zh-CN"/>
              </w:rPr>
              <w:t>8</w:t>
            </w:r>
            <w:r>
              <w:rPr>
                <w:rFonts w:hint="eastAsia" w:ascii="仿宋_GB2312" w:eastAsia="仿宋_GB2312" w:cs="仿宋_GB2312"/>
              </w:rPr>
              <w:t>日</w:t>
            </w:r>
          </w:p>
        </w:tc>
        <w:tc>
          <w:tcPr>
            <w:tcW w:w="702"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4800</w:t>
            </w:r>
          </w:p>
        </w:tc>
        <w:tc>
          <w:tcPr>
            <w:tcW w:w="703"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5200</w:t>
            </w:r>
          </w:p>
        </w:tc>
        <w:tc>
          <w:tcPr>
            <w:tcW w:w="703"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1000</w:t>
            </w:r>
          </w:p>
        </w:tc>
        <w:tc>
          <w:tcPr>
            <w:tcW w:w="703"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1030</w:t>
            </w:r>
          </w:p>
        </w:tc>
        <w:tc>
          <w:tcPr>
            <w:tcW w:w="703" w:type="dxa"/>
            <w:tcBorders>
              <w:top w:val="nil"/>
              <w:left w:val="nil"/>
              <w:bottom w:val="single" w:color="auto" w:sz="4" w:space="0"/>
              <w:right w:val="single" w:color="auto" w:sz="4" w:space="0"/>
            </w:tcBorders>
            <w:noWrap/>
            <w:vAlign w:val="center"/>
          </w:tcPr>
          <w:p>
            <w:pPr>
              <w:jc w:val="center"/>
              <w:rPr>
                <w:rFonts w:ascii="仿宋_GB2312" w:eastAsia="仿宋_GB2312" w:cs="仿宋_GB2312"/>
              </w:rPr>
            </w:pPr>
            <w:r>
              <w:rPr>
                <w:rFonts w:ascii="仿宋_GB2312" w:eastAsia="仿宋_GB2312" w:cs="仿宋_GB2312"/>
              </w:rPr>
              <w:t>430</w:t>
            </w:r>
          </w:p>
        </w:tc>
        <w:tc>
          <w:tcPr>
            <w:tcW w:w="705" w:type="dxa"/>
            <w:tcBorders>
              <w:top w:val="nil"/>
              <w:left w:val="nil"/>
              <w:bottom w:val="single" w:color="auto" w:sz="4" w:space="0"/>
              <w:right w:val="single" w:color="auto" w:sz="4" w:space="0"/>
            </w:tcBorders>
            <w:noWrap/>
            <w:vAlign w:val="center"/>
          </w:tcPr>
          <w:p>
            <w:pPr>
              <w:jc w:val="center"/>
              <w:rPr>
                <w:rFonts w:ascii="仿宋_GB2312" w:eastAsia="仿宋_GB2312" w:cs="仿宋_GB2312"/>
              </w:rPr>
            </w:pPr>
            <w:r>
              <w:rPr>
                <w:rFonts w:ascii="仿宋_GB2312" w:eastAsia="仿宋_GB2312" w:cs="仿宋_GB2312"/>
              </w:rPr>
              <w:t>450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default" w:ascii="仿宋_GB2312" w:eastAsia="仿宋_GB2312" w:cs="仿宋_GB2312"/>
                <w:lang w:val="en-US" w:eastAsia="zh-CN"/>
              </w:rPr>
              <w:t>48000</w:t>
            </w:r>
          </w:p>
        </w:tc>
        <w:tc>
          <w:tcPr>
            <w:tcW w:w="820"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hint="default" w:ascii="仿宋_GB2312" w:eastAsia="仿宋_GB2312" w:cs="仿宋_GB2312"/>
                <w:lang w:val="en-US" w:eastAsia="zh-CN"/>
              </w:rPr>
              <w:t>49000</w:t>
            </w:r>
          </w:p>
        </w:tc>
        <w:tc>
          <w:tcPr>
            <w:tcW w:w="820" w:type="dxa"/>
            <w:tcBorders>
              <w:top w:val="nil"/>
              <w:left w:val="nil"/>
              <w:bottom w:val="single" w:color="auto" w:sz="4" w:space="0"/>
              <w:right w:val="single" w:color="auto" w:sz="4" w:space="0"/>
            </w:tcBorders>
            <w:noWrap/>
            <w:vAlign w:val="center"/>
          </w:tcPr>
          <w:p>
            <w:pPr>
              <w:jc w:val="center"/>
              <w:rPr>
                <w:rFonts w:ascii="仿宋_GB2312" w:eastAsia="仿宋_GB2312" w:cs="仿宋_GB2312"/>
              </w:rPr>
            </w:pPr>
            <w:r>
              <w:rPr>
                <w:rFonts w:ascii="仿宋_GB2312" w:eastAsia="仿宋_GB2312" w:cs="仿宋_GB2312"/>
              </w:rPr>
              <w:t>18000</w:t>
            </w:r>
          </w:p>
        </w:tc>
        <w:tc>
          <w:tcPr>
            <w:tcW w:w="816" w:type="dxa"/>
            <w:tcBorders>
              <w:top w:val="nil"/>
              <w:left w:val="nil"/>
              <w:bottom w:val="single" w:color="auto" w:sz="4" w:space="0"/>
              <w:right w:val="single" w:color="auto" w:sz="4" w:space="0"/>
            </w:tcBorders>
            <w:vAlign w:val="center"/>
          </w:tcPr>
          <w:p>
            <w:pPr>
              <w:jc w:val="center"/>
              <w:rPr>
                <w:rFonts w:ascii="仿宋_GB2312" w:eastAsia="仿宋_GB2312" w:cs="仿宋_GB2312"/>
              </w:rPr>
            </w:pPr>
            <w:r>
              <w:rPr>
                <w:rFonts w:ascii="仿宋_GB2312" w:eastAsia="仿宋_GB2312" w:cs="仿宋_GB2312"/>
              </w:rPr>
              <w:t>18500</w:t>
            </w:r>
          </w:p>
        </w:tc>
      </w:tr>
      <w:tr>
        <w:tblPrEx>
          <w:tblLayout w:type="fixed"/>
          <w:tblCellMar>
            <w:top w:w="0" w:type="dxa"/>
            <w:left w:w="108" w:type="dxa"/>
            <w:bottom w:w="0" w:type="dxa"/>
            <w:right w:w="108" w:type="dxa"/>
          </w:tblCellMar>
        </w:tblPrEx>
        <w:trPr>
          <w:trHeight w:val="225" w:hRule="atLeast"/>
        </w:trPr>
        <w:tc>
          <w:tcPr>
            <w:tcW w:w="1225" w:type="dxa"/>
            <w:tcBorders>
              <w:top w:val="nil"/>
              <w:left w:val="single" w:color="auto" w:sz="4" w:space="0"/>
              <w:bottom w:val="single" w:color="auto" w:sz="4" w:space="0"/>
              <w:right w:val="single" w:color="auto" w:sz="4" w:space="0"/>
            </w:tcBorders>
            <w:noWrap/>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单位</w:t>
            </w:r>
          </w:p>
        </w:tc>
        <w:tc>
          <w:tcPr>
            <w:tcW w:w="4219" w:type="dxa"/>
            <w:gridSpan w:val="6"/>
            <w:tcBorders>
              <w:top w:val="single" w:color="auto" w:sz="4" w:space="0"/>
              <w:left w:val="nil"/>
              <w:bottom w:val="single" w:color="auto" w:sz="4" w:space="0"/>
              <w:right w:val="single" w:color="auto" w:sz="4" w:space="0"/>
            </w:tcBorders>
            <w:noWrap/>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元</w:t>
            </w:r>
            <w:r>
              <w:rPr>
                <w:rFonts w:ascii="仿宋_GB2312" w:hAnsi="宋体" w:eastAsia="仿宋_GB2312" w:cs="仿宋_GB2312"/>
                <w:kern w:val="0"/>
              </w:rPr>
              <w:t>/</w:t>
            </w:r>
            <w:r>
              <w:rPr>
                <w:rFonts w:hint="eastAsia" w:ascii="仿宋_GB2312" w:hAnsi="宋体" w:eastAsia="仿宋_GB2312" w:cs="仿宋_GB2312"/>
                <w:kern w:val="0"/>
              </w:rPr>
              <w:t>公斤</w:t>
            </w:r>
          </w:p>
        </w:tc>
        <w:tc>
          <w:tcPr>
            <w:tcW w:w="3276" w:type="dxa"/>
            <w:gridSpan w:val="4"/>
            <w:tcBorders>
              <w:top w:val="single" w:color="auto" w:sz="4" w:space="0"/>
              <w:left w:val="nil"/>
              <w:bottom w:val="single" w:color="auto" w:sz="4" w:space="0"/>
              <w:right w:val="single" w:color="auto" w:sz="4" w:space="0"/>
            </w:tcBorders>
            <w:noWrap/>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元</w:t>
            </w:r>
            <w:r>
              <w:rPr>
                <w:rFonts w:ascii="仿宋_GB2312" w:hAnsi="宋体" w:eastAsia="仿宋_GB2312" w:cs="仿宋_GB2312"/>
                <w:kern w:val="0"/>
              </w:rPr>
              <w:t>/</w:t>
            </w:r>
            <w:r>
              <w:rPr>
                <w:rFonts w:hint="eastAsia" w:ascii="仿宋_GB2312" w:hAnsi="宋体" w:eastAsia="仿宋_GB2312" w:cs="仿宋_GB2312"/>
                <w:kern w:val="0"/>
              </w:rPr>
              <w:t>吨</w:t>
            </w:r>
          </w:p>
        </w:tc>
      </w:tr>
    </w:tbl>
    <w:p>
      <w:pPr>
        <w:pStyle w:val="2"/>
        <w:numPr>
          <w:ilvl w:val="0"/>
          <w:numId w:val="1"/>
        </w:numPr>
        <w:spacing w:line="400" w:lineRule="exact"/>
      </w:pPr>
      <w:bookmarkStart w:id="10" w:name="_Toc3733"/>
      <w:r>
        <w:rPr>
          <w:rFonts w:hint="eastAsia" w:cs="黑体"/>
          <w:kern w:val="0"/>
        </w:rPr>
        <w:t>一周市场动态回</w:t>
      </w:r>
      <w:r>
        <w:rPr>
          <w:rFonts w:hint="eastAsia" w:cs="黑体"/>
          <w:kern w:val="0"/>
          <w:lang w:eastAsia="zh-CN"/>
        </w:rPr>
        <w:t>顾</w:t>
      </w:r>
      <w:bookmarkEnd w:id="10"/>
    </w:p>
    <w:p>
      <w:pPr>
        <w:widowControl/>
        <w:jc w:val="left"/>
        <w:outlineLvl w:val="1"/>
        <w:rPr>
          <w:rFonts w:hint="eastAsia" w:ascii="宋体" w:hAnsi="宋体" w:cs="宋体"/>
          <w:b/>
          <w:bCs/>
          <w:kern w:val="0"/>
          <w:sz w:val="30"/>
          <w:szCs w:val="30"/>
        </w:rPr>
      </w:pPr>
      <w:bookmarkStart w:id="11" w:name="_Toc31732"/>
      <w:r>
        <w:rPr>
          <w:rFonts w:hint="eastAsia" w:ascii="宋体" w:hAnsi="宋体" w:cs="宋体"/>
          <w:b/>
          <w:bCs/>
          <w:kern w:val="0"/>
          <w:sz w:val="30"/>
          <w:szCs w:val="30"/>
        </w:rPr>
        <w:t>蒙古哈马戈泰钻探发现新的斑铜矿体</w:t>
      </w:r>
      <w:bookmarkEnd w:id="11"/>
    </w:p>
    <w:p>
      <w:pPr>
        <w:keepNext w:val="0"/>
        <w:keepLines w:val="0"/>
        <w:pageBreakBefore w:val="0"/>
        <w:widowControl/>
        <w:kinsoku/>
        <w:wordWrap w:val="0"/>
        <w:overflowPunct/>
        <w:topLinePunct w:val="0"/>
        <w:autoSpaceDE/>
        <w:autoSpaceDN/>
        <w:bidi w:val="0"/>
        <w:adjustRightInd/>
        <w:snapToGrid/>
        <w:spacing w:after="90" w:line="288" w:lineRule="auto"/>
        <w:ind w:firstLine="560" w:firstLineChars="200"/>
        <w:jc w:val="left"/>
        <w:textAlignment w:val="auto"/>
        <w:rPr>
          <w:rFonts w:hint="eastAsia" w:ascii="仿宋_GB2312" w:eastAsia="仿宋_GB2312" w:cs="仿宋_GB2312"/>
          <w:sz w:val="28"/>
          <w:szCs w:val="28"/>
        </w:rPr>
      </w:pPr>
      <w:r>
        <w:rPr>
          <w:rFonts w:hint="eastAsia" w:ascii="仿宋_GB2312" w:eastAsia="仿宋_GB2312" w:cs="仿宋_GB2312"/>
          <w:sz w:val="28"/>
          <w:szCs w:val="28"/>
        </w:rPr>
        <w:t>据报道，萨纳杜矿业公司(Xanadu Mines)在蒙古的哈马戈泰(Kharmagtai)项目3月初钻探发现的铜金矿化使得公司相信其规模和品位有可能进一步上升。</w:t>
      </w:r>
    </w:p>
    <w:p>
      <w:pPr>
        <w:widowControl/>
        <w:wordWrap w:val="0"/>
        <w:spacing w:after="90" w:line="288" w:lineRule="auto"/>
        <w:ind w:firstLine="480"/>
        <w:jc w:val="left"/>
        <w:rPr>
          <w:rFonts w:hint="eastAsia" w:ascii="仿宋_GB2312" w:eastAsia="仿宋_GB2312" w:cs="仿宋_GB2312"/>
          <w:sz w:val="28"/>
          <w:szCs w:val="28"/>
        </w:rPr>
      </w:pPr>
      <w:r>
        <w:rPr>
          <w:rFonts w:hint="default" w:ascii="仿宋_GB2312" w:eastAsia="仿宋_GB2312" w:cs="仿宋_GB2312"/>
          <w:sz w:val="28"/>
          <w:szCs w:val="28"/>
        </w:rPr>
        <w:t>两周前，经钻探发现在448米深处斑铜矿体厚352米，铜品位0.41%，金品位0.58克/吨，其中在572米深处见到102米厚、铜品位1%、金品位1.67克/吨的富矿化。</w:t>
      </w:r>
    </w:p>
    <w:p>
      <w:pPr>
        <w:widowControl/>
        <w:wordWrap w:val="0"/>
        <w:spacing w:after="90" w:line="288" w:lineRule="auto"/>
        <w:ind w:firstLine="480"/>
        <w:jc w:val="left"/>
        <w:rPr>
          <w:rFonts w:hint="eastAsia" w:ascii="仿宋_GB2312" w:eastAsia="仿宋_GB2312" w:cs="仿宋_GB2312"/>
          <w:sz w:val="28"/>
          <w:szCs w:val="28"/>
        </w:rPr>
      </w:pPr>
      <w:r>
        <w:rPr>
          <w:rFonts w:hint="default" w:ascii="仿宋_GB2312" w:eastAsia="仿宋_GB2312" w:cs="仿宋_GB2312"/>
          <w:sz w:val="28"/>
          <w:szCs w:val="28"/>
        </w:rPr>
        <w:t>目前，矿体真厚度还不清楚，需要进一步钻探和采样分析验证。</w:t>
      </w:r>
    </w:p>
    <w:p>
      <w:pPr>
        <w:widowControl/>
        <w:wordWrap w:val="0"/>
        <w:spacing w:after="90" w:line="288" w:lineRule="auto"/>
        <w:ind w:firstLine="480"/>
        <w:jc w:val="left"/>
        <w:rPr>
          <w:rFonts w:hint="eastAsia" w:ascii="仿宋_GB2312" w:eastAsia="仿宋_GB2312" w:cs="仿宋_GB2312"/>
          <w:sz w:val="28"/>
          <w:szCs w:val="28"/>
        </w:rPr>
      </w:pPr>
      <w:r>
        <w:rPr>
          <w:rFonts w:hint="default" w:ascii="仿宋_GB2312" w:eastAsia="仿宋_GB2312" w:cs="仿宋_GB2312"/>
          <w:sz w:val="28"/>
          <w:szCs w:val="28"/>
        </w:rPr>
        <w:t>本次钻探的目标是目前网山(Stockwork Hill)露天矿坑以外的靶区，分析认为矿体至少向外延伸200米。</w:t>
      </w:r>
    </w:p>
    <w:p>
      <w:pPr>
        <w:widowControl/>
        <w:wordWrap w:val="0"/>
        <w:spacing w:after="90" w:line="288" w:lineRule="auto"/>
        <w:ind w:firstLine="480"/>
        <w:jc w:val="left"/>
        <w:rPr>
          <w:rFonts w:hint="default" w:ascii="仿宋_GB2312" w:eastAsia="仿宋_GB2312" w:cs="仿宋_GB2312"/>
          <w:sz w:val="28"/>
          <w:szCs w:val="28"/>
        </w:rPr>
      </w:pPr>
      <w:r>
        <w:rPr>
          <w:rFonts w:hint="default" w:ascii="仿宋_GB2312" w:eastAsia="仿宋_GB2312" w:cs="仿宋_GB2312"/>
          <w:sz w:val="28"/>
          <w:szCs w:val="28"/>
        </w:rPr>
        <w:t>萨纳杜公司表示，一季度将完成概略研究工作，目前露天开采范围的矿石储量达到5400万吨，铜当量品位0.86%。</w:t>
      </w:r>
    </w:p>
    <w:p>
      <w:pPr>
        <w:widowControl/>
        <w:wordWrap w:val="0"/>
        <w:spacing w:after="90" w:line="288" w:lineRule="auto"/>
        <w:ind w:firstLine="480"/>
        <w:jc w:val="left"/>
        <w:rPr>
          <w:rFonts w:hint="default" w:ascii="仿宋_GB2312" w:eastAsia="仿宋_GB2312" w:cs="仿宋_GB2312"/>
          <w:sz w:val="28"/>
          <w:szCs w:val="28"/>
        </w:rPr>
      </w:pPr>
    </w:p>
    <w:p>
      <w:pPr>
        <w:widowControl/>
        <w:jc w:val="left"/>
        <w:outlineLvl w:val="1"/>
        <w:rPr>
          <w:rFonts w:hint="eastAsia" w:ascii="宋体" w:hAnsi="宋体" w:cs="宋体"/>
          <w:b/>
          <w:bCs/>
          <w:kern w:val="0"/>
          <w:sz w:val="30"/>
          <w:szCs w:val="30"/>
        </w:rPr>
      </w:pPr>
      <w:bookmarkStart w:id="12" w:name="_Toc23666"/>
      <w:r>
        <w:rPr>
          <w:rFonts w:hint="eastAsia" w:ascii="宋体" w:hAnsi="宋体" w:cs="宋体"/>
          <w:b/>
          <w:bCs/>
          <w:kern w:val="0"/>
          <w:sz w:val="30"/>
          <w:szCs w:val="30"/>
        </w:rPr>
        <w:t>江西铜业拟29.76亿控股恒邦股份</w:t>
      </w:r>
      <w:bookmarkEnd w:id="12"/>
    </w:p>
    <w:p>
      <w:pPr>
        <w:widowControl/>
        <w:wordWrap w:val="0"/>
        <w:spacing w:after="90" w:line="288" w:lineRule="auto"/>
        <w:ind w:firstLine="480"/>
        <w:jc w:val="left"/>
        <w:rPr>
          <w:rFonts w:ascii="仿宋_GB2312" w:eastAsia="仿宋_GB2312" w:cs="仿宋_GB2312"/>
          <w:sz w:val="28"/>
          <w:szCs w:val="28"/>
        </w:rPr>
      </w:pPr>
      <w:r>
        <w:rPr>
          <w:rFonts w:ascii="仿宋_GB2312" w:eastAsia="仿宋_GB2312" w:cs="仿宋_GB2312"/>
          <w:sz w:val="28"/>
          <w:szCs w:val="28"/>
        </w:rPr>
        <w:t>江西铜业今日公告，公司拟以29.76亿元控股黄金冶炼板块公司恒邦股份，并将在取得恒邦股份控制权后，将其作为控股股东江西铜业集团有限公司(以下简称“江铜集团”)未来黄金板块的发展平台。</w:t>
      </w:r>
    </w:p>
    <w:p>
      <w:pPr>
        <w:widowControl/>
        <w:wordWrap w:val="0"/>
        <w:spacing w:after="90" w:line="288" w:lineRule="auto"/>
        <w:ind w:firstLine="480"/>
        <w:jc w:val="left"/>
        <w:rPr>
          <w:rFonts w:ascii="仿宋_GB2312" w:eastAsia="仿宋_GB2312" w:cs="仿宋_GB2312"/>
          <w:sz w:val="28"/>
          <w:szCs w:val="28"/>
        </w:rPr>
      </w:pPr>
      <w:r>
        <w:rPr>
          <w:rFonts w:hint="default" w:ascii="仿宋_GB2312" w:eastAsia="仿宋_GB2312" w:cs="仿宋_GB2312"/>
          <w:sz w:val="28"/>
          <w:szCs w:val="28"/>
        </w:rPr>
        <w:t>公告显示，公司拟通过协议转让方式收购烟台恒邦集团有限公司(简称“恒邦集团”)、王信恩、王家好、张吉学和高正林合计持有的恒邦股份2.73亿股人民币普通股股份，约占标的公司总股本的29.99% ，转让价格为29.76亿元。本次交易完成后，江西铜业将持有恒邦股份2.73亿股股份，占恒邦股份总股本的29.99% ，成为恒邦股份的控股股东。</w:t>
      </w:r>
    </w:p>
    <w:p>
      <w:pPr>
        <w:widowControl/>
        <w:wordWrap w:val="0"/>
        <w:spacing w:after="90" w:line="288" w:lineRule="auto"/>
        <w:ind w:firstLine="480"/>
        <w:jc w:val="left"/>
        <w:rPr>
          <w:rFonts w:ascii="仿宋_GB2312" w:eastAsia="仿宋_GB2312" w:cs="仿宋_GB2312"/>
          <w:sz w:val="28"/>
          <w:szCs w:val="28"/>
        </w:rPr>
      </w:pPr>
      <w:r>
        <w:rPr>
          <w:rFonts w:hint="default" w:ascii="仿宋_GB2312" w:eastAsia="仿宋_GB2312" w:cs="仿宋_GB2312"/>
          <w:sz w:val="28"/>
          <w:szCs w:val="28"/>
        </w:rPr>
        <w:t>江西铜业公告，江铜集团为控股型公司，业务主要通过下属公司进行。除江西铜业外，江铜集团所控制的其他企业亦存在从事有色金属冶炼及压延加工行业的情况。江西铜业及其控股股东江铜集团与恒邦股份在铜、黄金等金属品种上具有一定业务交叉性，存在一定同业竞争。</w:t>
      </w:r>
    </w:p>
    <w:p>
      <w:pPr>
        <w:widowControl/>
        <w:wordWrap w:val="0"/>
        <w:spacing w:after="90" w:line="288" w:lineRule="auto"/>
        <w:ind w:firstLine="480"/>
        <w:jc w:val="left"/>
        <w:rPr>
          <w:rFonts w:ascii="仿宋_GB2312" w:eastAsia="仿宋_GB2312" w:cs="仿宋_GB2312"/>
          <w:sz w:val="28"/>
          <w:szCs w:val="28"/>
        </w:rPr>
      </w:pPr>
      <w:r>
        <w:rPr>
          <w:rFonts w:hint="default" w:ascii="仿宋_GB2312" w:eastAsia="仿宋_GB2312" w:cs="仿宋_GB2312"/>
          <w:sz w:val="28"/>
          <w:szCs w:val="28"/>
        </w:rPr>
        <w:t>对此，公司表示，公司取得恒邦股份控制权后，将以恒邦股份作为江铜集团未来黄金板块的发展平台，将公司及江铜集团旗下优质的黄金板块资产注入公司，规范与恒邦股份存在的同业竞争，为恒邦股份的发展提供支持。</w:t>
      </w:r>
    </w:p>
    <w:p>
      <w:pPr>
        <w:widowControl/>
        <w:wordWrap w:val="0"/>
        <w:spacing w:after="90" w:line="288" w:lineRule="auto"/>
        <w:ind w:firstLine="480"/>
        <w:jc w:val="left"/>
        <w:rPr>
          <w:rFonts w:ascii="仿宋_GB2312" w:eastAsia="仿宋_GB2312" w:cs="仿宋_GB2312"/>
          <w:sz w:val="28"/>
          <w:szCs w:val="28"/>
        </w:rPr>
      </w:pPr>
      <w:r>
        <w:rPr>
          <w:rFonts w:hint="default" w:ascii="仿宋_GB2312" w:eastAsia="仿宋_GB2312" w:cs="仿宋_GB2312"/>
          <w:sz w:val="28"/>
          <w:szCs w:val="28"/>
        </w:rPr>
        <w:t>据了解，恒邦股份主要从事黄金探采选、冶炼及化工生产，是国家重点黄金冶炼企业。恒邦股份2017年实现归属于母公司所有者的净利润3.61亿元;2018年1月至9月实现归属于母公司所有者的净利润(未经审计)2.93亿元。</w:t>
      </w:r>
    </w:p>
    <w:p>
      <w:pPr>
        <w:widowControl/>
        <w:wordWrap w:val="0"/>
        <w:spacing w:after="90" w:line="288" w:lineRule="auto"/>
        <w:ind w:firstLine="480"/>
        <w:jc w:val="left"/>
        <w:rPr>
          <w:rFonts w:hint="default" w:ascii="仿宋_GB2312" w:eastAsia="仿宋_GB2312" w:cs="仿宋_GB2312"/>
          <w:sz w:val="28"/>
          <w:szCs w:val="28"/>
        </w:rPr>
      </w:pPr>
      <w:r>
        <w:rPr>
          <w:rFonts w:hint="default" w:ascii="仿宋_GB2312" w:eastAsia="仿宋_GB2312" w:cs="仿宋_GB2312"/>
          <w:sz w:val="28"/>
          <w:szCs w:val="28"/>
        </w:rPr>
        <w:t>江西铜业表示，本次交易有助于提升公司的业务拓展能力和资金实力，增强公司竞争实力，提升公司价值。同时，本次交易是公司完善产业布局的重要举措，符合公司“以铜为本，做强有色，多元发展，全球布局”的发展战略。</w:t>
      </w:r>
    </w:p>
    <w:p>
      <w:pPr>
        <w:widowControl/>
        <w:wordWrap w:val="0"/>
        <w:spacing w:after="90" w:line="288" w:lineRule="auto"/>
        <w:jc w:val="left"/>
        <w:rPr>
          <w:rFonts w:hint="default" w:ascii="仿宋_GB2312" w:eastAsia="仿宋_GB2312" w:cs="仿宋_GB2312"/>
          <w:sz w:val="28"/>
          <w:szCs w:val="28"/>
        </w:rPr>
      </w:pPr>
    </w:p>
    <w:p>
      <w:pPr>
        <w:widowControl/>
        <w:jc w:val="left"/>
        <w:outlineLvl w:val="1"/>
        <w:rPr>
          <w:rFonts w:hint="eastAsia" w:ascii="宋体" w:hAnsi="宋体" w:cs="宋体"/>
          <w:b/>
          <w:bCs/>
          <w:kern w:val="0"/>
          <w:sz w:val="30"/>
          <w:szCs w:val="30"/>
        </w:rPr>
      </w:pPr>
      <w:bookmarkStart w:id="13" w:name="_Toc2520"/>
      <w:r>
        <w:rPr>
          <w:rFonts w:hint="eastAsia" w:ascii="宋体" w:hAnsi="宋体" w:cs="宋体"/>
          <w:b/>
          <w:bCs/>
          <w:kern w:val="0"/>
          <w:sz w:val="30"/>
          <w:szCs w:val="30"/>
        </w:rPr>
        <w:t>鹰潭市推动铜产业高质量发展</w:t>
      </w:r>
      <w:bookmarkEnd w:id="13"/>
    </w:p>
    <w:p>
      <w:pPr>
        <w:widowControl/>
        <w:wordWrap w:val="0"/>
        <w:spacing w:after="90" w:line="288" w:lineRule="auto"/>
        <w:ind w:firstLine="480"/>
        <w:jc w:val="left"/>
        <w:rPr>
          <w:rFonts w:hint="eastAsia" w:ascii="仿宋_GB2312" w:eastAsia="仿宋_GB2312" w:cs="仿宋_GB2312"/>
          <w:sz w:val="28"/>
          <w:szCs w:val="28"/>
        </w:rPr>
      </w:pPr>
      <w:r>
        <w:rPr>
          <w:rFonts w:hint="eastAsia" w:ascii="仿宋_GB2312" w:eastAsia="仿宋_GB2312" w:cs="仿宋_GB2312"/>
          <w:sz w:val="28"/>
          <w:szCs w:val="28"/>
        </w:rPr>
        <w:t>近年来，鹰潭市贯彻落实江西省委“二十四字”工作方针和“六大突破、三大提升”思路举措，按照市委“三大四聚”发展路径和“六强四动一保障”工作思路，紧扣高质量发展总目标，大力发展以铜、物联网两大支柱产业和医药食品、眼镜、雕刻三大特色产业为内容的“2+3”产业体系，工业经济发展总体平稳、稳中有进。</w:t>
      </w:r>
    </w:p>
    <w:p>
      <w:pPr>
        <w:widowControl/>
        <w:wordWrap w:val="0"/>
        <w:spacing w:after="90" w:line="288" w:lineRule="auto"/>
        <w:ind w:firstLine="480"/>
        <w:jc w:val="left"/>
        <w:rPr>
          <w:rFonts w:hint="eastAsia" w:ascii="仿宋_GB2312" w:eastAsia="仿宋_GB2312" w:cs="仿宋_GB2312"/>
          <w:sz w:val="28"/>
          <w:szCs w:val="28"/>
        </w:rPr>
      </w:pPr>
      <w:r>
        <w:rPr>
          <w:rFonts w:hint="eastAsia" w:ascii="仿宋_GB2312" w:eastAsia="仿宋_GB2312" w:cs="仿宋_GB2312"/>
          <w:sz w:val="28"/>
          <w:szCs w:val="28"/>
        </w:rPr>
        <w:t>铜产业发展持续领跑</w:t>
      </w:r>
    </w:p>
    <w:p>
      <w:pPr>
        <w:widowControl/>
        <w:wordWrap w:val="0"/>
        <w:spacing w:after="90" w:line="288" w:lineRule="auto"/>
        <w:ind w:firstLine="480"/>
        <w:jc w:val="left"/>
        <w:rPr>
          <w:rFonts w:hint="eastAsia" w:ascii="仿宋_GB2312" w:eastAsia="仿宋_GB2312" w:cs="仿宋_GB2312"/>
          <w:sz w:val="28"/>
          <w:szCs w:val="28"/>
        </w:rPr>
      </w:pPr>
      <w:r>
        <w:rPr>
          <w:rFonts w:hint="eastAsia" w:ascii="仿宋_GB2312" w:eastAsia="仿宋_GB2312" w:cs="仿宋_GB2312"/>
          <w:sz w:val="28"/>
          <w:szCs w:val="28"/>
        </w:rPr>
        <w:t>工业总量持续攀升。2018年，鹰潭市实现工业增加值366亿元，增长8.7%，列四小市第1位，主营业务收入3567亿元，总量列全省第3位。</w:t>
      </w:r>
    </w:p>
    <w:p>
      <w:pPr>
        <w:widowControl/>
        <w:wordWrap w:val="0"/>
        <w:spacing w:after="90" w:line="288" w:lineRule="auto"/>
        <w:ind w:firstLine="480"/>
        <w:jc w:val="left"/>
        <w:rPr>
          <w:rFonts w:hint="eastAsia" w:ascii="仿宋_GB2312" w:eastAsia="仿宋_GB2312" w:cs="仿宋_GB2312"/>
          <w:sz w:val="28"/>
          <w:szCs w:val="28"/>
        </w:rPr>
      </w:pPr>
      <w:r>
        <w:rPr>
          <w:rFonts w:hint="eastAsia" w:ascii="仿宋_GB2312" w:eastAsia="仿宋_GB2312" w:cs="仿宋_GB2312"/>
          <w:sz w:val="28"/>
          <w:szCs w:val="28"/>
        </w:rPr>
        <w:t>目前，鹰潭市共有铜工业企业145家，电解铜产能突破130万吨、铜材加工产能400多万吨。2018年，新增规模以上铜企业14家，总数达106家;累计实现工业增加值280亿元，主营业务收入3285亿元，利润总额61.6亿元，分别占全市规模工业的76.4%、92.1%和70%;电解铜产量109万吨，铜材产量218万吨，分别占全国总量的12%和13%，全省的80.2%和81.1%。鹰潭已成为全国最大的铜冶炼、铜加工基地和重要的铜消费区。</w:t>
      </w:r>
    </w:p>
    <w:p>
      <w:pPr>
        <w:widowControl/>
        <w:wordWrap w:val="0"/>
        <w:spacing w:after="90" w:line="288" w:lineRule="auto"/>
        <w:ind w:firstLine="480"/>
        <w:jc w:val="left"/>
        <w:rPr>
          <w:rFonts w:hint="eastAsia" w:ascii="仿宋_GB2312" w:eastAsia="仿宋_GB2312" w:cs="仿宋_GB2312"/>
          <w:sz w:val="28"/>
          <w:szCs w:val="28"/>
        </w:rPr>
      </w:pPr>
      <w:r>
        <w:rPr>
          <w:rFonts w:hint="eastAsia" w:ascii="仿宋_GB2312" w:eastAsia="仿宋_GB2312" w:cs="仿宋_GB2312"/>
          <w:sz w:val="28"/>
          <w:szCs w:val="28"/>
        </w:rPr>
        <w:t>推动铜产业发展主要举措</w:t>
      </w:r>
    </w:p>
    <w:p>
      <w:pPr>
        <w:widowControl/>
        <w:wordWrap w:val="0"/>
        <w:spacing w:after="90" w:line="288" w:lineRule="auto"/>
        <w:ind w:firstLine="480"/>
        <w:jc w:val="left"/>
        <w:rPr>
          <w:rFonts w:hint="eastAsia" w:ascii="仿宋_GB2312" w:eastAsia="仿宋_GB2312" w:cs="仿宋_GB2312"/>
          <w:sz w:val="28"/>
          <w:szCs w:val="28"/>
        </w:rPr>
      </w:pPr>
      <w:r>
        <w:rPr>
          <w:rFonts w:hint="eastAsia" w:ascii="仿宋_GB2312" w:eastAsia="仿宋_GB2312" w:cs="仿宋_GB2312"/>
          <w:sz w:val="28"/>
          <w:szCs w:val="28"/>
        </w:rPr>
        <w:t>鹰潭历届党政班子矢志不移地将铜产业作为首位产业，尤其是去年实行强攻工业行动以来，市委市政府提出集中利用3年时间，举全市之力，力争实现工业“四倍增、三提升”的总体目标，强化区域聚焦、产业聚焦、资源聚焦、政策聚焦，高起点编制《世界铜都发展规划》，出台《鹰潭工业三年倍增行动计划(2018-2021年)》《关于进一步做精铜产业加速打造世界铜都的意见》，实行市领导联系重点企业，对重点工作和重点项目坚持“五个一”调度机制，推动了工作扎实有效落实。</w:t>
      </w:r>
    </w:p>
    <w:p>
      <w:pPr>
        <w:widowControl/>
        <w:wordWrap w:val="0"/>
        <w:spacing w:after="90" w:line="288" w:lineRule="auto"/>
        <w:ind w:firstLine="480"/>
        <w:jc w:val="left"/>
        <w:rPr>
          <w:rFonts w:hint="eastAsia" w:ascii="仿宋_GB2312" w:eastAsia="仿宋_GB2312" w:cs="仿宋_GB2312"/>
          <w:sz w:val="28"/>
          <w:szCs w:val="28"/>
        </w:rPr>
      </w:pPr>
      <w:r>
        <w:rPr>
          <w:rFonts w:hint="eastAsia" w:ascii="仿宋_GB2312" w:eastAsia="仿宋_GB2312" w:cs="仿宋_GB2312"/>
          <w:sz w:val="28"/>
          <w:szCs w:val="28"/>
        </w:rPr>
        <w:t>深化地企合作，全力服务江铜</w:t>
      </w:r>
    </w:p>
    <w:p>
      <w:pPr>
        <w:widowControl/>
        <w:wordWrap w:val="0"/>
        <w:spacing w:after="90" w:line="288" w:lineRule="auto"/>
        <w:ind w:firstLine="480"/>
        <w:jc w:val="left"/>
        <w:rPr>
          <w:rFonts w:hint="eastAsia" w:ascii="仿宋_GB2312" w:eastAsia="仿宋_GB2312" w:cs="仿宋_GB2312"/>
          <w:sz w:val="28"/>
          <w:szCs w:val="28"/>
        </w:rPr>
      </w:pPr>
      <w:r>
        <w:rPr>
          <w:rFonts w:hint="eastAsia" w:ascii="仿宋_GB2312" w:eastAsia="仿宋_GB2312" w:cs="仿宋_GB2312"/>
          <w:sz w:val="28"/>
          <w:szCs w:val="28"/>
        </w:rPr>
        <w:t>一是确定了合作目标。2017年12月，鹰潭市与江铜集团签署全面深化地企战略合作协议，提出共同推进“五大工程”(贵冶智能工厂改造、贵冶周边环境整治、铅锌资源整合、铜产业人才引进和铜产业科技能力提升)、合力打造“四个中心”(铜产业创新中心、铜产品贸易中心、铜产业物流中心和铜文化展示中心)的合作愿景。二是健全了合作机制。地企双方成立深化合作推进工作领导小组，建立了部门每月一次、领导小组每季一次对接推进会议制度，2018年召开了4次高层对接会。三是形成了合作成果。双方围绕铜产业发展，梳理重点推进事项36项，有12项已经解决。目前双方正着力推进银珠山铅锌银矿开发、胜华高端线缆产业园、新建10万吨电解铜、国家铜检测中心股改等产业项目合作。银珠山开发项目确定了24个子项目，目前已完成7项，其他项目正在有序推进，力争2019年5月、确保2019年6月全面开工建设;胜华高端线缆产业园项目，双方进行多次对接，成立专项推进工作组，贵溪市正在对2000亩产业园开展“三通一平”等基础工作，全力打造承接江铜三年倍增产业平台。</w:t>
      </w:r>
    </w:p>
    <w:p>
      <w:pPr>
        <w:widowControl/>
        <w:wordWrap w:val="0"/>
        <w:spacing w:after="90" w:line="288" w:lineRule="auto"/>
        <w:ind w:firstLine="560" w:firstLineChars="200"/>
        <w:jc w:val="left"/>
        <w:rPr>
          <w:rFonts w:hint="eastAsia" w:ascii="仿宋_GB2312" w:eastAsia="仿宋_GB2312" w:cs="仿宋_GB2312"/>
          <w:sz w:val="28"/>
          <w:szCs w:val="28"/>
        </w:rPr>
      </w:pPr>
      <w:r>
        <w:rPr>
          <w:rFonts w:hint="eastAsia" w:ascii="仿宋_GB2312" w:eastAsia="仿宋_GB2312" w:cs="仿宋_GB2312"/>
          <w:sz w:val="28"/>
          <w:szCs w:val="28"/>
        </w:rPr>
        <w:t>突出项目带动，做大市属铜企</w:t>
      </w:r>
    </w:p>
    <w:p>
      <w:pPr>
        <w:widowControl/>
        <w:wordWrap w:val="0"/>
        <w:spacing w:after="90" w:line="288" w:lineRule="auto"/>
        <w:ind w:firstLine="480"/>
        <w:jc w:val="left"/>
        <w:rPr>
          <w:rFonts w:hint="eastAsia" w:ascii="仿宋_GB2312" w:eastAsia="仿宋_GB2312" w:cs="仿宋_GB2312"/>
          <w:sz w:val="28"/>
          <w:szCs w:val="28"/>
        </w:rPr>
      </w:pPr>
      <w:r>
        <w:rPr>
          <w:rFonts w:hint="eastAsia" w:ascii="仿宋_GB2312" w:eastAsia="仿宋_GB2312" w:cs="仿宋_GB2312"/>
          <w:sz w:val="28"/>
          <w:szCs w:val="28"/>
        </w:rPr>
        <w:t>一是强化项目招商。着力招大引强，向高精尖端发力，2018年，共引进华尔达线缆集团8万吨铜漆包线、九星铜业5万吨铜箔铜管等铜精深加工项目46个，总投资263亿元，其中42个项目实现当年开工、19个项目实现当年投产。二是强化企业技改。实施铜企业技改项目49个，总投资95亿元，其中新开工项目33个、续建项目16个。截至2018年底，市属规模以上铜企业106家，实现主营业务收入3285亿元，同比增长8.1%，铜精深加工比重升至45%，较“十二五”末提高10个百分点。三是强化行业升级。2018年，贵溪成功列入江西省有色行业转型升级试点，贵溪高端线缆线束产业列为省级重点产业集群;有16家铜企业入选2018“省双百企业”;胜华金属成为江西省首家过100亿元民营铜企业。</w:t>
      </w:r>
    </w:p>
    <w:p>
      <w:pPr>
        <w:widowControl/>
        <w:wordWrap w:val="0"/>
        <w:spacing w:after="90" w:line="288" w:lineRule="auto"/>
        <w:ind w:firstLine="480"/>
        <w:jc w:val="left"/>
        <w:rPr>
          <w:rFonts w:hint="eastAsia" w:ascii="仿宋_GB2312" w:eastAsia="仿宋_GB2312" w:cs="仿宋_GB2312"/>
          <w:sz w:val="28"/>
          <w:szCs w:val="28"/>
        </w:rPr>
      </w:pPr>
      <w:r>
        <w:rPr>
          <w:rFonts w:hint="eastAsia" w:ascii="仿宋_GB2312" w:eastAsia="仿宋_GB2312" w:cs="仿宋_GB2312"/>
          <w:sz w:val="28"/>
          <w:szCs w:val="28"/>
        </w:rPr>
        <w:t>强化政策引导，做旺原料贸易</w:t>
      </w:r>
    </w:p>
    <w:p>
      <w:pPr>
        <w:widowControl/>
        <w:wordWrap w:val="0"/>
        <w:spacing w:after="90" w:line="288" w:lineRule="auto"/>
        <w:ind w:firstLine="480"/>
        <w:jc w:val="left"/>
        <w:rPr>
          <w:rFonts w:hint="eastAsia" w:ascii="仿宋_GB2312" w:eastAsia="仿宋_GB2312" w:cs="仿宋_GB2312"/>
          <w:sz w:val="28"/>
          <w:szCs w:val="28"/>
        </w:rPr>
      </w:pPr>
      <w:r>
        <w:rPr>
          <w:rFonts w:hint="eastAsia" w:ascii="仿宋_GB2312" w:eastAsia="仿宋_GB2312" w:cs="仿宋_GB2312"/>
          <w:sz w:val="28"/>
          <w:szCs w:val="28"/>
        </w:rPr>
        <w:t>一是做旺废铜交易。积极适应国家固废进口政策调整，提前谋划出台政策，引导贵溪铜拆解企业布局国内废铜回收网络，提高区域原料自给率。2018年，铜废料拆解总量突破20万吨，是上年的3倍;其中国内回收16.1万吨，是国外进口量的4.6倍。二是做大现货交易。铜现货全年交易量46.43万吨，增长29.9%，业务覆盖全省并辐射周边省份。三是做强期货交易。铜期货交割仓库全年完成业务量32.3万吨，增长353%，降低企业资金成本2000多万元。今年1月，推动市工业控股公司与中航信托、胜华金属合作组建了混合制贸易公司，着力打造区域铜贸易市场。</w:t>
      </w:r>
    </w:p>
    <w:p>
      <w:pPr>
        <w:widowControl/>
        <w:wordWrap w:val="0"/>
        <w:spacing w:after="90" w:line="288" w:lineRule="auto"/>
        <w:ind w:firstLine="480"/>
        <w:jc w:val="left"/>
        <w:rPr>
          <w:rFonts w:hint="eastAsia" w:ascii="仿宋_GB2312" w:eastAsia="仿宋_GB2312" w:cs="仿宋_GB2312"/>
          <w:sz w:val="28"/>
          <w:szCs w:val="28"/>
        </w:rPr>
      </w:pPr>
      <w:r>
        <w:rPr>
          <w:rFonts w:hint="eastAsia" w:ascii="仿宋_GB2312" w:eastAsia="仿宋_GB2312" w:cs="仿宋_GB2312"/>
          <w:sz w:val="28"/>
          <w:szCs w:val="28"/>
        </w:rPr>
        <w:t>做强科研平台，提升创新能力</w:t>
      </w:r>
    </w:p>
    <w:p>
      <w:pPr>
        <w:widowControl/>
        <w:wordWrap w:val="0"/>
        <w:spacing w:after="90" w:line="288" w:lineRule="auto"/>
        <w:ind w:firstLine="480"/>
        <w:jc w:val="left"/>
        <w:rPr>
          <w:rFonts w:hint="eastAsia" w:ascii="仿宋_GB2312" w:eastAsia="仿宋_GB2312" w:cs="仿宋_GB2312"/>
          <w:sz w:val="28"/>
          <w:szCs w:val="28"/>
        </w:rPr>
      </w:pPr>
      <w:r>
        <w:rPr>
          <w:rFonts w:hint="eastAsia" w:ascii="仿宋_GB2312" w:eastAsia="仿宋_GB2312" w:cs="仿宋_GB2312"/>
          <w:sz w:val="28"/>
          <w:szCs w:val="28"/>
        </w:rPr>
        <w:t>一是加大研发力度。2018年新增铜产业研发平台7个，累计建成省级以上科创平台36个，其中国家级平台5个，省级平台31个;高新技术铜企业38家，占规模以上铜企业总数的36%。2018年，铜企业获授权专利407件，其中发明专利23件;累计获授权专利796件，其中发明专利93件。二是加快人才引进。通过“聘、引、培”多种形式引进院士5名、国家“863”计划首席科学家和国家千人计划专家等高端人才30多名。三是加强院校合作。先后与江西理工大学、哈尔滨理工大学等开展产学研合作，建立江西先进铜产业研究院、铜产业工程技术研究中心，开展关键共性技术研究。一批重点铜企业瞄准市场细分领域，成功研发集成电路键合金丝、高强高导铜合金、高精电子铜带、极细镀锡铜丝、FPC微晶磷铜球，超低氧铜热管等新型高性能铜材，江南新材、红旗铜业、耐乐铜管、众鑫成铜业、广信新材、中臻铜业等跻身“小巨人”、行业“单项冠军”行列。</w:t>
      </w:r>
    </w:p>
    <w:p>
      <w:pPr>
        <w:widowControl/>
        <w:wordWrap w:val="0"/>
        <w:spacing w:after="90" w:line="288" w:lineRule="auto"/>
        <w:ind w:firstLine="480"/>
        <w:jc w:val="left"/>
        <w:rPr>
          <w:rFonts w:hint="eastAsia" w:ascii="仿宋_GB2312" w:eastAsia="仿宋_GB2312" w:cs="仿宋_GB2312"/>
          <w:sz w:val="28"/>
          <w:szCs w:val="28"/>
        </w:rPr>
      </w:pPr>
      <w:r>
        <w:rPr>
          <w:rFonts w:hint="eastAsia" w:ascii="仿宋_GB2312" w:eastAsia="仿宋_GB2312" w:cs="仿宋_GB2312"/>
          <w:sz w:val="28"/>
          <w:szCs w:val="28"/>
        </w:rPr>
        <w:t>深化两化融合，推进动能转换</w:t>
      </w:r>
    </w:p>
    <w:p>
      <w:pPr>
        <w:widowControl/>
        <w:wordWrap w:val="0"/>
        <w:spacing w:after="90" w:line="288" w:lineRule="auto"/>
        <w:ind w:firstLine="480"/>
        <w:jc w:val="left"/>
        <w:rPr>
          <w:rFonts w:hint="eastAsia" w:ascii="仿宋_GB2312" w:eastAsia="仿宋_GB2312" w:cs="仿宋_GB2312"/>
          <w:sz w:val="28"/>
          <w:szCs w:val="28"/>
        </w:rPr>
      </w:pPr>
      <w:r>
        <w:rPr>
          <w:rFonts w:hint="eastAsia" w:ascii="仿宋_GB2312" w:eastAsia="仿宋_GB2312" w:cs="仿宋_GB2312"/>
          <w:sz w:val="28"/>
          <w:szCs w:val="28"/>
        </w:rPr>
        <w:t>近年来，鹰潭市抢抓国家智慧城市试点、国家信息惠民城市和03专项试点契机，深化信息技术推广应用，力促新旧动能结合、协同发力。一是分时点推进铜企业智能化改造。先后对13家铜企业70条生产线实施智能化改造，应用工业机器人、高档数控机床、自动化生产线等智能化装备320余台，贵溪冶炼厂、凯顺科技、江南新材、广信新材等5家企业获批国家、省级智能制造试点示范企业。二是高质量推进贵冶智能工厂建设。2018年，贵溪冶炼厂先后完成智能工厂生产指挥中心、视频监控和运输智能化调度等自动化项目，今年1月完成应用系统初始化并上线运行。三是高起点规划铜产业大数据平台。鹰潭市确定设立国有公司作为平台投资主体，委托中国信通院团队负责大数据平台建设及运营，目前正在对全市铜企业摸底调查，抓紧编制平台建设方案。</w:t>
      </w:r>
    </w:p>
    <w:p>
      <w:pPr>
        <w:widowControl/>
        <w:wordWrap w:val="0"/>
        <w:spacing w:after="90" w:line="288" w:lineRule="auto"/>
        <w:ind w:firstLine="480"/>
        <w:jc w:val="left"/>
        <w:rPr>
          <w:rFonts w:hint="eastAsia" w:ascii="仿宋_GB2312" w:eastAsia="仿宋_GB2312" w:cs="仿宋_GB2312"/>
          <w:sz w:val="28"/>
          <w:szCs w:val="28"/>
        </w:rPr>
      </w:pPr>
      <w:r>
        <w:rPr>
          <w:rFonts w:hint="eastAsia" w:ascii="仿宋_GB2312" w:eastAsia="仿宋_GB2312" w:cs="仿宋_GB2312"/>
          <w:sz w:val="28"/>
          <w:szCs w:val="28"/>
        </w:rPr>
        <w:t>铜产业转型发展思路</w:t>
      </w:r>
    </w:p>
    <w:p>
      <w:pPr>
        <w:widowControl/>
        <w:wordWrap w:val="0"/>
        <w:spacing w:after="90" w:line="288" w:lineRule="auto"/>
        <w:ind w:firstLine="480"/>
        <w:jc w:val="left"/>
        <w:rPr>
          <w:rFonts w:hint="eastAsia" w:ascii="仿宋_GB2312" w:eastAsia="仿宋_GB2312" w:cs="仿宋_GB2312"/>
          <w:sz w:val="28"/>
          <w:szCs w:val="28"/>
        </w:rPr>
      </w:pPr>
      <w:r>
        <w:rPr>
          <w:rFonts w:hint="eastAsia" w:ascii="仿宋_GB2312" w:eastAsia="仿宋_GB2312" w:cs="仿宋_GB2312"/>
          <w:sz w:val="28"/>
          <w:szCs w:val="28"/>
        </w:rPr>
        <w:t>鹰潭市将贯彻落实省委、省政府培育“2+6+N”工业体系、打造万亿元有色产业战略部署，坚决贯彻新发展理念，按照“咬住一个目标、突出二条主线、深化三项合作、实施四大工程”的工作思路，全力推动铜产业实现“总量上翻番、质量上提升、影响上扩大、动能上增强”，奋力开创鹰潭铜产业高质量发展新局面，为江西省有色金属产业成为全省首个“万亿产业”贡献鹰潭力量。</w:t>
      </w:r>
    </w:p>
    <w:p>
      <w:pPr>
        <w:widowControl/>
        <w:wordWrap w:val="0"/>
        <w:spacing w:after="90" w:line="288" w:lineRule="auto"/>
        <w:ind w:firstLine="480"/>
        <w:jc w:val="left"/>
        <w:rPr>
          <w:rFonts w:hint="eastAsia" w:ascii="仿宋_GB2312" w:eastAsia="仿宋_GB2312" w:cs="仿宋_GB2312"/>
          <w:sz w:val="28"/>
          <w:szCs w:val="28"/>
        </w:rPr>
      </w:pPr>
      <w:r>
        <w:rPr>
          <w:rFonts w:hint="eastAsia" w:ascii="仿宋_GB2312" w:eastAsia="仿宋_GB2312" w:cs="仿宋_GB2312"/>
          <w:sz w:val="28"/>
          <w:szCs w:val="28"/>
        </w:rPr>
        <w:t>咬住一个目标</w:t>
      </w:r>
    </w:p>
    <w:p>
      <w:pPr>
        <w:widowControl/>
        <w:wordWrap w:val="0"/>
        <w:spacing w:after="90" w:line="288" w:lineRule="auto"/>
        <w:ind w:firstLine="480"/>
        <w:jc w:val="left"/>
        <w:rPr>
          <w:rFonts w:hint="eastAsia" w:ascii="仿宋_GB2312" w:eastAsia="仿宋_GB2312" w:cs="仿宋_GB2312"/>
          <w:sz w:val="28"/>
          <w:szCs w:val="28"/>
        </w:rPr>
      </w:pPr>
      <w:r>
        <w:rPr>
          <w:rFonts w:hint="eastAsia" w:ascii="仿宋_GB2312" w:eastAsia="仿宋_GB2312" w:cs="仿宋_GB2312"/>
          <w:sz w:val="28"/>
          <w:szCs w:val="28"/>
        </w:rPr>
        <w:t>根据工业三年倍增目标，到2021年规上工业主营业务收入突破7000亿元，保持全省工业第一方阵，全市工业经济综合实力迈入全省第二方阵;其中铜产业主营业务收入实现倍增突破6000亿元，江铜集团和市属铜企业分别突破4000亿元、2000亿元实现双翻番，成功实现“再造一个江铜”目标，鹰潭成为全国百强铜企业的主要聚集区。</w:t>
      </w:r>
    </w:p>
    <w:p>
      <w:pPr>
        <w:widowControl/>
        <w:wordWrap w:val="0"/>
        <w:spacing w:after="90" w:line="288" w:lineRule="auto"/>
        <w:ind w:firstLine="480"/>
        <w:jc w:val="left"/>
        <w:rPr>
          <w:rFonts w:hint="eastAsia" w:ascii="仿宋_GB2312" w:eastAsia="仿宋_GB2312" w:cs="仿宋_GB2312"/>
          <w:sz w:val="28"/>
          <w:szCs w:val="28"/>
        </w:rPr>
      </w:pPr>
      <w:r>
        <w:rPr>
          <w:rFonts w:hint="eastAsia" w:ascii="仿宋_GB2312" w:eastAsia="仿宋_GB2312" w:cs="仿宋_GB2312"/>
          <w:sz w:val="28"/>
          <w:szCs w:val="28"/>
        </w:rPr>
        <w:t>突出二条主线</w:t>
      </w:r>
    </w:p>
    <w:p>
      <w:pPr>
        <w:widowControl/>
        <w:wordWrap w:val="0"/>
        <w:spacing w:after="90" w:line="288" w:lineRule="auto"/>
        <w:ind w:firstLine="480"/>
        <w:jc w:val="left"/>
        <w:rPr>
          <w:rFonts w:hint="eastAsia" w:ascii="仿宋_GB2312" w:eastAsia="仿宋_GB2312" w:cs="仿宋_GB2312"/>
          <w:sz w:val="28"/>
          <w:szCs w:val="28"/>
        </w:rPr>
      </w:pPr>
      <w:r>
        <w:rPr>
          <w:rFonts w:hint="eastAsia" w:ascii="仿宋_GB2312" w:eastAsia="仿宋_GB2312" w:cs="仿宋_GB2312"/>
          <w:sz w:val="28"/>
          <w:szCs w:val="28"/>
        </w:rPr>
        <w:t>一方面，加快推动铜产业链向价值链高端攀升，提升铜产业发展层次水平，确保产业发展换挡不失速、量稳质更优，加速转身为全国高端铜加工产业聚集区;另一方面，积极运用新一代信息技术，改造提升传统铜加工产业，实施铜企业信息化智能化改造，培育增长新动能、竞争新优势，打造铜工业互联网全国样板。</w:t>
      </w:r>
    </w:p>
    <w:p>
      <w:pPr>
        <w:widowControl/>
        <w:wordWrap w:val="0"/>
        <w:spacing w:after="90" w:line="288" w:lineRule="auto"/>
        <w:ind w:firstLine="560" w:firstLineChars="200"/>
        <w:jc w:val="left"/>
        <w:rPr>
          <w:rFonts w:hint="eastAsia" w:ascii="仿宋_GB2312" w:eastAsia="仿宋_GB2312" w:cs="仿宋_GB2312"/>
          <w:sz w:val="28"/>
          <w:szCs w:val="28"/>
        </w:rPr>
      </w:pPr>
      <w:r>
        <w:rPr>
          <w:rFonts w:hint="eastAsia" w:ascii="仿宋_GB2312" w:eastAsia="仿宋_GB2312" w:cs="仿宋_GB2312"/>
          <w:sz w:val="28"/>
          <w:szCs w:val="28"/>
        </w:rPr>
        <w:t>深化三项合作</w:t>
      </w:r>
    </w:p>
    <w:p>
      <w:pPr>
        <w:widowControl/>
        <w:wordWrap w:val="0"/>
        <w:spacing w:after="90" w:line="288" w:lineRule="auto"/>
        <w:ind w:firstLine="480"/>
        <w:jc w:val="left"/>
        <w:rPr>
          <w:rFonts w:hint="eastAsia" w:ascii="仿宋_GB2312" w:eastAsia="仿宋_GB2312" w:cs="仿宋_GB2312"/>
          <w:sz w:val="28"/>
          <w:szCs w:val="28"/>
        </w:rPr>
      </w:pPr>
      <w:r>
        <w:rPr>
          <w:rFonts w:hint="eastAsia" w:ascii="仿宋_GB2312" w:eastAsia="仿宋_GB2312" w:cs="仿宋_GB2312"/>
          <w:sz w:val="28"/>
          <w:szCs w:val="28"/>
        </w:rPr>
        <w:t>深化与江铜集团地企合作。继续坚持每月一次沟通对接、每季一次会议协商推进机制，狠抓地企战略合作协议各项任务落实落地。全方位服务江铜三年创新倍增计划，加快江铜产业园基础设施建设，着力承接江铜三年创新倍增重大项目;不断深化市属企业与江铜在项目、技术、人才等方面合作，力促江铜10万吨小阳极板电解项目年内落地，积极沟通江铜参与鹰潭铜国检中心股改合作;着力推动银珠山铅锌银矿开发建设，力争今年5月、确保6月全面开工;重点推动江铜胜华电缆项目今年5月完成市场调研，尽快启动胜华高端线缆产业园建设。</w:t>
      </w:r>
    </w:p>
    <w:p>
      <w:pPr>
        <w:widowControl/>
        <w:wordWrap w:val="0"/>
        <w:spacing w:after="90" w:line="288" w:lineRule="auto"/>
        <w:ind w:firstLine="560" w:firstLineChars="200"/>
        <w:jc w:val="left"/>
        <w:rPr>
          <w:rFonts w:hint="eastAsia" w:ascii="仿宋_GB2312" w:eastAsia="仿宋_GB2312" w:cs="仿宋_GB2312"/>
          <w:sz w:val="28"/>
          <w:szCs w:val="28"/>
        </w:rPr>
      </w:pPr>
      <w:r>
        <w:rPr>
          <w:rFonts w:hint="eastAsia" w:ascii="仿宋_GB2312" w:eastAsia="仿宋_GB2312" w:cs="仿宋_GB2312"/>
          <w:sz w:val="28"/>
          <w:szCs w:val="28"/>
        </w:rPr>
        <w:t>深化与江西理工大学、哈理工等专业院校市校合作。重点加快先进铜产业研究院建设，深入开展铜产业关键技术、前沿技术和共性技术攻关，重点推进真空连续熔炼铸造技术中试及成果转化，填补国内技术空白。加快与线缆行业“黄埔军校”哈理工共同打造高端线缆线束产业研究院，形成一批有显示度的科研成果，凝聚全国领先的技术研发优势。</w:t>
      </w:r>
    </w:p>
    <w:p>
      <w:pPr>
        <w:widowControl/>
        <w:wordWrap w:val="0"/>
        <w:spacing w:after="90" w:line="288" w:lineRule="auto"/>
        <w:ind w:firstLine="560" w:firstLineChars="200"/>
        <w:jc w:val="left"/>
        <w:rPr>
          <w:rFonts w:hint="eastAsia" w:ascii="仿宋_GB2312" w:eastAsia="仿宋_GB2312" w:cs="仿宋_GB2312"/>
          <w:sz w:val="28"/>
          <w:szCs w:val="28"/>
        </w:rPr>
      </w:pPr>
      <w:r>
        <w:rPr>
          <w:rFonts w:hint="eastAsia" w:ascii="仿宋_GB2312" w:eastAsia="仿宋_GB2312" w:cs="仿宋_GB2312"/>
          <w:sz w:val="28"/>
          <w:szCs w:val="28"/>
        </w:rPr>
        <w:t>深化与中国信通院、北航等电子信息类院校战略合作。抓住全国03专项试点示范契机，依托现有各类科研平台，进一步完善与中国信通院、北航等院校对接合作机制，深化产业、科研、人才等领域创新合作模式，争取信息技术、物联网、人工智能等产学研用全方位支持，重点加快铜产业大数据平台和江西师专物联网学科等建设。</w:t>
      </w:r>
    </w:p>
    <w:p>
      <w:pPr>
        <w:widowControl/>
        <w:wordWrap w:val="0"/>
        <w:spacing w:after="90" w:line="288" w:lineRule="auto"/>
        <w:ind w:firstLine="480"/>
        <w:jc w:val="left"/>
        <w:rPr>
          <w:rFonts w:hint="eastAsia" w:ascii="仿宋_GB2312" w:eastAsia="仿宋_GB2312" w:cs="仿宋_GB2312"/>
          <w:sz w:val="28"/>
          <w:szCs w:val="28"/>
        </w:rPr>
      </w:pPr>
      <w:r>
        <w:rPr>
          <w:rFonts w:hint="eastAsia" w:ascii="仿宋_GB2312" w:eastAsia="仿宋_GB2312" w:cs="仿宋_GB2312"/>
          <w:sz w:val="28"/>
          <w:szCs w:val="28"/>
        </w:rPr>
        <w:t>实施四大工程</w:t>
      </w:r>
    </w:p>
    <w:p>
      <w:pPr>
        <w:widowControl/>
        <w:wordWrap w:val="0"/>
        <w:spacing w:after="90" w:line="288" w:lineRule="auto"/>
        <w:ind w:firstLine="480"/>
        <w:jc w:val="left"/>
        <w:rPr>
          <w:rFonts w:hint="eastAsia" w:ascii="仿宋_GB2312" w:eastAsia="仿宋_GB2312" w:cs="仿宋_GB2312"/>
          <w:sz w:val="28"/>
          <w:szCs w:val="28"/>
        </w:rPr>
      </w:pPr>
      <w:r>
        <w:rPr>
          <w:rFonts w:hint="eastAsia" w:ascii="仿宋_GB2312" w:eastAsia="仿宋_GB2312" w:cs="仿宋_GB2312"/>
          <w:sz w:val="28"/>
          <w:szCs w:val="28"/>
        </w:rPr>
        <w:t>实施“总量再翻番”工程。一是在铜现货贸易上发力。整合铜期货交割仓库、铜国检中心等平台功能，市工业控股公司与中航信托、胜华金属合资组建混合所有制铜物贸公司，开展铜现货交易、贸易和套期套利业务，公司将于今年3月正式运营，全年贸易额将突破2000亿元，力争3年打造成“万亿级”全国性铜物贸中心，形成上海、广州、鹰潭三足鼎立铜贸易格局。二是在铜线缆板块上发力。做大贵溪高端线缆线束省级重点产业集群，重点抓好浦东电缆、中超新材料等已落户项目建设，计划3年内入驻企业50家、产值过200亿元。三是在铜精加工项目上发力。深入开展“大干项目年”活动，重点推进奥易特新材20万吨铜合金板带、鑫铂瑞科技4万吨高端铜箔、广信新材3万吨新能源汽车用铜铬锆等50个重大铜项目，项目总投资259亿元，全部达产后可新增主营业务收入600亿元。四是在铜原料上发力。依托贵溪铜拆解园区，用足用好现有扶持政策，引导企业扩大国内废料回收，积极扩增废旧汽车、家用电器拆解资质，到2021年，废铜拆解总量实现翻番达40万吨，进一步强化资源保障度。五是在铜终端应用上发力。积极发挥中航信托产业资源融合能力和鹰潭铜加工集聚优势，大力引进电线电缆、电子信息、家用电器、水暖卫浴等产业链终端、价值链高端企业落户，合作共建铜加工产业园。</w:t>
      </w:r>
    </w:p>
    <w:p>
      <w:pPr>
        <w:widowControl/>
        <w:wordWrap w:val="0"/>
        <w:spacing w:after="90" w:line="288" w:lineRule="auto"/>
        <w:ind w:firstLine="480"/>
        <w:jc w:val="left"/>
        <w:rPr>
          <w:rFonts w:hint="eastAsia" w:ascii="仿宋_GB2312" w:eastAsia="仿宋_GB2312" w:cs="仿宋_GB2312"/>
          <w:sz w:val="28"/>
          <w:szCs w:val="28"/>
        </w:rPr>
      </w:pPr>
      <w:r>
        <w:rPr>
          <w:rFonts w:hint="eastAsia" w:ascii="仿宋_GB2312" w:eastAsia="仿宋_GB2312" w:cs="仿宋_GB2312"/>
          <w:sz w:val="28"/>
          <w:szCs w:val="28"/>
        </w:rPr>
        <w:t>实施“质量再提升”工程。一是铜精深加工比重提升。聚焦铜产业延链、补链、强链招商，重点瞄准铜行业国内前10强、细分行业龙头企业紧盯不放，每年储备50个以上投资5亿元、20个以上10亿元铜产业招商项目，着力引进电线电缆、电子信息等行业地位突出、技术领先、带动力强的项目，力争2021年铜精深加工比重提高至55%。二是铜检测能力提升。深化鹰潭铜国检中心企业化改革，加快推进与国有投资公司、知名检测机构股份制合作，不断提升检测能力和业务覆盖面，力争今年股改成功，到2021年检测业务覆盖江西全省、辐射周边省份50%以上铜企业。三是铜龙头骨干企业提升。深入开展育大育强行动，以胜华金属、江南新材、保太集团、红旗铜业等为重点，积极培育一批细分领域“小巨人”、单项冠军企业，打造100亿元企业方阵，到2021年主营业务收入过50亿元铜企业6户以上，过100亿元铜企业3户以上，推动凌云铜业、江南新材等主板上市。四是企业关联配套提升。出台专项奖扶政策，对鹰潭市铜产业链上下游采购配套的企业给予奖励，促进市内企业配套协作。</w:t>
      </w:r>
    </w:p>
    <w:p>
      <w:pPr>
        <w:widowControl/>
        <w:wordWrap w:val="0"/>
        <w:spacing w:after="90" w:line="288" w:lineRule="auto"/>
        <w:ind w:firstLine="480"/>
        <w:jc w:val="left"/>
        <w:rPr>
          <w:rFonts w:hint="eastAsia" w:ascii="仿宋_GB2312" w:eastAsia="仿宋_GB2312" w:cs="仿宋_GB2312"/>
          <w:sz w:val="28"/>
          <w:szCs w:val="28"/>
        </w:rPr>
      </w:pPr>
      <w:r>
        <w:rPr>
          <w:rFonts w:hint="eastAsia" w:ascii="仿宋_GB2312" w:eastAsia="仿宋_GB2312" w:cs="仿宋_GB2312"/>
          <w:sz w:val="28"/>
          <w:szCs w:val="28"/>
        </w:rPr>
        <w:t>实施“影响再扩大”工程。依托《产业发展与转移指导目录(2018年本)》将鹰潭作为全国铜精深加工产业集聚区的功能定位，深化“绿色世界铜都”内涵和外延，促进铜产业生产要素高效集聚。一是提高铜产量在全国比重。继续保持全国铜产业集群领先优势，铜材产量占全国比重提高至20%以上。二是每年举办一次全国性行业论坛。加强与国内外铜行业的合作与交流，使鹰潭成为优质铜企业的集聚地、高端铜人才的向往地、前沿铜技术的试验地。三是申报承建国家工业互联网(有色行业)二级节点。为有色行业智能化升级提供公益性技术支撑，助推江西省抢占铜工业大数据先发优势。四是打造全国性铜贸易市场。全面实现铜原料本地化采购，今年5月份正式对外发布电解铜、铜杆鹰潭价格，实现鹰潭市场与上海同价，增强市场定价权和话语权。</w:t>
      </w:r>
    </w:p>
    <w:p>
      <w:pPr>
        <w:widowControl/>
        <w:wordWrap w:val="0"/>
        <w:spacing w:after="90" w:line="288" w:lineRule="auto"/>
        <w:ind w:firstLine="480"/>
        <w:jc w:val="left"/>
        <w:rPr>
          <w:rFonts w:hint="eastAsia" w:ascii="仿宋_GB2312" w:eastAsia="仿宋_GB2312" w:cs="仿宋_GB2312"/>
          <w:sz w:val="28"/>
          <w:szCs w:val="28"/>
        </w:rPr>
      </w:pPr>
      <w:r>
        <w:rPr>
          <w:rFonts w:hint="eastAsia" w:ascii="仿宋_GB2312" w:eastAsia="仿宋_GB2312" w:cs="仿宋_GB2312"/>
          <w:sz w:val="28"/>
          <w:szCs w:val="28"/>
        </w:rPr>
        <w:t>实施“动能再增强”工程。一是强化创新体系建设。突出企业创新主体地位，强化企业科研机构建设，提升产业科技支撑，力争3年新增各类创新平台100个，2021年总数超过200个。二是实施信息化改造。加快应用新一代信息技术改造提升铜产业，计划3年时间完成全市铜企业改造，实现铜企业生产控制智能化、生产管理信息化、生产过程可视化、质量控制自动化水平。三是加快数据平台建设。今年6月完成铜产业大数据平台系统搭建，完成25家铜企业智能化改造;到明年6月完成70家铜企业改造，建设全国领先的铜产业大数据平台，树立一批智能制造标杆企业，实现“企业降本提质增效、传统产业转型升级、信息数据应用先行”三大目标，努力开创全国工业互联网创新应用典范。</w:t>
      </w:r>
    </w:p>
    <w:p>
      <w:pPr>
        <w:widowControl/>
        <w:wordWrap w:val="0"/>
        <w:spacing w:after="90" w:line="288" w:lineRule="auto"/>
        <w:ind w:firstLine="480"/>
        <w:jc w:val="left"/>
        <w:rPr>
          <w:rFonts w:hint="eastAsia" w:ascii="仿宋_GB2312" w:eastAsia="仿宋_GB2312" w:cs="仿宋_GB2312"/>
          <w:sz w:val="28"/>
          <w:szCs w:val="28"/>
        </w:rPr>
      </w:pPr>
    </w:p>
    <w:p>
      <w:pPr>
        <w:widowControl/>
        <w:jc w:val="left"/>
        <w:outlineLvl w:val="1"/>
        <w:rPr>
          <w:rFonts w:ascii="宋体" w:cs="Times New Roman"/>
          <w:b/>
          <w:bCs/>
          <w:kern w:val="0"/>
          <w:sz w:val="30"/>
          <w:szCs w:val="30"/>
        </w:rPr>
      </w:pPr>
      <w:bookmarkStart w:id="14" w:name="_Toc31477"/>
      <w:r>
        <w:rPr>
          <w:rFonts w:hint="eastAsia" w:ascii="宋体" w:hAnsi="宋体" w:cs="宋体"/>
          <w:b/>
          <w:bCs/>
          <w:kern w:val="0"/>
          <w:sz w:val="30"/>
          <w:szCs w:val="30"/>
        </w:rPr>
        <w:t>紫金矿业海外板块的产量和利润将全面超过国内</w:t>
      </w:r>
      <w:bookmarkEnd w:id="14"/>
    </w:p>
    <w:p>
      <w:pPr>
        <w:widowControl/>
        <w:wordWrap w:val="0"/>
        <w:spacing w:after="90" w:line="288" w:lineRule="auto"/>
        <w:ind w:firstLine="480"/>
        <w:jc w:val="left"/>
        <w:rPr>
          <w:rFonts w:hint="eastAsia" w:ascii="仿宋_GB2312" w:eastAsia="仿宋_GB2312" w:cs="仿宋_GB2312"/>
          <w:sz w:val="28"/>
          <w:szCs w:val="28"/>
          <w:lang w:val="en-US" w:eastAsia="zh-CN"/>
        </w:rPr>
      </w:pPr>
      <w:bookmarkStart w:id="15" w:name="_Toc2091386"/>
      <w:r>
        <w:rPr>
          <w:rFonts w:hint="eastAsia" w:ascii="仿宋_GB2312" w:eastAsia="仿宋_GB2312" w:cs="仿宋_GB2312"/>
          <w:sz w:val="28"/>
          <w:szCs w:val="28"/>
          <w:lang w:val="en-US" w:eastAsia="zh-CN"/>
        </w:rPr>
        <w:t>2月22日，“闽企‘走出去’风险管理论坛”在福州举办。论坛旨在提升企业海外投资风险保障意识，引导企业更多参与‘一带一路’沿线国家建设。陈景河董事长应邀在论坛发表题为《“走出去”是中国企业实现可持续发展的重要选择》的演讲，分享了紫金矿业“走出去”的认识和体会。</w:t>
      </w:r>
    </w:p>
    <w:p>
      <w:pPr>
        <w:widowControl/>
        <w:wordWrap w:val="0"/>
        <w:spacing w:after="90" w:line="288" w:lineRule="auto"/>
        <w:ind w:firstLine="480"/>
        <w:jc w:val="left"/>
        <w:rPr>
          <w:rFonts w:hint="eastAsia" w:ascii="仿宋_GB2312" w:eastAsia="仿宋_GB2312" w:cs="仿宋_GB2312"/>
          <w:sz w:val="28"/>
          <w:szCs w:val="28"/>
          <w:lang w:val="en-US" w:eastAsia="zh-CN"/>
        </w:rPr>
      </w:pPr>
      <w:r>
        <w:rPr>
          <w:rFonts w:hint="default" w:ascii="仿宋_GB2312" w:eastAsia="仿宋_GB2312" w:cs="仿宋_GB2312"/>
          <w:sz w:val="28"/>
          <w:szCs w:val="28"/>
          <w:lang w:val="en-US" w:eastAsia="zh-CN"/>
        </w:rPr>
        <w:t>陈景河指出，“一带一路”沿线国家蕴含无限商机，国家在政策方面给予了企业“走出去”大量支持。紫金矿业过去25年发展的一条基本经验，就是紧密与国家号召保持步调一致，在主动融入、践行中，实现企业跨越式发展。因此，顺应国家发展倡议，是我们未来发展的重要方向，也是我们取得成功的重要因素。</w:t>
      </w:r>
    </w:p>
    <w:p>
      <w:pPr>
        <w:widowControl/>
        <w:wordWrap w:val="0"/>
        <w:spacing w:after="90" w:line="288" w:lineRule="auto"/>
        <w:ind w:firstLine="480"/>
        <w:jc w:val="left"/>
        <w:rPr>
          <w:rFonts w:hint="eastAsia" w:ascii="仿宋_GB2312" w:eastAsia="仿宋_GB2312" w:cs="仿宋_GB2312"/>
          <w:sz w:val="28"/>
          <w:szCs w:val="28"/>
          <w:lang w:val="en-US" w:eastAsia="zh-CN"/>
        </w:rPr>
      </w:pPr>
      <w:r>
        <w:rPr>
          <w:rFonts w:hint="default" w:ascii="仿宋_GB2312" w:eastAsia="仿宋_GB2312" w:cs="仿宋_GB2312"/>
          <w:sz w:val="28"/>
          <w:szCs w:val="28"/>
          <w:lang w:val="en-US" w:eastAsia="zh-CN"/>
        </w:rPr>
        <w:t>陈景河介绍了紫金矿业实施“走出去”战略的重要经验。近年来，紫金矿业抓住机遇，在前几年金属价格非常低迷的时候，实现了领先于行业同期水平的快速发展。不久的将来，紫金矿业海外板块的产量和利润将全面超过国内，成为真正意义上的大型跨国公司。</w:t>
      </w:r>
    </w:p>
    <w:p>
      <w:pPr>
        <w:widowControl/>
        <w:wordWrap w:val="0"/>
        <w:spacing w:after="90" w:line="288" w:lineRule="auto"/>
        <w:ind w:firstLine="480"/>
        <w:jc w:val="left"/>
        <w:rPr>
          <w:rFonts w:hint="eastAsia" w:ascii="仿宋_GB2312" w:eastAsia="仿宋_GB2312" w:cs="仿宋_GB2312"/>
          <w:sz w:val="28"/>
          <w:szCs w:val="28"/>
          <w:lang w:val="en-US" w:eastAsia="zh-CN"/>
        </w:rPr>
      </w:pPr>
      <w:r>
        <w:rPr>
          <w:rFonts w:hint="default" w:ascii="仿宋_GB2312" w:eastAsia="仿宋_GB2312" w:cs="仿宋_GB2312"/>
          <w:sz w:val="28"/>
          <w:szCs w:val="28"/>
          <w:lang w:val="en-US" w:eastAsia="zh-CN"/>
        </w:rPr>
        <w:t>陈景河指出，创新精神和技术能力是紫金矿业发展的关键。紫金矿业拥有全国黄金行业唯一一家国家重点实验室，自主研发能力和国际先进企业相比毫不逊色，甚至还有一定的比较优势，这些为紫金矿业“走出去”创造了有利的条件。紫金矿业“走出去”具有五点体会：一是要不断发现和创造比较优势，企业才能实现持续发展;二是市场化企业要有主动进取的精神，通过不断创新攀越新的高度;三是中国人勤奋、聪明，非常适合做矿业，只要我们具备基本实力和掌握核心技术，严格遵守所在国的法规和习俗，坚守道德底线，加上科学决策和合理运营，成功的概率非常大。四是要把中国和企业的优秀文化与当地实际良好结合，秉承共同发展理念，就能够得到各方面的理解和支持;五是树立技术自信，借鉴西方先进管理经验，但绝不盲从;树立能力自信，不卑不亢，稳扎稳打走好每一步。</w:t>
      </w:r>
    </w:p>
    <w:p>
      <w:pPr>
        <w:widowControl/>
        <w:wordWrap w:val="0"/>
        <w:spacing w:after="90" w:line="288" w:lineRule="auto"/>
        <w:ind w:firstLine="480"/>
        <w:jc w:val="left"/>
        <w:rPr>
          <w:rFonts w:hint="eastAsia" w:ascii="仿宋_GB2312" w:eastAsia="仿宋_GB2312" w:cs="仿宋_GB2312"/>
          <w:sz w:val="28"/>
          <w:szCs w:val="28"/>
          <w:lang w:val="en-US" w:eastAsia="zh-CN"/>
        </w:rPr>
      </w:pPr>
      <w:r>
        <w:rPr>
          <w:rFonts w:hint="default" w:ascii="仿宋_GB2312" w:eastAsia="仿宋_GB2312" w:cs="仿宋_GB2312"/>
          <w:sz w:val="28"/>
          <w:szCs w:val="28"/>
          <w:lang w:val="en-US" w:eastAsia="zh-CN"/>
        </w:rPr>
        <w:t>陈景河最后对中国企业“走出去”表达了充分的信心。</w:t>
      </w:r>
    </w:p>
    <w:p>
      <w:pPr>
        <w:widowControl/>
        <w:wordWrap w:val="0"/>
        <w:spacing w:after="90" w:line="288" w:lineRule="auto"/>
        <w:ind w:firstLine="480"/>
        <w:jc w:val="left"/>
        <w:rPr>
          <w:rFonts w:hint="default" w:ascii="仿宋_GB2312" w:eastAsia="仿宋_GB2312" w:cs="仿宋_GB2312"/>
          <w:sz w:val="28"/>
          <w:szCs w:val="28"/>
          <w:lang w:val="en-US" w:eastAsia="zh-CN"/>
        </w:rPr>
      </w:pPr>
      <w:r>
        <w:rPr>
          <w:rFonts w:hint="default" w:ascii="仿宋_GB2312" w:eastAsia="仿宋_GB2312" w:cs="仿宋_GB2312"/>
          <w:sz w:val="28"/>
          <w:szCs w:val="28"/>
          <w:lang w:val="en-US" w:eastAsia="zh-CN"/>
        </w:rPr>
        <w:t>福建省副省长郑新聪、副秘书长詹志洁、商务厅厅长吴南翔等150多位政府和企业界人士出席了本次论坛。</w:t>
      </w:r>
    </w:p>
    <w:p>
      <w:pPr>
        <w:widowControl/>
        <w:wordWrap w:val="0"/>
        <w:spacing w:after="90" w:line="288" w:lineRule="auto"/>
        <w:ind w:firstLine="480"/>
        <w:jc w:val="left"/>
        <w:rPr>
          <w:rFonts w:hint="eastAsia" w:ascii="仿宋_GB2312" w:eastAsia="仿宋_GB2312" w:cs="仿宋_GB2312"/>
          <w:sz w:val="28"/>
          <w:szCs w:val="28"/>
          <w:lang w:val="en-US" w:eastAsia="zh-CN"/>
        </w:rPr>
      </w:pPr>
    </w:p>
    <w:bookmarkEnd w:id="15"/>
    <w:p>
      <w:pPr>
        <w:widowControl/>
        <w:jc w:val="left"/>
        <w:outlineLvl w:val="1"/>
        <w:rPr>
          <w:rFonts w:hint="eastAsia" w:ascii="宋体" w:hAnsi="宋体" w:cs="宋体"/>
          <w:b/>
          <w:bCs/>
          <w:kern w:val="0"/>
          <w:sz w:val="30"/>
          <w:szCs w:val="30"/>
        </w:rPr>
      </w:pPr>
      <w:bookmarkStart w:id="16" w:name="_Toc18916"/>
      <w:r>
        <w:rPr>
          <w:rFonts w:hint="eastAsia" w:ascii="宋体" w:hAnsi="宋体" w:cs="宋体"/>
          <w:b/>
          <w:bCs/>
          <w:kern w:val="0"/>
          <w:sz w:val="30"/>
          <w:szCs w:val="30"/>
        </w:rPr>
        <w:t>六大要素已“配齐” 天津开启新一轮治污攻坚战</w:t>
      </w:r>
      <w:bookmarkEnd w:id="16"/>
    </w:p>
    <w:p>
      <w:pPr>
        <w:widowControl/>
        <w:wordWrap w:val="0"/>
        <w:spacing w:after="90" w:line="288" w:lineRule="auto"/>
        <w:ind w:firstLine="480"/>
        <w:jc w:val="left"/>
        <w:rPr>
          <w:rFonts w:hint="default" w:ascii="仿宋_GB2312" w:eastAsia="仿宋_GB2312" w:cs="仿宋_GB2312"/>
          <w:sz w:val="28"/>
          <w:szCs w:val="28"/>
          <w:lang w:val="en-US" w:eastAsia="zh-CN"/>
        </w:rPr>
      </w:pPr>
      <w:r>
        <w:rPr>
          <w:rFonts w:hint="default" w:ascii="仿宋_GB2312" w:eastAsia="仿宋_GB2312" w:cs="仿宋_GB2312"/>
          <w:sz w:val="28"/>
          <w:szCs w:val="28"/>
          <w:lang w:val="en-US" w:eastAsia="zh-CN"/>
        </w:rPr>
        <w:t>为了守护“碧水蓝天”，《天津市生态环境保护条例》已于3月1日起正式实施。而这也意味着，天津将实施更严格的生态环保标准和管理措施。这其中包括限制高污染项目，将环境治理真正纳入到生态治理之中。</w:t>
      </w:r>
    </w:p>
    <w:p>
      <w:pPr>
        <w:widowControl/>
        <w:wordWrap w:val="0"/>
        <w:spacing w:after="90" w:line="288" w:lineRule="auto"/>
        <w:ind w:firstLine="480"/>
        <w:jc w:val="left"/>
        <w:rPr>
          <w:rFonts w:hint="default" w:ascii="仿宋_GB2312" w:eastAsia="仿宋_GB2312" w:cs="仿宋_GB2312"/>
          <w:sz w:val="28"/>
          <w:szCs w:val="28"/>
          <w:lang w:val="en-US" w:eastAsia="zh-CN"/>
        </w:rPr>
      </w:pPr>
      <w:r>
        <w:rPr>
          <w:rFonts w:hint="default" w:ascii="仿宋_GB2312" w:eastAsia="仿宋_GB2312" w:cs="仿宋_GB2312"/>
          <w:sz w:val="28"/>
          <w:szCs w:val="28"/>
          <w:lang w:val="en-US" w:eastAsia="zh-CN"/>
        </w:rPr>
        <w:t>2019年3月1日起，《天津市生态环境保护条例》(下文简称《条例》)将正式实施。作为国内首部省级生态环境保护地方性法规，《条例》涉及总则、监督管理、保护和改善生态环境、防治污染和其他公害、信息公开和公众参与、区域污染协同防治、法律责任和附则，共八章分为84条。</w:t>
      </w:r>
    </w:p>
    <w:p>
      <w:pPr>
        <w:widowControl/>
        <w:wordWrap w:val="0"/>
        <w:spacing w:after="90" w:line="288" w:lineRule="auto"/>
        <w:ind w:firstLine="480"/>
        <w:jc w:val="left"/>
        <w:rPr>
          <w:rFonts w:hint="default" w:ascii="仿宋_GB2312" w:eastAsia="仿宋_GB2312" w:cs="仿宋_GB2312"/>
          <w:sz w:val="28"/>
          <w:szCs w:val="28"/>
          <w:lang w:val="en-US" w:eastAsia="zh-CN"/>
        </w:rPr>
      </w:pPr>
      <w:r>
        <w:rPr>
          <w:rFonts w:hint="default" w:ascii="仿宋_GB2312" w:eastAsia="仿宋_GB2312" w:cs="仿宋_GB2312"/>
          <w:sz w:val="28"/>
          <w:szCs w:val="28"/>
          <w:lang w:val="en-US" w:eastAsia="zh-CN"/>
        </w:rPr>
        <w:t>强化源头防控，盯牢各类环境污染要素治理成为此次《条例》亮点。在加强水环境保护方面，预防、控制和减少工业废水、城镇和农村污水、农业种植养殖对地表水体、地下水体和海域的污染，改善水环境质量。其中，优先保护饮用水水源，加强对引滦入津、南水北调及其他水源保护，按照国家有关规定划定饮用水水源保护区，实</w:t>
      </w:r>
    </w:p>
    <w:p>
      <w:pPr>
        <w:widowControl/>
        <w:wordWrap w:val="0"/>
        <w:spacing w:after="90" w:line="288" w:lineRule="auto"/>
        <w:ind w:firstLine="480"/>
        <w:jc w:val="left"/>
        <w:rPr>
          <w:rFonts w:hint="default" w:ascii="仿宋_GB2312" w:eastAsia="仿宋_GB2312" w:cs="仿宋_GB2312"/>
          <w:sz w:val="28"/>
          <w:szCs w:val="28"/>
          <w:lang w:val="en-US" w:eastAsia="zh-CN"/>
        </w:rPr>
      </w:pPr>
      <w:r>
        <w:rPr>
          <w:rFonts w:hint="default" w:ascii="仿宋_GB2312" w:eastAsia="仿宋_GB2312" w:cs="仿宋_GB2312"/>
          <w:sz w:val="28"/>
          <w:szCs w:val="28"/>
          <w:lang w:val="en-US" w:eastAsia="zh-CN"/>
        </w:rPr>
        <w:t>就大气污染防治而言，加强与北京市、河北省及周边地区的污染防治科研合作，组织开展环境污染成因、溯源和污染防治政策、标准、措施等重大问题的联合科研，开展区域性、流域性生态环境问题研究，推进节能减排、污染排放、产业准入和退出等方面环境标准的统一。严格执行国家产业政策和准入标准，实行生态环境准入清单制度，禁止新建、扩建高污染项目。</w:t>
      </w:r>
    </w:p>
    <w:p>
      <w:pPr>
        <w:widowControl/>
        <w:wordWrap w:val="0"/>
        <w:spacing w:after="90" w:line="288" w:lineRule="auto"/>
        <w:ind w:firstLine="480"/>
        <w:jc w:val="left"/>
        <w:rPr>
          <w:rFonts w:hint="default" w:ascii="仿宋_GB2312" w:eastAsia="仿宋_GB2312" w:cs="仿宋_GB2312"/>
          <w:sz w:val="28"/>
          <w:szCs w:val="28"/>
          <w:lang w:val="en-US" w:eastAsia="zh-CN"/>
        </w:rPr>
      </w:pPr>
      <w:r>
        <w:rPr>
          <w:rFonts w:hint="default" w:ascii="仿宋_GB2312" w:eastAsia="仿宋_GB2312" w:cs="仿宋_GB2312"/>
          <w:sz w:val="28"/>
          <w:szCs w:val="28"/>
          <w:lang w:val="en-US" w:eastAsia="zh-CN"/>
        </w:rPr>
        <w:t>在生态环境修复方面，加强土壤环境保护，开展土壤污染的预防、风险管控和修复工作，重点保护未污染土壤，推动土壤资源永续利用。在噪声污染控制方面，预防和治理工业生产、建筑施工、交通运输和社会生活中所产生的环境噪声污染，保护和改善生活、生产环境，保障人体健康。在禁止区域使用高排放非道路移动机械的，由生态环境主管部门责令改正，并处五万元以上二十万元以下的罚款。</w:t>
      </w:r>
    </w:p>
    <w:p>
      <w:pPr>
        <w:widowControl/>
        <w:wordWrap w:val="0"/>
        <w:spacing w:after="90" w:line="288" w:lineRule="auto"/>
        <w:ind w:firstLine="480"/>
        <w:jc w:val="left"/>
        <w:rPr>
          <w:rFonts w:hint="default" w:ascii="仿宋_GB2312" w:eastAsia="仿宋_GB2312" w:cs="仿宋_GB2312"/>
          <w:sz w:val="28"/>
          <w:szCs w:val="28"/>
          <w:lang w:val="en-US" w:eastAsia="zh-CN"/>
        </w:rPr>
      </w:pPr>
      <w:r>
        <w:rPr>
          <w:rFonts w:hint="default" w:ascii="仿宋_GB2312" w:eastAsia="仿宋_GB2312" w:cs="仿宋_GB2312"/>
          <w:sz w:val="28"/>
          <w:szCs w:val="28"/>
          <w:lang w:val="en-US" w:eastAsia="zh-CN"/>
        </w:rPr>
        <w:t>在固体废弃物处置方面，禁止将不符合农用标准和环境保护标准的固体废物、废水施入农田。施用农药、化肥等农业投入品及进行灌溉，应当采取措施，防止重金属和其他有毒有害物质污染生态环境。排放污染物的企业事业单位应当建立生态环境保护责任制度，明确单位负责人和相关人员的责任。</w:t>
      </w:r>
    </w:p>
    <w:p>
      <w:pPr>
        <w:widowControl/>
        <w:wordWrap w:val="0"/>
        <w:spacing w:after="90" w:line="288" w:lineRule="auto"/>
        <w:ind w:firstLine="480"/>
        <w:jc w:val="left"/>
        <w:rPr>
          <w:rFonts w:hint="default" w:ascii="仿宋_GB2312" w:eastAsia="仿宋_GB2312" w:cs="仿宋_GB2312"/>
          <w:sz w:val="28"/>
          <w:szCs w:val="28"/>
          <w:lang w:val="en-US" w:eastAsia="zh-CN"/>
        </w:rPr>
      </w:pPr>
      <w:r>
        <w:rPr>
          <w:rFonts w:hint="default" w:ascii="仿宋_GB2312" w:eastAsia="仿宋_GB2312" w:cs="仿宋_GB2312"/>
          <w:sz w:val="28"/>
          <w:szCs w:val="28"/>
          <w:lang w:val="en-US" w:eastAsia="zh-CN"/>
        </w:rPr>
        <w:t>这其中，危废处理成了重中之重。具体来看，《条例》明确提出，产生危险废物的单位，应当按照国家有关规定制定危险废物管理计划，并报所在地的区生态环境主管部门备案。向所在地的区生态环境主管部门申报危险废物的种类、产生量、流向、贮存、利用、处置等有关资料。此外，产生危险废物的单位应当如实填写危险废物台账，台账应当至少保存五年。未如实填写危险废物台账，或者未按照规定保存危险废物台账的，由生态环境主管部门责令改正，并处五万元以上二十万元以下的罚款。</w:t>
      </w:r>
    </w:p>
    <w:p>
      <w:pPr>
        <w:widowControl/>
        <w:wordWrap w:val="0"/>
        <w:spacing w:after="90" w:line="288" w:lineRule="auto"/>
        <w:ind w:firstLine="480"/>
        <w:jc w:val="left"/>
        <w:rPr>
          <w:rFonts w:hint="default" w:ascii="仿宋_GB2312" w:eastAsia="仿宋_GB2312" w:cs="仿宋_GB2312"/>
          <w:sz w:val="28"/>
          <w:szCs w:val="28"/>
          <w:lang w:val="en-US" w:eastAsia="zh-CN"/>
        </w:rPr>
      </w:pPr>
      <w:r>
        <w:rPr>
          <w:rFonts w:hint="default" w:ascii="仿宋_GB2312" w:eastAsia="仿宋_GB2312" w:cs="仿宋_GB2312"/>
          <w:sz w:val="28"/>
          <w:szCs w:val="28"/>
          <w:lang w:val="en-US" w:eastAsia="zh-CN"/>
        </w:rPr>
        <w:t>在监督管理方面，建立、健全环境资源承载能力监测预警机制和监测数据共享机制，依法加强对生态环境监测工作的监督管理。重点排污单位应当按照国家和本市有关规定安装自动监测设备并组织验收。自动监测设备应当与生态环境主管部门的监控设备联网，并保证正常运行。污染防治设施因异常情况影响处理效果或者因故障、不可抗力等紧急情况停运，未停运排放相应污染物的生产设施、未采取应急措施或者未按照规定报告的，由生态环境主管部门责令改正，并处一万元以上十万元以下的罚款。</w:t>
      </w:r>
    </w:p>
    <w:p>
      <w:pPr>
        <w:widowControl/>
        <w:wordWrap w:val="0"/>
        <w:spacing w:after="90" w:line="288" w:lineRule="auto"/>
        <w:ind w:firstLine="480"/>
        <w:jc w:val="left"/>
        <w:rPr>
          <w:rFonts w:hint="default" w:ascii="仿宋_GB2312" w:eastAsia="仿宋_GB2312" w:cs="仿宋_GB2312"/>
          <w:sz w:val="28"/>
          <w:szCs w:val="28"/>
          <w:lang w:val="en-US" w:eastAsia="zh-CN"/>
        </w:rPr>
      </w:pPr>
      <w:r>
        <w:rPr>
          <w:rFonts w:hint="default" w:ascii="仿宋_GB2312" w:eastAsia="仿宋_GB2312" w:cs="仿宋_GB2312"/>
          <w:sz w:val="28"/>
          <w:szCs w:val="28"/>
          <w:lang w:val="en-US" w:eastAsia="zh-CN"/>
        </w:rPr>
        <w:t>而在区域联防联治方面，与北京市、河北省及周边地区建立污染防治联动协作机制，定期协商区域污染防治重大事项，开展生态环境保护联合检查、联动执法，共同做好区域污染治理和生态环境保护工作。诚如就水生态环境治理而言，建立、健全与北京市、河北省及周边地区的跨区域、跨流域横向生态保护补偿机制，共同推进区域协调发展。</w:t>
      </w:r>
    </w:p>
    <w:p>
      <w:pPr>
        <w:widowControl/>
        <w:wordWrap w:val="0"/>
        <w:spacing w:after="90" w:line="288" w:lineRule="auto"/>
        <w:jc w:val="left"/>
        <w:rPr>
          <w:rFonts w:hint="eastAsia" w:ascii="宋体" w:hAnsi="宋体" w:cs="宋体"/>
          <w:b/>
          <w:bCs/>
          <w:kern w:val="0"/>
          <w:sz w:val="30"/>
          <w:szCs w:val="30"/>
        </w:rPr>
      </w:pPr>
    </w:p>
    <w:p>
      <w:pPr>
        <w:widowControl/>
        <w:jc w:val="left"/>
        <w:outlineLvl w:val="1"/>
        <w:rPr>
          <w:rFonts w:hint="eastAsia" w:ascii="宋体" w:hAnsi="宋体" w:cs="宋体"/>
          <w:b/>
          <w:bCs/>
          <w:kern w:val="0"/>
          <w:sz w:val="30"/>
          <w:szCs w:val="30"/>
        </w:rPr>
      </w:pPr>
      <w:bookmarkStart w:id="17" w:name="_Toc2996"/>
      <w:r>
        <w:rPr>
          <w:rFonts w:hint="eastAsia" w:ascii="宋体" w:hAnsi="宋体" w:cs="宋体"/>
          <w:b/>
          <w:bCs/>
          <w:kern w:val="0"/>
          <w:sz w:val="30"/>
          <w:szCs w:val="30"/>
        </w:rPr>
        <w:t>废旧铅蓄电池七成流入小作坊 张天任代表：尽快将回收处置纳入制度化轨道</w:t>
      </w:r>
      <w:bookmarkEnd w:id="17"/>
    </w:p>
    <w:p>
      <w:pPr>
        <w:widowControl/>
        <w:wordWrap w:val="0"/>
        <w:spacing w:after="90" w:line="288" w:lineRule="auto"/>
        <w:ind w:firstLine="480"/>
        <w:jc w:val="left"/>
        <w:rPr>
          <w:rFonts w:hint="default" w:ascii="仿宋_GB2312" w:eastAsia="仿宋_GB2312" w:cs="仿宋_GB2312"/>
          <w:sz w:val="28"/>
          <w:szCs w:val="28"/>
          <w:lang w:val="en-US" w:eastAsia="zh-CN"/>
        </w:rPr>
      </w:pPr>
      <w:bookmarkStart w:id="18" w:name="_Toc2091388"/>
      <w:r>
        <w:rPr>
          <w:rFonts w:hint="default" w:ascii="仿宋_GB2312" w:eastAsia="仿宋_GB2312" w:cs="仿宋_GB2312"/>
          <w:sz w:val="28"/>
          <w:szCs w:val="28"/>
          <w:lang w:val="en-US" w:eastAsia="zh-CN"/>
        </w:rPr>
        <w:t>“加强废旧铅蓄电池的回收利用，对于发展循环经济、克服资源短缺对中国经济发展的制约具有重要意义。”在2019年全国两会上，十三届全国人大代表、天能集团董事局主席张天任建议加快构建废旧铅蓄电池的回收体系，促进生产者责任延伸制真正落地。</w:t>
      </w:r>
    </w:p>
    <w:p>
      <w:pPr>
        <w:widowControl/>
        <w:wordWrap w:val="0"/>
        <w:spacing w:after="90" w:line="288" w:lineRule="auto"/>
        <w:ind w:firstLine="480"/>
        <w:jc w:val="left"/>
        <w:rPr>
          <w:rFonts w:hint="default" w:ascii="仿宋_GB2312" w:eastAsia="仿宋_GB2312" w:cs="仿宋_GB2312"/>
          <w:sz w:val="28"/>
          <w:szCs w:val="28"/>
          <w:lang w:val="en-US" w:eastAsia="zh-CN"/>
        </w:rPr>
      </w:pPr>
      <w:r>
        <w:rPr>
          <w:rFonts w:hint="default" w:ascii="仿宋_GB2312" w:eastAsia="仿宋_GB2312" w:cs="仿宋_GB2312"/>
          <w:sz w:val="28"/>
          <w:szCs w:val="28"/>
          <w:lang w:val="en-US" w:eastAsia="zh-CN"/>
        </w:rPr>
        <w:t>废旧铅蓄电池七成流入小作坊</w:t>
      </w:r>
    </w:p>
    <w:p>
      <w:pPr>
        <w:widowControl/>
        <w:wordWrap w:val="0"/>
        <w:spacing w:after="90" w:line="288" w:lineRule="auto"/>
        <w:ind w:firstLine="480"/>
        <w:jc w:val="left"/>
        <w:rPr>
          <w:rFonts w:hint="default" w:ascii="仿宋_GB2312" w:eastAsia="仿宋_GB2312" w:cs="仿宋_GB2312"/>
          <w:sz w:val="28"/>
          <w:szCs w:val="28"/>
          <w:lang w:val="en-US" w:eastAsia="zh-CN"/>
        </w:rPr>
      </w:pPr>
      <w:r>
        <w:rPr>
          <w:rFonts w:hint="default" w:ascii="仿宋_GB2312" w:eastAsia="仿宋_GB2312" w:cs="仿宋_GB2312"/>
          <w:sz w:val="28"/>
          <w:szCs w:val="28"/>
          <w:lang w:val="en-US" w:eastAsia="zh-CN"/>
        </w:rPr>
        <w:t>近年来，我国铅蓄电池和再生铅行业快速发展，中国已成为全球最大的铅蓄电池生产国和消费国。生态环境部的通报显示，2017年，我国铅蓄电池产量超过全球总产量的40%。</w:t>
      </w:r>
    </w:p>
    <w:p>
      <w:pPr>
        <w:widowControl/>
        <w:wordWrap w:val="0"/>
        <w:spacing w:after="90" w:line="288" w:lineRule="auto"/>
        <w:ind w:firstLine="480"/>
        <w:jc w:val="left"/>
        <w:rPr>
          <w:rFonts w:hint="default" w:ascii="仿宋_GB2312" w:eastAsia="仿宋_GB2312" w:cs="仿宋_GB2312"/>
          <w:sz w:val="28"/>
          <w:szCs w:val="28"/>
          <w:lang w:val="en-US" w:eastAsia="zh-CN"/>
        </w:rPr>
      </w:pPr>
      <w:r>
        <w:rPr>
          <w:rFonts w:hint="default" w:ascii="仿宋_GB2312" w:eastAsia="仿宋_GB2312" w:cs="仿宋_GB2312"/>
          <w:sz w:val="28"/>
          <w:szCs w:val="28"/>
          <w:lang w:val="en-US" w:eastAsia="zh-CN"/>
        </w:rPr>
        <w:t>“铅蓄电池在生产制造过程中的环境污染可防可治可控，但在非法回收处置环节的污染形势严重。”据铅蓄电池龙头企业天能集团董事局主席张天任介绍，每年我国约有1.98亿只、重量超过500万吨的铅蓄电池报废。其中由正规渠道回收、规范冶炼的仅为三成，而通过“地下产业链”进行回收处理的占到了七成。</w:t>
      </w:r>
    </w:p>
    <w:p>
      <w:pPr>
        <w:widowControl/>
        <w:wordWrap w:val="0"/>
        <w:spacing w:after="90" w:line="288" w:lineRule="auto"/>
        <w:ind w:firstLine="480"/>
        <w:jc w:val="left"/>
        <w:rPr>
          <w:rFonts w:hint="default" w:ascii="仿宋_GB2312" w:eastAsia="仿宋_GB2312" w:cs="仿宋_GB2312"/>
          <w:sz w:val="28"/>
          <w:szCs w:val="28"/>
          <w:lang w:val="en-US" w:eastAsia="zh-CN"/>
        </w:rPr>
      </w:pPr>
      <w:r>
        <w:rPr>
          <w:rFonts w:hint="default" w:ascii="仿宋_GB2312" w:eastAsia="仿宋_GB2312" w:cs="仿宋_GB2312"/>
          <w:sz w:val="28"/>
          <w:szCs w:val="28"/>
          <w:lang w:val="en-US" w:eastAsia="zh-CN"/>
        </w:rPr>
        <w:t>张天任调研发现，一些小商小贩走街串巷违规收购，简单破碎后，将铅板出售给无资质的小作坊、小冶炼厂。但小冶炼厂缺少甚至没有环保设施，随便支一口锅就可冶炼，电池随意拆解、酸液随意倾倒、铅尘随意排放、铅渣随意处理。这不仅对大气、土壤和水体造成污染，还危害人类健康。此外，小冶炼厂由于工艺落后，铅回收率不足70%，每年所造成的铅流失约为70万吨左右，浪费了宝贵的矿产资源。</w:t>
      </w:r>
    </w:p>
    <w:p>
      <w:pPr>
        <w:widowControl/>
        <w:wordWrap w:val="0"/>
        <w:spacing w:after="90" w:line="288" w:lineRule="auto"/>
        <w:ind w:firstLine="480"/>
        <w:jc w:val="left"/>
        <w:rPr>
          <w:rFonts w:hint="default" w:ascii="仿宋_GB2312" w:eastAsia="仿宋_GB2312" w:cs="仿宋_GB2312"/>
          <w:sz w:val="28"/>
          <w:szCs w:val="28"/>
          <w:lang w:val="en-US" w:eastAsia="zh-CN"/>
        </w:rPr>
      </w:pPr>
      <w:r>
        <w:rPr>
          <w:rFonts w:hint="default" w:ascii="仿宋_GB2312" w:eastAsia="仿宋_GB2312" w:cs="仿宋_GB2312"/>
          <w:sz w:val="28"/>
          <w:szCs w:val="28"/>
          <w:lang w:val="en-US" w:eastAsia="zh-CN"/>
        </w:rPr>
        <w:t>财税有短板 网点建设难</w:t>
      </w:r>
    </w:p>
    <w:p>
      <w:pPr>
        <w:widowControl/>
        <w:wordWrap w:val="0"/>
        <w:spacing w:after="90" w:line="288" w:lineRule="auto"/>
        <w:ind w:firstLine="480"/>
        <w:jc w:val="left"/>
        <w:rPr>
          <w:rFonts w:hint="default" w:ascii="仿宋_GB2312" w:eastAsia="仿宋_GB2312" w:cs="仿宋_GB2312"/>
          <w:sz w:val="28"/>
          <w:szCs w:val="28"/>
          <w:lang w:val="en-US" w:eastAsia="zh-CN"/>
        </w:rPr>
      </w:pPr>
      <w:r>
        <w:rPr>
          <w:rFonts w:hint="default" w:ascii="仿宋_GB2312" w:eastAsia="仿宋_GB2312" w:cs="仿宋_GB2312"/>
          <w:sz w:val="28"/>
          <w:szCs w:val="28"/>
          <w:lang w:val="en-US" w:eastAsia="zh-CN"/>
        </w:rPr>
        <w:t>废旧铅蓄电池为何难回收?</w:t>
      </w:r>
    </w:p>
    <w:p>
      <w:pPr>
        <w:widowControl/>
        <w:wordWrap w:val="0"/>
        <w:spacing w:after="90" w:line="288" w:lineRule="auto"/>
        <w:ind w:firstLine="480"/>
        <w:jc w:val="left"/>
        <w:rPr>
          <w:rFonts w:hint="default" w:ascii="仿宋_GB2312" w:eastAsia="仿宋_GB2312" w:cs="仿宋_GB2312"/>
          <w:sz w:val="28"/>
          <w:szCs w:val="28"/>
          <w:lang w:val="en-US" w:eastAsia="zh-CN"/>
        </w:rPr>
      </w:pPr>
      <w:r>
        <w:rPr>
          <w:rFonts w:hint="default" w:ascii="仿宋_GB2312" w:eastAsia="仿宋_GB2312" w:cs="仿宋_GB2312"/>
          <w:sz w:val="28"/>
          <w:szCs w:val="28"/>
          <w:lang w:val="en-US" w:eastAsia="zh-CN"/>
        </w:rPr>
        <w:t>张天任认为，小冶炼厂收购废旧电池时不开增值税发票，具有成本优势，这是正规企业收不上电池、或者亏本收购的主要原因。同时，铅蓄电池生产企业的回收网点建设难、跨省转运难等因素，也使骨干电池制造企业“收不到”，或亏本收购;大型再生铅冶炼企业“吃不饱”，开工率不足五成，“正规军”干不过“散兵游勇”。</w:t>
      </w:r>
    </w:p>
    <w:p>
      <w:pPr>
        <w:widowControl/>
        <w:wordWrap w:val="0"/>
        <w:spacing w:after="90" w:line="288" w:lineRule="auto"/>
        <w:ind w:firstLine="480"/>
        <w:jc w:val="left"/>
        <w:rPr>
          <w:rFonts w:hint="default" w:ascii="仿宋_GB2312" w:eastAsia="仿宋_GB2312" w:cs="仿宋_GB2312"/>
          <w:sz w:val="28"/>
          <w:szCs w:val="28"/>
          <w:lang w:val="en-US" w:eastAsia="zh-CN"/>
        </w:rPr>
      </w:pPr>
      <w:r>
        <w:rPr>
          <w:rFonts w:hint="default" w:ascii="仿宋_GB2312" w:eastAsia="仿宋_GB2312" w:cs="仿宋_GB2312"/>
          <w:sz w:val="28"/>
          <w:szCs w:val="28"/>
          <w:lang w:val="en-US" w:eastAsia="zh-CN"/>
        </w:rPr>
        <w:t>为解决该问题，2017年1月3日印发的《国务院办公厅关于印发生产者责任延伸制度推行方案的通知》提出，鼓励铅蓄电池生产企业回收废旧电池，履行生产者责任延伸制度。</w:t>
      </w:r>
    </w:p>
    <w:p>
      <w:pPr>
        <w:widowControl/>
        <w:wordWrap w:val="0"/>
        <w:spacing w:after="90" w:line="288" w:lineRule="auto"/>
        <w:ind w:firstLine="480"/>
        <w:jc w:val="left"/>
        <w:rPr>
          <w:rFonts w:hint="default" w:ascii="仿宋_GB2312" w:eastAsia="仿宋_GB2312" w:cs="仿宋_GB2312"/>
          <w:sz w:val="28"/>
          <w:szCs w:val="28"/>
          <w:lang w:val="en-US" w:eastAsia="zh-CN"/>
        </w:rPr>
      </w:pPr>
      <w:r>
        <w:rPr>
          <w:rFonts w:hint="default" w:ascii="仿宋_GB2312" w:eastAsia="仿宋_GB2312" w:cs="仿宋_GB2312"/>
          <w:sz w:val="28"/>
          <w:szCs w:val="28"/>
          <w:lang w:val="en-US" w:eastAsia="zh-CN"/>
        </w:rPr>
        <w:t>2019年1月，生态环境部、发改委等9部门联合发布《废铅蓄电池污染防治行动方案》，将生产者责任延伸以及废铅蓄电池收集许可制度纳入法律调整范畴，表态将严打非法再生企业，并明确提出，到2020年，铅蓄电池生产企业的废铅蓄电池规范收集率要达到40%，到2025年达70%，规范收集的废铅蓄电池要全部安全利用处置。</w:t>
      </w:r>
    </w:p>
    <w:p>
      <w:pPr>
        <w:widowControl/>
        <w:wordWrap w:val="0"/>
        <w:spacing w:after="90" w:line="288" w:lineRule="auto"/>
        <w:ind w:firstLine="480"/>
        <w:jc w:val="left"/>
        <w:rPr>
          <w:rFonts w:hint="default" w:ascii="仿宋_GB2312" w:eastAsia="仿宋_GB2312" w:cs="仿宋_GB2312"/>
          <w:sz w:val="28"/>
          <w:szCs w:val="28"/>
          <w:lang w:val="en-US" w:eastAsia="zh-CN"/>
        </w:rPr>
      </w:pPr>
      <w:r>
        <w:rPr>
          <w:rFonts w:hint="default" w:ascii="仿宋_GB2312" w:eastAsia="仿宋_GB2312" w:cs="仿宋_GB2312"/>
          <w:sz w:val="28"/>
          <w:szCs w:val="28"/>
          <w:lang w:val="en-US" w:eastAsia="zh-CN"/>
        </w:rPr>
        <w:t>建议明确主管部门、严打非法再生企业</w:t>
      </w:r>
    </w:p>
    <w:p>
      <w:pPr>
        <w:widowControl/>
        <w:wordWrap w:val="0"/>
        <w:spacing w:after="90" w:line="288" w:lineRule="auto"/>
        <w:ind w:firstLine="480"/>
        <w:jc w:val="left"/>
        <w:rPr>
          <w:rFonts w:hint="default" w:ascii="仿宋_GB2312" w:eastAsia="仿宋_GB2312" w:cs="仿宋_GB2312"/>
          <w:sz w:val="28"/>
          <w:szCs w:val="28"/>
          <w:lang w:val="en-US" w:eastAsia="zh-CN"/>
        </w:rPr>
      </w:pPr>
      <w:r>
        <w:rPr>
          <w:rFonts w:hint="default" w:ascii="仿宋_GB2312" w:eastAsia="仿宋_GB2312" w:cs="仿宋_GB2312"/>
          <w:sz w:val="28"/>
          <w:szCs w:val="28"/>
          <w:lang w:val="en-US" w:eastAsia="zh-CN"/>
        </w:rPr>
        <w:t>为支持企业加速构建规范化的废旧电池回收体系，使国务院提出的生产者责任延伸制能真正落地，在2019年全国两 会上，张天任建议进一步明确回收处置的行政主管部门，成立专门管理机构;明确多渠道回收和集中处理制度;明确生产者、销售者、回收经营者、处置企业的责任;明确监督管理职责、处罚细则等，将回收处置纳入制度化轨道。</w:t>
      </w:r>
    </w:p>
    <w:p>
      <w:pPr>
        <w:widowControl/>
        <w:wordWrap w:val="0"/>
        <w:spacing w:after="90" w:line="288" w:lineRule="auto"/>
        <w:ind w:firstLine="480"/>
        <w:jc w:val="left"/>
        <w:rPr>
          <w:rFonts w:hint="default" w:ascii="仿宋_GB2312" w:eastAsia="仿宋_GB2312" w:cs="仿宋_GB2312"/>
          <w:sz w:val="28"/>
          <w:szCs w:val="28"/>
          <w:lang w:val="en-US" w:eastAsia="zh-CN"/>
        </w:rPr>
      </w:pPr>
      <w:r>
        <w:rPr>
          <w:rFonts w:hint="default" w:ascii="仿宋_GB2312" w:eastAsia="仿宋_GB2312" w:cs="仿宋_GB2312"/>
          <w:sz w:val="28"/>
          <w:szCs w:val="28"/>
          <w:lang w:val="en-US" w:eastAsia="zh-CN"/>
        </w:rPr>
        <w:t>同时，他建议对再生企业的增值税返还从目前的30%提高到50%，这样既体现为企业“降成本”中央精神，又有效增强了合法合规企业的竞争力，压缩非法回收处置企业的盈利空间，起到打击非法的作用。</w:t>
      </w:r>
    </w:p>
    <w:p>
      <w:pPr>
        <w:widowControl/>
        <w:wordWrap w:val="0"/>
        <w:spacing w:after="90" w:line="288" w:lineRule="auto"/>
        <w:ind w:firstLine="480"/>
        <w:jc w:val="left"/>
        <w:rPr>
          <w:rFonts w:hint="default" w:ascii="仿宋_GB2312" w:eastAsia="仿宋_GB2312" w:cs="仿宋_GB2312"/>
          <w:sz w:val="28"/>
          <w:szCs w:val="28"/>
          <w:lang w:val="en-US" w:eastAsia="zh-CN"/>
        </w:rPr>
      </w:pPr>
      <w:r>
        <w:rPr>
          <w:rFonts w:hint="default" w:ascii="仿宋_GB2312" w:eastAsia="仿宋_GB2312" w:cs="仿宋_GB2312"/>
          <w:sz w:val="28"/>
          <w:szCs w:val="28"/>
          <w:lang w:val="en-US" w:eastAsia="zh-CN"/>
        </w:rPr>
        <w:t>在废旧电池的跨省运输方面，张天任建议在确保环境安全的前提下，根据废旧铅蓄电池的特点，在回收、贮存、转运等环节，简化审批流程，实施“一站式”审批，提高转运效率。</w:t>
      </w:r>
    </w:p>
    <w:p>
      <w:pPr>
        <w:widowControl/>
        <w:wordWrap w:val="0"/>
        <w:spacing w:after="90" w:line="288" w:lineRule="auto"/>
        <w:ind w:firstLine="480"/>
        <w:jc w:val="left"/>
        <w:rPr>
          <w:rFonts w:hint="default" w:ascii="仿宋_GB2312" w:eastAsia="仿宋_GB2312" w:cs="仿宋_GB2312"/>
          <w:sz w:val="28"/>
          <w:szCs w:val="28"/>
          <w:lang w:val="en-US" w:eastAsia="zh-CN"/>
        </w:rPr>
      </w:pPr>
      <w:r>
        <w:rPr>
          <w:rFonts w:hint="default" w:ascii="仿宋_GB2312" w:eastAsia="仿宋_GB2312" w:cs="仿宋_GB2312"/>
          <w:sz w:val="28"/>
          <w:szCs w:val="28"/>
          <w:lang w:val="en-US" w:eastAsia="zh-CN"/>
        </w:rPr>
        <w:t>最后，他建议加强联合执法，严打非法再生企业，坚决取缔未经环保审批擅自建设的小再生铅炼厂，建立长效机制，防止“死灰复燃”;发挥公众监督作用，设立举报奖励机制，举报一起查处一起;加大消费者教育，使全民树立节约资源、保护环境的观念，自觉抵制废旧铅蓄电池处置再生过程中的污染。</w:t>
      </w:r>
    </w:p>
    <w:p>
      <w:pPr>
        <w:widowControl/>
        <w:wordWrap w:val="0"/>
        <w:spacing w:after="90" w:line="288" w:lineRule="auto"/>
        <w:ind w:firstLine="480"/>
        <w:jc w:val="left"/>
        <w:rPr>
          <w:rFonts w:hint="default" w:ascii="仿宋_GB2312" w:eastAsia="仿宋_GB2312" w:cs="仿宋_GB2312"/>
          <w:sz w:val="28"/>
          <w:szCs w:val="28"/>
          <w:lang w:val="en-US" w:eastAsia="zh-CN"/>
        </w:rPr>
      </w:pPr>
    </w:p>
    <w:bookmarkEnd w:id="18"/>
    <w:p>
      <w:pPr>
        <w:widowControl/>
        <w:jc w:val="left"/>
        <w:outlineLvl w:val="1"/>
        <w:rPr>
          <w:rFonts w:hint="eastAsia" w:ascii="宋体" w:hAnsi="宋体" w:cs="宋体"/>
          <w:b/>
          <w:bCs/>
          <w:kern w:val="0"/>
          <w:sz w:val="30"/>
          <w:szCs w:val="30"/>
        </w:rPr>
      </w:pPr>
      <w:bookmarkStart w:id="19" w:name="_Toc14879"/>
      <w:r>
        <w:rPr>
          <w:rFonts w:hint="eastAsia" w:ascii="宋体" w:hAnsi="宋体" w:cs="宋体"/>
          <w:b/>
          <w:bCs/>
          <w:kern w:val="0"/>
          <w:sz w:val="30"/>
          <w:szCs w:val="30"/>
        </w:rPr>
        <w:t>江西省矿山救护总队强化“两会”期间安全维稳和应急战备值守</w:t>
      </w:r>
      <w:bookmarkEnd w:id="19"/>
    </w:p>
    <w:p>
      <w:pPr>
        <w:pStyle w:val="18"/>
        <w:spacing w:before="0" w:beforeAutospacing="0" w:after="0" w:afterAutospacing="0" w:line="360" w:lineRule="atLeast"/>
        <w:ind w:firstLine="480"/>
        <w:rPr>
          <w:rFonts w:hint="eastAsia" w:ascii="仿宋_GB2312" w:hAnsi="Calibri" w:eastAsia="仿宋_GB2312" w:cs="仿宋_GB2312"/>
          <w:kern w:val="2"/>
          <w:sz w:val="28"/>
          <w:szCs w:val="28"/>
        </w:rPr>
      </w:pPr>
      <w:r>
        <w:rPr>
          <w:rFonts w:hint="eastAsia" w:ascii="仿宋_GB2312" w:hAnsi="Calibri" w:eastAsia="仿宋_GB2312" w:cs="仿宋_GB2312"/>
          <w:kern w:val="2"/>
          <w:sz w:val="28"/>
          <w:szCs w:val="28"/>
        </w:rPr>
        <w:t>全国“两会”将至，为扎实做好重大节日和敏感时期的应急管理工作，及时有效预防和应对各类突发事件，当好党和人民的“守夜人”，江西省矿山救护总队不忘战备，提前谋划，不断强化措施，筑牢应急管理最后一道防线，积极做好“两会”期间的安全维稳和应急管理工作。 一是做好“两会”期间的安全维稳工作。会议强调，要高度重视切实把做好“两会”期间信访稳定工作摆上重要议事日程，牢固树立“稳定压倒一切”的责任意识，增强做好稳定工作的责任感和紧迫感;加大矛盾排查化解和重点人员管控工作，坚持值班守护，稳控到位，对极端人员采取“一对一”稳控方式，确保无进京上访和非正常上访等行为的发生，确保“两会”期间持续稳定。</w:t>
      </w:r>
    </w:p>
    <w:p>
      <w:pPr>
        <w:pStyle w:val="18"/>
        <w:spacing w:before="0" w:beforeAutospacing="0" w:after="0" w:afterAutospacing="0" w:line="360" w:lineRule="atLeast"/>
        <w:ind w:firstLine="480"/>
        <w:rPr>
          <w:rFonts w:hint="eastAsia" w:ascii="仿宋_GB2312" w:hAnsi="Calibri" w:eastAsia="仿宋_GB2312" w:cs="仿宋_GB2312"/>
          <w:kern w:val="2"/>
          <w:sz w:val="28"/>
          <w:szCs w:val="28"/>
        </w:rPr>
      </w:pPr>
      <w:r>
        <w:rPr>
          <w:rFonts w:hint="default" w:ascii="仿宋_GB2312" w:hAnsi="Calibri" w:eastAsia="仿宋_GB2312" w:cs="仿宋_GB2312"/>
          <w:kern w:val="2"/>
          <w:sz w:val="28"/>
          <w:szCs w:val="28"/>
        </w:rPr>
        <w:t>二是全面落实值班值守工作。高度重视全国“两会”期间值守工作，切实加强组织领导，提前对值班工作进行安排，确保值班工作规范高效有序，将值班注意事项和信息上报工作要求落实到每一个值班人员，严格执行领导干部到岗带班、实行24小时无缝衔接值班制度。</w:t>
      </w:r>
    </w:p>
    <w:p>
      <w:pPr>
        <w:pStyle w:val="18"/>
        <w:spacing w:before="0" w:beforeAutospacing="0" w:after="0" w:afterAutospacing="0" w:line="360" w:lineRule="atLeast"/>
        <w:ind w:firstLine="480"/>
        <w:rPr>
          <w:rFonts w:hint="eastAsia" w:ascii="仿宋_GB2312" w:hAnsi="Calibri" w:eastAsia="仿宋_GB2312" w:cs="仿宋_GB2312"/>
          <w:kern w:val="2"/>
          <w:sz w:val="28"/>
          <w:szCs w:val="28"/>
        </w:rPr>
      </w:pPr>
      <w:r>
        <w:rPr>
          <w:rFonts w:hint="default" w:ascii="仿宋_GB2312" w:hAnsi="Calibri" w:eastAsia="仿宋_GB2312" w:cs="仿宋_GB2312"/>
          <w:kern w:val="2"/>
          <w:sz w:val="28"/>
          <w:szCs w:val="28"/>
        </w:rPr>
        <w:t>三是积极做好应急战备保障工作。根据《省能源集团关于切实加强全国“两会”期间安全生产工作的紧急通知》和江西省安全生产应急救援指挥中心《关于全省骨干安全生产应急救援队伍进入应急值守状态的函》，要求各大队要针对重大节假日和敏感时期，检查应急救援队伍预案、人员、装备等是否在位和处于战备状态。</w:t>
      </w:r>
    </w:p>
    <w:p>
      <w:pPr>
        <w:pStyle w:val="18"/>
        <w:spacing w:before="0" w:beforeAutospacing="0" w:after="0" w:afterAutospacing="0" w:line="360" w:lineRule="atLeast"/>
        <w:ind w:firstLine="480"/>
        <w:rPr>
          <w:rFonts w:hint="default" w:ascii="仿宋_GB2312" w:hAnsi="Calibri" w:eastAsia="仿宋_GB2312" w:cs="仿宋_GB2312"/>
          <w:kern w:val="2"/>
          <w:sz w:val="28"/>
          <w:szCs w:val="28"/>
        </w:rPr>
      </w:pPr>
      <w:r>
        <w:rPr>
          <w:rFonts w:hint="default" w:ascii="仿宋_GB2312" w:hAnsi="Calibri" w:eastAsia="仿宋_GB2312" w:cs="仿宋_GB2312"/>
          <w:kern w:val="2"/>
          <w:sz w:val="28"/>
          <w:szCs w:val="28"/>
        </w:rPr>
        <w:t>四是做好应急物资储备工作。近日我省出现持续强降雨天气过程，极易引发事故和灾害，各大队全面进入战备值班状态，保障通讯畅通，确保一旦接到应急调动指令，能够“拉得出、冲得上，打得赢”，在最短的时间内做到组织到位、救援人员到位、技术指导到位，物资储备到位，最大限度地保障人民群众生命财产安全。</w:t>
      </w:r>
    </w:p>
    <w:p>
      <w:pPr>
        <w:widowControl/>
        <w:jc w:val="left"/>
        <w:rPr>
          <w:rFonts w:ascii="宋体" w:cs="Times New Roman"/>
          <w:kern w:val="0"/>
          <w:sz w:val="24"/>
          <w:szCs w:val="24"/>
        </w:rPr>
      </w:pPr>
    </w:p>
    <w:p>
      <w:pPr>
        <w:widowControl/>
        <w:jc w:val="left"/>
        <w:outlineLvl w:val="1"/>
        <w:rPr>
          <w:rFonts w:hint="eastAsia" w:ascii="宋体" w:hAnsi="宋体" w:cs="宋体"/>
          <w:b/>
          <w:bCs/>
          <w:kern w:val="0"/>
          <w:sz w:val="30"/>
          <w:szCs w:val="30"/>
          <w:lang w:val="en-US" w:eastAsia="zh-CN"/>
        </w:rPr>
      </w:pPr>
      <w:bookmarkStart w:id="20" w:name="_Toc5178"/>
      <w:r>
        <w:rPr>
          <w:rFonts w:hint="eastAsia" w:ascii="宋体" w:hAnsi="宋体" w:cs="宋体"/>
          <w:b/>
          <w:bCs/>
          <w:kern w:val="0"/>
          <w:sz w:val="30"/>
          <w:szCs w:val="30"/>
          <w:lang w:val="en-US" w:eastAsia="zh-CN"/>
        </w:rPr>
        <w:t>全面竞价模式下，哪些地区光伏电站将更具实力？</w:t>
      </w:r>
      <w:bookmarkEnd w:id="20"/>
    </w:p>
    <w:p>
      <w:pPr>
        <w:pStyle w:val="18"/>
        <w:spacing w:before="0" w:beforeAutospacing="0" w:after="0" w:afterAutospacing="0" w:line="360" w:lineRule="atLeast"/>
        <w:ind w:firstLine="480"/>
        <w:rPr>
          <w:rFonts w:hint="default" w:ascii="仿宋_GB2312" w:hAnsi="Calibri" w:eastAsia="仿宋_GB2312" w:cs="仿宋_GB2312"/>
          <w:kern w:val="2"/>
          <w:sz w:val="28"/>
          <w:szCs w:val="28"/>
        </w:rPr>
      </w:pPr>
      <w:r>
        <w:rPr>
          <w:rFonts w:hint="default" w:ascii="仿宋_GB2312" w:hAnsi="Calibri" w:eastAsia="仿宋_GB2312" w:cs="仿宋_GB2312"/>
          <w:kern w:val="2"/>
          <w:sz w:val="28"/>
          <w:szCs w:val="28"/>
        </w:rPr>
        <w:t>随着2019年光伏新政意见征求会议屡次召开，目前政策全面竞价的主基调已经明确，个别细节仍然需要持续讨论修订。从政策风向上看，分布式和地面电站全部采用竞价的方式获取补贴指标，2019年光伏补贴指标以电价降幅作为决定性因素，这样的模式更合乎当前我国光伏市场发展的现状。</w:t>
      </w:r>
    </w:p>
    <w:p>
      <w:pPr>
        <w:pStyle w:val="18"/>
        <w:spacing w:before="0" w:beforeAutospacing="0" w:after="0" w:afterAutospacing="0" w:line="360" w:lineRule="atLeast"/>
        <w:ind w:firstLine="480"/>
        <w:rPr>
          <w:rFonts w:hint="default" w:ascii="仿宋_GB2312" w:hAnsi="Calibri" w:eastAsia="仿宋_GB2312" w:cs="仿宋_GB2312"/>
          <w:kern w:val="2"/>
          <w:sz w:val="28"/>
          <w:szCs w:val="28"/>
        </w:rPr>
      </w:pPr>
      <w:r>
        <w:rPr>
          <w:rFonts w:hint="default" w:ascii="仿宋_GB2312" w:hAnsi="Calibri" w:eastAsia="仿宋_GB2312" w:cs="仿宋_GB2312"/>
          <w:kern w:val="2"/>
          <w:sz w:val="28"/>
          <w:szCs w:val="28"/>
        </w:rPr>
        <w:t>全面开启竞价配置机制，实际上也意味着不同地区的竞争力也大不相同。虽然电价降幅具有决定权，但各项目在核算竞争力中却需要综合度电补贴额度、光照资源条件、土地资源、市场消纳等多方面进行考量。</w:t>
      </w:r>
    </w:p>
    <w:p>
      <w:pPr>
        <w:pStyle w:val="18"/>
        <w:spacing w:before="0" w:beforeAutospacing="0" w:after="0" w:afterAutospacing="0" w:line="360" w:lineRule="atLeast"/>
        <w:ind w:firstLine="480"/>
        <w:rPr>
          <w:rFonts w:hint="default" w:ascii="仿宋_GB2312" w:hAnsi="Calibri" w:eastAsia="仿宋_GB2312" w:cs="仿宋_GB2312"/>
          <w:kern w:val="2"/>
          <w:sz w:val="28"/>
          <w:szCs w:val="28"/>
        </w:rPr>
      </w:pPr>
      <w:r>
        <w:rPr>
          <w:rFonts w:hint="default" w:ascii="仿宋_GB2312" w:hAnsi="Calibri" w:eastAsia="仿宋_GB2312" w:cs="仿宋_GB2312"/>
          <w:kern w:val="2"/>
          <w:sz w:val="28"/>
          <w:szCs w:val="28"/>
        </w:rPr>
        <w:t>度电补贴</w:t>
      </w:r>
    </w:p>
    <w:p>
      <w:pPr>
        <w:pStyle w:val="18"/>
        <w:spacing w:before="0" w:beforeAutospacing="0" w:after="0" w:afterAutospacing="0" w:line="360" w:lineRule="atLeast"/>
        <w:ind w:firstLine="480"/>
        <w:rPr>
          <w:rFonts w:hint="default" w:ascii="仿宋_GB2312" w:hAnsi="Calibri" w:eastAsia="仿宋_GB2312" w:cs="仿宋_GB2312"/>
          <w:kern w:val="2"/>
          <w:sz w:val="28"/>
          <w:szCs w:val="28"/>
        </w:rPr>
      </w:pPr>
      <w:r>
        <w:rPr>
          <w:rFonts w:hint="default" w:ascii="仿宋_GB2312" w:hAnsi="Calibri" w:eastAsia="仿宋_GB2312" w:cs="仿宋_GB2312"/>
          <w:kern w:val="2"/>
          <w:sz w:val="28"/>
          <w:szCs w:val="28"/>
        </w:rPr>
        <w:t>首先，从各地区的度电补贴来看，不同地区所需的度电补贴相差较大，全国光伏发电度电补贴在0.1元/千瓦时以下的省份地区有10个，而在0.15元/千瓦时以上的地区有12个。不同的度电补贴意味着电价可降的幅度不同，最低电价应大于当地脱硫煤标杆电价才有参与竞价的动力。</w:t>
      </w:r>
    </w:p>
    <w:p>
      <w:pPr>
        <w:pStyle w:val="18"/>
        <w:spacing w:before="0" w:beforeAutospacing="0" w:after="0" w:afterAutospacing="0" w:line="360" w:lineRule="atLeast"/>
        <w:ind w:firstLine="480"/>
        <w:rPr>
          <w:rFonts w:hint="default" w:ascii="仿宋_GB2312" w:hAnsi="Calibri" w:eastAsia="仿宋_GB2312" w:cs="仿宋_GB2312"/>
          <w:kern w:val="2"/>
          <w:sz w:val="28"/>
          <w:szCs w:val="28"/>
        </w:rPr>
      </w:pPr>
      <w:r>
        <w:rPr>
          <w:rFonts w:hint="default" w:ascii="仿宋_GB2312" w:hAnsi="Calibri" w:eastAsia="仿宋_GB2312" w:cs="仿宋_GB2312"/>
          <w:kern w:val="2"/>
          <w:sz w:val="28"/>
          <w:szCs w:val="28"/>
        </w:rPr>
        <w:t>从度电补贴额度来看，山西、陕西、贵州、新疆、冀南、青海、河南等地区在电价降低的幅度上更具优势。</w:t>
      </w:r>
    </w:p>
    <w:p>
      <w:pPr>
        <w:pStyle w:val="18"/>
        <w:spacing w:before="0" w:beforeAutospacing="0" w:after="0" w:afterAutospacing="0" w:line="360" w:lineRule="atLeast"/>
        <w:ind w:firstLine="480"/>
        <w:rPr>
          <w:rFonts w:hint="default" w:ascii="仿宋_GB2312" w:hAnsi="Calibri" w:eastAsia="仿宋_GB2312" w:cs="仿宋_GB2312"/>
          <w:kern w:val="2"/>
          <w:sz w:val="28"/>
          <w:szCs w:val="28"/>
        </w:rPr>
      </w:pPr>
      <w:r>
        <w:rPr>
          <w:rFonts w:hint="default" w:ascii="仿宋_GB2312" w:hAnsi="Calibri" w:eastAsia="仿宋_GB2312" w:cs="仿宋_GB2312"/>
          <w:kern w:val="2"/>
          <w:sz w:val="28"/>
          <w:szCs w:val="28"/>
        </w:rPr>
        <w:t>光照资源</w:t>
      </w:r>
    </w:p>
    <w:p>
      <w:pPr>
        <w:pStyle w:val="18"/>
        <w:spacing w:before="0" w:beforeAutospacing="0" w:after="0" w:afterAutospacing="0" w:line="360" w:lineRule="atLeast"/>
        <w:ind w:firstLine="480"/>
        <w:rPr>
          <w:rFonts w:hint="default" w:ascii="仿宋_GB2312" w:hAnsi="Calibri" w:eastAsia="仿宋_GB2312" w:cs="仿宋_GB2312"/>
          <w:kern w:val="2"/>
          <w:sz w:val="28"/>
          <w:szCs w:val="28"/>
        </w:rPr>
      </w:pPr>
      <w:r>
        <w:rPr>
          <w:rFonts w:hint="default" w:ascii="仿宋_GB2312" w:hAnsi="Calibri" w:eastAsia="仿宋_GB2312" w:cs="仿宋_GB2312"/>
          <w:kern w:val="2"/>
          <w:sz w:val="28"/>
          <w:szCs w:val="28"/>
        </w:rPr>
        <w:t>其次，在影响电价降幅中，光照资源也极为重要，光照资源良好的地区意味着电价可以多降一些。而光照资源匮乏的地区，尽管电价降价空间大，但出于对项目收益率的考虑，也并不一定会申报较低的上网电价。</w:t>
      </w:r>
    </w:p>
    <w:p>
      <w:pPr>
        <w:pStyle w:val="18"/>
        <w:spacing w:before="0" w:beforeAutospacing="0" w:after="0" w:afterAutospacing="0" w:line="360" w:lineRule="atLeast"/>
        <w:ind w:firstLine="480"/>
        <w:rPr>
          <w:rFonts w:hint="default" w:ascii="仿宋_GB2312" w:hAnsi="Calibri" w:eastAsia="仿宋_GB2312" w:cs="仿宋_GB2312"/>
          <w:kern w:val="2"/>
          <w:sz w:val="28"/>
          <w:szCs w:val="28"/>
        </w:rPr>
      </w:pPr>
      <w:r>
        <w:rPr>
          <w:rFonts w:hint="default" w:ascii="仿宋_GB2312" w:hAnsi="Calibri" w:eastAsia="仿宋_GB2312" w:cs="仿宋_GB2312"/>
          <w:kern w:val="2"/>
          <w:sz w:val="28"/>
          <w:szCs w:val="28"/>
        </w:rPr>
        <w:t>如果按度电补贴排名分析，前十名地区中光照资源相对较好的有陕西、山西、新疆Ⅱ类、青海Ⅰ类等地区。如贵州省，尽管度电补贴额度很高，具备较高的降价空间，但因光照资源匮乏，这样的地区显然在竞价中也不具备竞争力。但光照资源丰富的东三省地区，尽管度电补贴排名靠后，却因丰富的光照资源或也可以报出更具竞争力的价格。</w:t>
      </w:r>
    </w:p>
    <w:p>
      <w:pPr>
        <w:pStyle w:val="18"/>
        <w:spacing w:before="0" w:beforeAutospacing="0" w:after="0" w:afterAutospacing="0" w:line="360" w:lineRule="atLeast"/>
        <w:ind w:firstLine="480"/>
        <w:rPr>
          <w:rFonts w:hint="default" w:ascii="仿宋_GB2312" w:hAnsi="Calibri" w:eastAsia="仿宋_GB2312" w:cs="仿宋_GB2312"/>
          <w:kern w:val="2"/>
          <w:sz w:val="28"/>
          <w:szCs w:val="28"/>
        </w:rPr>
      </w:pPr>
      <w:r>
        <w:rPr>
          <w:rFonts w:hint="default" w:ascii="仿宋_GB2312" w:hAnsi="Calibri" w:eastAsia="仿宋_GB2312" w:cs="仿宋_GB2312"/>
          <w:kern w:val="2"/>
          <w:sz w:val="28"/>
          <w:szCs w:val="28"/>
        </w:rPr>
        <w:t>地区监测预警情况</w:t>
      </w:r>
    </w:p>
    <w:p>
      <w:pPr>
        <w:pStyle w:val="18"/>
        <w:spacing w:before="0" w:beforeAutospacing="0" w:after="0" w:afterAutospacing="0" w:line="360" w:lineRule="atLeast"/>
        <w:ind w:firstLine="480"/>
        <w:rPr>
          <w:rFonts w:hint="default" w:ascii="仿宋_GB2312" w:hAnsi="Calibri" w:eastAsia="仿宋_GB2312" w:cs="仿宋_GB2312"/>
          <w:kern w:val="2"/>
          <w:sz w:val="28"/>
          <w:szCs w:val="28"/>
        </w:rPr>
      </w:pPr>
      <w:r>
        <w:rPr>
          <w:rFonts w:hint="default" w:ascii="仿宋_GB2312" w:hAnsi="Calibri" w:eastAsia="仿宋_GB2312" w:cs="仿宋_GB2312"/>
          <w:kern w:val="2"/>
          <w:sz w:val="28"/>
          <w:szCs w:val="28"/>
        </w:rPr>
        <w:t>第三，竞价还需考虑各地区在监测预警中的评价情况，在国家能源局发布的《2018年度光伏发电市场环境监测评价结果》中，宁夏、甘肃、新疆3个省份评价结果为红色，西藏为2018年新增的红色预警区域。</w:t>
      </w:r>
    </w:p>
    <w:p>
      <w:pPr>
        <w:pStyle w:val="18"/>
        <w:spacing w:before="0" w:beforeAutospacing="0" w:after="0" w:afterAutospacing="0" w:line="360" w:lineRule="atLeast"/>
        <w:ind w:firstLine="480"/>
        <w:rPr>
          <w:rFonts w:hint="default" w:ascii="仿宋_GB2312" w:hAnsi="Calibri" w:eastAsia="仿宋_GB2312" w:cs="仿宋_GB2312"/>
          <w:kern w:val="2"/>
          <w:sz w:val="28"/>
          <w:szCs w:val="28"/>
        </w:rPr>
      </w:pPr>
      <w:r>
        <w:rPr>
          <w:rFonts w:hint="default" w:ascii="仿宋_GB2312" w:hAnsi="Calibri" w:eastAsia="仿宋_GB2312" w:cs="仿宋_GB2312"/>
          <w:kern w:val="2"/>
          <w:sz w:val="28"/>
          <w:szCs w:val="28"/>
        </w:rPr>
        <w:t>根据《关于积极推进风电、光伏发电无补贴平价上网有关工作的通知》，评价结果为红色的地区，原则上已不允许新建项目;被评为橙色区域的地区在提出有效措施改善市场环境后允许合理调控新建项目。</w:t>
      </w:r>
    </w:p>
    <w:p>
      <w:pPr>
        <w:pStyle w:val="18"/>
        <w:spacing w:before="0" w:beforeAutospacing="0" w:after="0" w:afterAutospacing="0" w:line="360" w:lineRule="atLeast"/>
        <w:ind w:firstLine="480"/>
        <w:rPr>
          <w:rFonts w:hint="default" w:ascii="仿宋_GB2312" w:hAnsi="Calibri" w:eastAsia="仿宋_GB2312" w:cs="仿宋_GB2312"/>
          <w:kern w:val="2"/>
          <w:sz w:val="28"/>
          <w:szCs w:val="28"/>
        </w:rPr>
      </w:pPr>
      <w:r>
        <w:rPr>
          <w:rFonts w:hint="default" w:ascii="仿宋_GB2312" w:hAnsi="Calibri" w:eastAsia="仿宋_GB2312" w:cs="仿宋_GB2312"/>
          <w:kern w:val="2"/>
          <w:sz w:val="28"/>
          <w:szCs w:val="28"/>
        </w:rPr>
        <w:t>在低电价的前提下，项目已经无法再承受例如限电等带来的损失。因此，在上述分析中光照充足、度电补贴高的青海省以及在三类资源区中光照资源丰富的山东等地区均被列为橙色，在这样的地区新建项目，需要综合评估各方条件，包括建设成本、市场消纳等。</w:t>
      </w:r>
    </w:p>
    <w:p>
      <w:pPr>
        <w:pStyle w:val="18"/>
        <w:spacing w:before="0" w:beforeAutospacing="0" w:after="0" w:afterAutospacing="0" w:line="360" w:lineRule="atLeast"/>
        <w:ind w:firstLine="480"/>
        <w:rPr>
          <w:rFonts w:hint="default" w:ascii="仿宋_GB2312" w:hAnsi="Calibri" w:eastAsia="仿宋_GB2312" w:cs="仿宋_GB2312"/>
          <w:kern w:val="2"/>
          <w:sz w:val="28"/>
          <w:szCs w:val="28"/>
        </w:rPr>
      </w:pPr>
      <w:r>
        <w:rPr>
          <w:rFonts w:hint="default" w:ascii="仿宋_GB2312" w:hAnsi="Calibri" w:eastAsia="仿宋_GB2312" w:cs="仿宋_GB2312"/>
          <w:kern w:val="2"/>
          <w:sz w:val="28"/>
          <w:szCs w:val="28"/>
        </w:rPr>
        <w:t>光伏项目竞价需要综合考虑可以影响光伏电站项目收益率的所有因素，在满足收益率边界的前提下将电价压到最低。而低电价也意味着光伏电站从采购到设计施工、验收的每一环节都需要严格把控成本。因此，光伏电站的建设中，地区因素将极大程度上影响其竞价能力，企业在筹备项目前需要多加评估。</w:t>
      </w:r>
    </w:p>
    <w:p>
      <w:pPr>
        <w:pStyle w:val="18"/>
        <w:spacing w:before="0" w:beforeAutospacing="0" w:after="0" w:afterAutospacing="0" w:line="360" w:lineRule="atLeast"/>
        <w:ind w:firstLine="480"/>
        <w:rPr>
          <w:rFonts w:hint="eastAsia" w:ascii="仿宋_GB2312" w:hAnsi="Calibri" w:eastAsia="仿宋_GB2312" w:cs="仿宋_GB2312"/>
          <w:kern w:val="2"/>
          <w:sz w:val="28"/>
          <w:szCs w:val="28"/>
        </w:rPr>
      </w:pPr>
    </w:p>
    <w:p>
      <w:pPr>
        <w:widowControl/>
        <w:jc w:val="left"/>
        <w:outlineLvl w:val="1"/>
        <w:rPr>
          <w:rFonts w:hint="eastAsia" w:ascii="宋体" w:hAnsi="宋体" w:cs="宋体"/>
          <w:b/>
          <w:bCs/>
          <w:kern w:val="0"/>
          <w:sz w:val="30"/>
          <w:szCs w:val="30"/>
          <w:lang w:val="en-US" w:eastAsia="zh-CN"/>
        </w:rPr>
      </w:pPr>
      <w:bookmarkStart w:id="21" w:name="_Toc21250"/>
      <w:r>
        <w:rPr>
          <w:rFonts w:hint="eastAsia" w:ascii="宋体" w:hAnsi="宋体" w:cs="宋体"/>
          <w:b/>
          <w:bCs/>
          <w:kern w:val="0"/>
          <w:sz w:val="30"/>
          <w:szCs w:val="30"/>
          <w:lang w:val="en-US" w:eastAsia="zh-CN"/>
        </w:rPr>
        <w:t>学习萤火虫提升LED发光效率？美国研究团队已经这样做了</w:t>
      </w:r>
      <w:bookmarkEnd w:id="21"/>
    </w:p>
    <w:p>
      <w:pPr>
        <w:widowControl/>
        <w:wordWrap w:val="0"/>
        <w:spacing w:after="90" w:line="288" w:lineRule="auto"/>
        <w:ind w:firstLine="480"/>
        <w:jc w:val="left"/>
        <w:rPr>
          <w:rFonts w:hint="eastAsia" w:ascii="仿宋_GB2312" w:eastAsia="仿宋_GB2312" w:cs="仿宋_GB2312"/>
          <w:sz w:val="28"/>
          <w:szCs w:val="28"/>
        </w:rPr>
      </w:pPr>
      <w:r>
        <w:rPr>
          <w:rFonts w:hint="eastAsia" w:ascii="仿宋_GB2312" w:eastAsia="仿宋_GB2312" w:cs="仿宋_GB2312"/>
          <w:sz w:val="28"/>
          <w:szCs w:val="28"/>
        </w:rPr>
        <w:t>美国宾州州立大学(Pennsylvania State University，简称“Penn State”)的研究员发现通过仿制萤火虫的发光结构能够提高LED的发光效率。</w:t>
      </w:r>
    </w:p>
    <w:p>
      <w:pPr>
        <w:widowControl/>
        <w:wordWrap w:val="0"/>
        <w:spacing w:after="90" w:line="288" w:lineRule="auto"/>
        <w:ind w:firstLine="480"/>
        <w:jc w:val="left"/>
        <w:rPr>
          <w:rFonts w:hint="eastAsia" w:ascii="仿宋_GB2312" w:eastAsia="仿宋_GB2312" w:cs="仿宋_GB2312"/>
          <w:sz w:val="28"/>
          <w:szCs w:val="28"/>
        </w:rPr>
      </w:pPr>
      <w:r>
        <w:rPr>
          <w:rFonts w:hint="default" w:ascii="仿宋_GB2312" w:eastAsia="仿宋_GB2312" w:cs="仿宋_GB2312"/>
          <w:sz w:val="28"/>
          <w:szCs w:val="28"/>
        </w:rPr>
        <w:t>宾州州立大学电子工程专家Stuart (Shizhuo) Yin指出，目前大多数商用LED发光效率仅约50%，如何提高所谓的LED光提取效率是研究的关键之一，他们着重于研究如何从LED中提取光线。</w:t>
      </w:r>
    </w:p>
    <w:p>
      <w:pPr>
        <w:widowControl/>
        <w:wordWrap w:val="0"/>
        <w:spacing w:after="90" w:line="288" w:lineRule="auto"/>
        <w:ind w:firstLine="480"/>
        <w:jc w:val="left"/>
        <w:rPr>
          <w:rFonts w:hint="eastAsia" w:ascii="仿宋_GB2312" w:eastAsia="仿宋_GB2312" w:cs="仿宋_GB2312"/>
          <w:sz w:val="28"/>
          <w:szCs w:val="28"/>
        </w:rPr>
      </w:pPr>
      <w:r>
        <w:rPr>
          <w:rFonts w:hint="default" w:ascii="仿宋_GB2312" w:eastAsia="仿宋_GB2312" w:cs="仿宋_GB2312"/>
          <w:sz w:val="28"/>
          <w:szCs w:val="28"/>
        </w:rPr>
        <w:t>研究团队发现，光线在向后反射时会消失，所以萤火虫与LED在释放光线上面临相似的挑战。对于LED，其中一个解决方案就是在其表面创建微结构，使其有纹理，进而发射出更多的光线。但是，大多数LED表面的微结构是对称的，每一边的倾斜角度一样。</w:t>
      </w:r>
    </w:p>
    <w:p>
      <w:pPr>
        <w:widowControl/>
        <w:wordWrap w:val="0"/>
        <w:spacing w:after="90" w:line="288" w:lineRule="auto"/>
        <w:ind w:firstLine="480"/>
        <w:jc w:val="left"/>
        <w:rPr>
          <w:rFonts w:hint="eastAsia" w:ascii="仿宋_GB2312" w:eastAsia="仿宋_GB2312" w:cs="仿宋_GB2312"/>
          <w:sz w:val="28"/>
          <w:szCs w:val="28"/>
        </w:rPr>
      </w:pPr>
      <w:r>
        <w:rPr>
          <w:rFonts w:hint="default" w:ascii="仿宋_GB2312" w:eastAsia="仿宋_GB2312" w:cs="仿宋_GB2312"/>
          <w:sz w:val="28"/>
          <w:szCs w:val="28"/>
        </w:rPr>
        <w:t>萤火虫的“灯笼”也有微结构，然而，研究员发现这些微结构是不对称的，其中一边倾斜的角度不同。他们还发现其它会发光的昆虫都有相似的结构。鉴于此，他们决定在LED表面尝试创建类似的不对称结构。</w:t>
      </w:r>
    </w:p>
    <w:p>
      <w:pPr>
        <w:widowControl/>
        <w:wordWrap w:val="0"/>
        <w:spacing w:after="90" w:line="288" w:lineRule="auto"/>
        <w:ind w:firstLine="480"/>
        <w:jc w:val="left"/>
        <w:rPr>
          <w:rFonts w:hint="eastAsia" w:ascii="仿宋_GB2312" w:eastAsia="仿宋_GB2312" w:cs="仿宋_GB2312"/>
          <w:sz w:val="28"/>
          <w:szCs w:val="28"/>
        </w:rPr>
      </w:pPr>
      <w:r>
        <w:rPr>
          <w:rFonts w:hint="default" w:ascii="仿宋_GB2312" w:eastAsia="仿宋_GB2312" w:cs="仿宋_GB2312"/>
          <w:sz w:val="28"/>
          <w:szCs w:val="28"/>
        </w:rPr>
        <w:t>研究员成功地在LED表面创建了不对称微观金字塔结构，以两种方式提高了光提取效率。首先，不对称的金字塔结构表面积较大，促进光与表面进行更多的交互作用，使得更少的光线被吸收。之后，当光线碰到不对称金字塔结构的两个不同倾斜角时，光反射具备更大的随机性，这意味着光线反射更多。</w:t>
      </w:r>
    </w:p>
    <w:p>
      <w:pPr>
        <w:widowControl/>
        <w:wordWrap w:val="0"/>
        <w:spacing w:after="90" w:line="288" w:lineRule="auto"/>
        <w:ind w:firstLine="480"/>
        <w:jc w:val="left"/>
        <w:rPr>
          <w:rFonts w:hint="eastAsia" w:ascii="仿宋_GB2312" w:eastAsia="仿宋_GB2312" w:cs="仿宋_GB2312"/>
          <w:sz w:val="28"/>
          <w:szCs w:val="28"/>
        </w:rPr>
      </w:pPr>
      <w:r>
        <w:rPr>
          <w:rFonts w:hint="default" w:ascii="仿宋_GB2312" w:eastAsia="仿宋_GB2312" w:cs="仿宋_GB2312"/>
          <w:sz w:val="28"/>
          <w:szCs w:val="28"/>
        </w:rPr>
        <w:t>通过采用这种方法，LED光提取效率提高到90%。该研究团队为此项研究申请了专利，并表示，他们正在寻求与相关的制造商进行合作，共同推动这项技术的商业化。</w:t>
      </w:r>
    </w:p>
    <w:p>
      <w:pPr>
        <w:widowControl/>
        <w:wordWrap w:val="0"/>
        <w:spacing w:after="90" w:line="288" w:lineRule="auto"/>
        <w:ind w:firstLine="480"/>
        <w:jc w:val="left"/>
        <w:rPr>
          <w:rFonts w:hint="default" w:ascii="仿宋_GB2312" w:eastAsia="仿宋_GB2312" w:cs="仿宋_GB2312"/>
          <w:sz w:val="28"/>
          <w:szCs w:val="28"/>
        </w:rPr>
      </w:pPr>
      <w:r>
        <w:rPr>
          <w:rFonts w:hint="default" w:ascii="仿宋_GB2312" w:eastAsia="仿宋_GB2312" w:cs="仿宋_GB2312"/>
          <w:sz w:val="28"/>
          <w:szCs w:val="28"/>
        </w:rPr>
        <w:t>据悉，这项研究结果已发表在《Optik》杂志上。</w:t>
      </w:r>
    </w:p>
    <w:p>
      <w:pPr>
        <w:widowControl/>
        <w:jc w:val="left"/>
        <w:outlineLvl w:val="1"/>
        <w:rPr>
          <w:rFonts w:hint="eastAsia" w:ascii="宋体" w:hAnsi="宋体" w:cs="宋体"/>
          <w:b/>
          <w:bCs/>
          <w:kern w:val="0"/>
          <w:sz w:val="30"/>
          <w:szCs w:val="30"/>
          <w:lang w:val="en-US" w:eastAsia="zh-CN"/>
        </w:rPr>
      </w:pPr>
    </w:p>
    <w:p>
      <w:pPr>
        <w:widowControl/>
        <w:jc w:val="left"/>
        <w:outlineLvl w:val="1"/>
        <w:rPr>
          <w:rFonts w:hint="eastAsia" w:ascii="宋体" w:hAnsi="宋体" w:cs="宋体"/>
          <w:b/>
          <w:bCs/>
          <w:kern w:val="0"/>
          <w:sz w:val="30"/>
          <w:szCs w:val="30"/>
          <w:lang w:val="en-US" w:eastAsia="zh-CN"/>
        </w:rPr>
      </w:pPr>
      <w:bookmarkStart w:id="22" w:name="_Toc30675"/>
      <w:r>
        <w:rPr>
          <w:rFonts w:hint="eastAsia" w:ascii="宋体" w:hAnsi="宋体" w:cs="宋体"/>
          <w:b/>
          <w:bCs/>
          <w:kern w:val="0"/>
          <w:sz w:val="30"/>
          <w:szCs w:val="30"/>
          <w:lang w:val="en-US" w:eastAsia="zh-CN"/>
        </w:rPr>
        <w:t>全球石油行业正在扩大太阳能与储能投资</w:t>
      </w:r>
      <w:bookmarkEnd w:id="22"/>
    </w:p>
    <w:p>
      <w:pPr>
        <w:widowControl/>
        <w:wordWrap w:val="0"/>
        <w:spacing w:after="90" w:line="288" w:lineRule="auto"/>
        <w:ind w:firstLine="480"/>
        <w:jc w:val="left"/>
        <w:rPr>
          <w:rFonts w:hint="default" w:ascii="仿宋_GB2312" w:eastAsia="仿宋_GB2312" w:cs="仿宋_GB2312"/>
          <w:sz w:val="28"/>
          <w:szCs w:val="28"/>
        </w:rPr>
      </w:pPr>
      <w:r>
        <w:rPr>
          <w:rFonts w:hint="default" w:ascii="仿宋_GB2312" w:eastAsia="仿宋_GB2312" w:cs="仿宋_GB2312"/>
          <w:sz w:val="28"/>
          <w:szCs w:val="28"/>
        </w:rPr>
        <w:t>随着越来越多的国家寻求能源转型，全球石油公司每年将数十亿美元用于太阳能和储能。根据Mercom Capital Group的一项分析，在过去两年中，涉及太阳能行业的15项收购交易中，仅5项投资规模就超过80亿美元。同样，在过去两年中石油公司的7笔融资交易中，向太阳能公司提供了超过2.4亿美元的资金。</w:t>
      </w:r>
    </w:p>
    <w:p>
      <w:pPr>
        <w:widowControl/>
        <w:wordWrap w:val="0"/>
        <w:spacing w:after="90" w:line="288" w:lineRule="auto"/>
        <w:ind w:firstLine="480"/>
        <w:jc w:val="left"/>
        <w:rPr>
          <w:rFonts w:hint="default" w:ascii="仿宋_GB2312" w:eastAsia="仿宋_GB2312" w:cs="仿宋_GB2312"/>
          <w:sz w:val="28"/>
          <w:szCs w:val="28"/>
        </w:rPr>
      </w:pPr>
      <w:r>
        <w:rPr>
          <w:rFonts w:hint="default" w:ascii="仿宋_GB2312" w:eastAsia="仿宋_GB2312" w:cs="仿宋_GB2312"/>
          <w:sz w:val="28"/>
          <w:szCs w:val="28"/>
        </w:rPr>
        <w:t>对于电池存储投资，统计显示，在过去两年中披露了6笔收购交易，但没有披露收购金额。Mercom表示，在同一时期内，共完成了7笔融资交易，涉及金额近1.33亿美元。</w:t>
      </w:r>
    </w:p>
    <w:p>
      <w:pPr>
        <w:widowControl/>
        <w:wordWrap w:val="0"/>
        <w:spacing w:after="90" w:line="288" w:lineRule="auto"/>
        <w:ind w:firstLine="480"/>
        <w:jc w:val="left"/>
        <w:rPr>
          <w:rFonts w:hint="default" w:ascii="仿宋_GB2312" w:eastAsia="仿宋_GB2312" w:cs="仿宋_GB2312"/>
          <w:sz w:val="28"/>
          <w:szCs w:val="28"/>
        </w:rPr>
      </w:pPr>
      <w:r>
        <w:rPr>
          <w:rFonts w:hint="default" w:ascii="仿宋_GB2312" w:eastAsia="仿宋_GB2312" w:cs="仿宋_GB2312"/>
          <w:sz w:val="28"/>
          <w:szCs w:val="28"/>
        </w:rPr>
        <w:t>Mercom表示，石油行业对太阳能行业最大单笔投资是来自德国意昂集团在2018年6月斥资58亿美元收购可再生能源公司Innogy的76.8%股份。其次是法国道达尔公司，以7亿美元投资Direct Energie，持股74.3%。</w:t>
      </w:r>
    </w:p>
    <w:p>
      <w:pPr>
        <w:widowControl/>
        <w:wordWrap w:val="0"/>
        <w:spacing w:after="90" w:line="288" w:lineRule="auto"/>
        <w:ind w:firstLine="480"/>
        <w:jc w:val="left"/>
        <w:rPr>
          <w:rFonts w:hint="default" w:ascii="仿宋_GB2312" w:eastAsia="仿宋_GB2312" w:cs="仿宋_GB2312"/>
          <w:sz w:val="28"/>
          <w:szCs w:val="28"/>
        </w:rPr>
      </w:pPr>
      <w:r>
        <w:rPr>
          <w:rFonts w:hint="default" w:ascii="仿宋_GB2312" w:eastAsia="仿宋_GB2312" w:cs="仿宋_GB2312"/>
          <w:sz w:val="28"/>
          <w:szCs w:val="28"/>
        </w:rPr>
        <w:t>电池存储行业获得来自石油行业的最大投资价值尚未公布，但很可能是荷兰壳牌本月早些时候收购Sonnen一案。电池存储公司最大的融资业务是2018年5月壳牌为Sonnen提供的7，000万美元贷款。</w:t>
      </w:r>
    </w:p>
    <w:p>
      <w:pPr>
        <w:widowControl/>
        <w:wordWrap w:val="0"/>
        <w:spacing w:after="90" w:line="288" w:lineRule="auto"/>
        <w:ind w:firstLine="480"/>
        <w:jc w:val="left"/>
        <w:rPr>
          <w:rFonts w:hint="default" w:ascii="仿宋_GB2312" w:eastAsia="仿宋_GB2312" w:cs="仿宋_GB2312"/>
          <w:sz w:val="28"/>
          <w:szCs w:val="28"/>
        </w:rPr>
      </w:pPr>
      <w:r>
        <w:rPr>
          <w:rFonts w:hint="default" w:ascii="仿宋_GB2312" w:eastAsia="仿宋_GB2312" w:cs="仿宋_GB2312"/>
          <w:sz w:val="28"/>
          <w:szCs w:val="28"/>
        </w:rPr>
        <w:t>更多的石油公司正在进行太阳能和电池存储投资。荷兰皇家壳牌以2.17亿美元收购了太阳能开发商Silicon Ranch 44%的股份，雪佛龙已投资太阳能，BP斥资2.99亿美元购买Lightsource的1.4千兆瓦风能和太阳能组合43%的股份，而拥有太阳能电池板制造商SunPower56%股份的Total Energy Ventures已经在包括固态锂离子电池在内的20家可再生能源初创公司中投资了大约1.6亿美元。</w:t>
      </w:r>
    </w:p>
    <w:p>
      <w:pPr>
        <w:widowControl/>
        <w:wordWrap w:val="0"/>
        <w:spacing w:after="90" w:line="288" w:lineRule="auto"/>
        <w:ind w:firstLine="480"/>
        <w:jc w:val="left"/>
        <w:rPr>
          <w:rFonts w:hint="default" w:ascii="仿宋_GB2312" w:eastAsia="仿宋_GB2312" w:cs="仿宋_GB2312"/>
          <w:sz w:val="28"/>
          <w:szCs w:val="28"/>
        </w:rPr>
      </w:pPr>
      <w:r>
        <w:rPr>
          <w:rFonts w:hint="default" w:ascii="仿宋_GB2312" w:eastAsia="仿宋_GB2312" w:cs="仿宋_GB2312"/>
          <w:sz w:val="28"/>
          <w:szCs w:val="28"/>
        </w:rPr>
        <w:t>并非所有石油公司对太阳能的投资都成为头条新闻。本月早些时候，位于贝克斯菲尔德的石油生产商E&amp;B自然资源管理公司宣布，它正在投资光伏太阳能，以帮助其在克恩和圣巴巴拉县的运营。该公司计划在贝克斯菲尔德附近建造一座23兆瓦的直流太阳能装置。</w:t>
      </w:r>
    </w:p>
    <w:p>
      <w:pPr>
        <w:widowControl/>
        <w:wordWrap w:val="0"/>
        <w:spacing w:after="90" w:line="288" w:lineRule="auto"/>
        <w:ind w:firstLine="480"/>
        <w:jc w:val="left"/>
        <w:rPr>
          <w:rFonts w:hint="default" w:ascii="仿宋_GB2312" w:eastAsia="仿宋_GB2312" w:cs="仿宋_GB2312"/>
          <w:sz w:val="28"/>
          <w:szCs w:val="28"/>
        </w:rPr>
      </w:pPr>
      <w:r>
        <w:rPr>
          <w:rFonts w:hint="default" w:ascii="仿宋_GB2312" w:eastAsia="仿宋_GB2312" w:cs="仿宋_GB2312"/>
          <w:sz w:val="28"/>
          <w:szCs w:val="28"/>
        </w:rPr>
        <w:t>“通过将太阳能技术整合到E&amp;B的石油和天然气业务中，这些项目表明，可再生能源和石油生产可以为加州人提供可靠的低成本和环保能源”公司总裁Steve Layton在一份声明中说。</w:t>
      </w:r>
    </w:p>
    <w:p>
      <w:pPr>
        <w:widowControl/>
        <w:wordWrap w:val="0"/>
        <w:spacing w:after="90" w:line="288" w:lineRule="auto"/>
        <w:ind w:firstLine="480"/>
        <w:jc w:val="left"/>
        <w:rPr>
          <w:rFonts w:hint="default" w:ascii="仿宋_GB2312" w:eastAsia="仿宋_GB2312" w:cs="仿宋_GB2312"/>
          <w:sz w:val="28"/>
          <w:szCs w:val="28"/>
        </w:rPr>
      </w:pPr>
      <w:r>
        <w:rPr>
          <w:rFonts w:hint="default" w:ascii="仿宋_GB2312" w:eastAsia="仿宋_GB2312" w:cs="仿宋_GB2312"/>
          <w:sz w:val="28"/>
          <w:szCs w:val="28"/>
        </w:rPr>
        <w:t>一些石油公司的投资也在研发上游。在巴西，国家石油垄断企业Petrobras与Centro de Inovacoes CSEM签署了合作协议，开发基于钙钛矿技术生产印刷和柔性太阳能电池的材料。这笔600万美元的投资旨在用钙钛矿技术工业生产太阳能薄膜。</w:t>
      </w:r>
    </w:p>
    <w:p>
      <w:pPr>
        <w:widowControl/>
        <w:wordWrap w:val="0"/>
        <w:spacing w:after="90" w:line="288" w:lineRule="auto"/>
        <w:ind w:firstLine="480"/>
        <w:jc w:val="left"/>
        <w:rPr>
          <w:rFonts w:hint="default" w:ascii="仿宋_GB2312" w:eastAsia="仿宋_GB2312" w:cs="仿宋_GB2312"/>
          <w:sz w:val="28"/>
          <w:szCs w:val="28"/>
        </w:rPr>
      </w:pPr>
    </w:p>
    <w:sectPr>
      <w:headerReference r:id="rId3" w:type="default"/>
      <w:footerReference r:id="rId4" w:type="default"/>
      <w:pgSz w:w="11906" w:h="16838"/>
      <w:pgMar w:top="1418" w:right="1701" w:bottom="1418" w:left="1701"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Verdana">
    <w:panose1 w:val="020B0604030504040204"/>
    <w:charset w:val="00"/>
    <w:family w:val="swiss"/>
    <w:pitch w:val="default"/>
    <w:sig w:usb0="00000287"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cs="Times New Roman"/>
      </w:rPr>
    </w:pPr>
    <w:r>
      <w:rPr>
        <w:b/>
        <w:bCs/>
      </w:rPr>
      <w:fldChar w:fldCharType="begin"/>
    </w:r>
    <w:r>
      <w:rPr>
        <w:b/>
        <w:bCs/>
      </w:rPr>
      <w:instrText xml:space="preserve">PAGE</w:instrText>
    </w:r>
    <w:r>
      <w:rPr>
        <w:b/>
        <w:bCs/>
      </w:rPr>
      <w:fldChar w:fldCharType="separate"/>
    </w:r>
    <w:r>
      <w:rPr>
        <w:b/>
        <w:bCs/>
      </w:rPr>
      <w:t>5</w:t>
    </w:r>
    <w:r>
      <w:rPr>
        <w:b/>
        <w:bCs/>
      </w:rPr>
      <w:fldChar w:fldCharType="end"/>
    </w:r>
    <w:r>
      <w:rPr>
        <w:lang w:val="zh-CN"/>
      </w:rPr>
      <w:t xml:space="preserve"> / </w:t>
    </w:r>
    <w:r>
      <w:rPr>
        <w:b/>
        <w:bCs/>
      </w:rPr>
      <w:fldChar w:fldCharType="begin"/>
    </w:r>
    <w:r>
      <w:rPr>
        <w:b/>
        <w:bCs/>
      </w:rPr>
      <w:instrText xml:space="preserve">NUMPAGES</w:instrText>
    </w:r>
    <w:r>
      <w:rPr>
        <w:b/>
        <w:bCs/>
      </w:rPr>
      <w:fldChar w:fldCharType="separate"/>
    </w:r>
    <w:r>
      <w:rPr>
        <w:b/>
        <w:bCs/>
      </w:rPr>
      <w:t>43</w:t>
    </w:r>
    <w:r>
      <w:rPr>
        <w:b/>
        <w:bCs/>
      </w:rPr>
      <w:fldChar w:fldCharType="end"/>
    </w:r>
  </w:p>
  <w:p>
    <w:pPr>
      <w:pStyle w:val="13"/>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jc w:val="both"/>
      <w:rPr>
        <w:rFonts w:cs="Times New Roman"/>
      </w:rPr>
    </w:pPr>
    <w:r>
      <w:pict>
        <v:shape id="图片 7" o:spid="_x0000_s2049" o:spt="75" alt="内页.jpg" type="#_x0000_t75" style="position:absolute;left:0pt;margin-left:-84.55pt;margin-top:-43.3pt;height:842.25pt;width:594.6pt;z-index:-251656192;mso-width-relative:page;mso-height-relative:page;" filled="f" o:preferrelative="t" stroked="f" coordsize="21600,21600">
          <v:path/>
          <v:fill on="f" focussize="0,0"/>
          <v:stroke on="f" joinstyle="miter"/>
          <v:imagedata r:id="rId1" o:title=""/>
          <o:lock v:ext="edit" aspectratio="t"/>
        </v:shape>
      </w:pict>
    </w:r>
  </w:p>
  <w:p>
    <w:pPr>
      <w:pStyle w:val="14"/>
      <w:pBdr>
        <w:bottom w:val="none" w:color="auto" w:sz="0" w:space="0"/>
      </w:pBdr>
      <w:rPr>
        <w:rFonts w:cs="Times New Roman"/>
      </w:rPr>
    </w:pPr>
  </w:p>
  <w:p>
    <w:pPr>
      <w:pStyle w:val="14"/>
      <w:pBdr>
        <w:bottom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C91833"/>
    <w:multiLevelType w:val="singleLevel"/>
    <w:tmpl w:val="E2C91833"/>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3C8"/>
    <w:rsid w:val="0000164D"/>
    <w:rsid w:val="000023DE"/>
    <w:rsid w:val="00002929"/>
    <w:rsid w:val="00005671"/>
    <w:rsid w:val="00006A3F"/>
    <w:rsid w:val="000072C7"/>
    <w:rsid w:val="0000785A"/>
    <w:rsid w:val="00010390"/>
    <w:rsid w:val="00010683"/>
    <w:rsid w:val="00011A1B"/>
    <w:rsid w:val="00012EC2"/>
    <w:rsid w:val="000145BC"/>
    <w:rsid w:val="00014B6A"/>
    <w:rsid w:val="00014D50"/>
    <w:rsid w:val="000150E9"/>
    <w:rsid w:val="00017663"/>
    <w:rsid w:val="000235A8"/>
    <w:rsid w:val="00030460"/>
    <w:rsid w:val="000310B6"/>
    <w:rsid w:val="00031306"/>
    <w:rsid w:val="0003248E"/>
    <w:rsid w:val="00032629"/>
    <w:rsid w:val="0003276C"/>
    <w:rsid w:val="0003297B"/>
    <w:rsid w:val="00033FBD"/>
    <w:rsid w:val="0003445A"/>
    <w:rsid w:val="00034F78"/>
    <w:rsid w:val="00036352"/>
    <w:rsid w:val="00037B9C"/>
    <w:rsid w:val="000410A2"/>
    <w:rsid w:val="00041B6C"/>
    <w:rsid w:val="00041DB8"/>
    <w:rsid w:val="000420B4"/>
    <w:rsid w:val="00042B27"/>
    <w:rsid w:val="00042FFB"/>
    <w:rsid w:val="00043595"/>
    <w:rsid w:val="00043D9B"/>
    <w:rsid w:val="0004411B"/>
    <w:rsid w:val="00044BF8"/>
    <w:rsid w:val="00045414"/>
    <w:rsid w:val="00046255"/>
    <w:rsid w:val="00047438"/>
    <w:rsid w:val="000532C5"/>
    <w:rsid w:val="00054E7E"/>
    <w:rsid w:val="0005569C"/>
    <w:rsid w:val="000556F3"/>
    <w:rsid w:val="00057482"/>
    <w:rsid w:val="0005749A"/>
    <w:rsid w:val="00060FCE"/>
    <w:rsid w:val="00062564"/>
    <w:rsid w:val="00063006"/>
    <w:rsid w:val="000639E0"/>
    <w:rsid w:val="00066AF7"/>
    <w:rsid w:val="00067072"/>
    <w:rsid w:val="00070B0E"/>
    <w:rsid w:val="0007291D"/>
    <w:rsid w:val="0007623B"/>
    <w:rsid w:val="00081704"/>
    <w:rsid w:val="00082494"/>
    <w:rsid w:val="0008358B"/>
    <w:rsid w:val="0008392C"/>
    <w:rsid w:val="00083F35"/>
    <w:rsid w:val="000855D6"/>
    <w:rsid w:val="00085917"/>
    <w:rsid w:val="00090CF0"/>
    <w:rsid w:val="00090D4A"/>
    <w:rsid w:val="00092293"/>
    <w:rsid w:val="00094A4C"/>
    <w:rsid w:val="00096020"/>
    <w:rsid w:val="00096A95"/>
    <w:rsid w:val="00097F69"/>
    <w:rsid w:val="000A2C7F"/>
    <w:rsid w:val="000A332A"/>
    <w:rsid w:val="000A3424"/>
    <w:rsid w:val="000A456A"/>
    <w:rsid w:val="000A4E2A"/>
    <w:rsid w:val="000B1AA8"/>
    <w:rsid w:val="000B38B5"/>
    <w:rsid w:val="000B4231"/>
    <w:rsid w:val="000B5856"/>
    <w:rsid w:val="000B6672"/>
    <w:rsid w:val="000B7055"/>
    <w:rsid w:val="000B72A8"/>
    <w:rsid w:val="000B7699"/>
    <w:rsid w:val="000B7F4B"/>
    <w:rsid w:val="000C10EA"/>
    <w:rsid w:val="000C1646"/>
    <w:rsid w:val="000C268D"/>
    <w:rsid w:val="000C3548"/>
    <w:rsid w:val="000C3B3F"/>
    <w:rsid w:val="000C3E03"/>
    <w:rsid w:val="000C419D"/>
    <w:rsid w:val="000C7CAB"/>
    <w:rsid w:val="000D0159"/>
    <w:rsid w:val="000D08F1"/>
    <w:rsid w:val="000D13E7"/>
    <w:rsid w:val="000D1522"/>
    <w:rsid w:val="000D1EAE"/>
    <w:rsid w:val="000D250F"/>
    <w:rsid w:val="000D476D"/>
    <w:rsid w:val="000D5396"/>
    <w:rsid w:val="000D68C1"/>
    <w:rsid w:val="000D6D53"/>
    <w:rsid w:val="000D7735"/>
    <w:rsid w:val="000E04F3"/>
    <w:rsid w:val="000E19A5"/>
    <w:rsid w:val="000E63DD"/>
    <w:rsid w:val="000E684D"/>
    <w:rsid w:val="000E6FDC"/>
    <w:rsid w:val="000F1AAE"/>
    <w:rsid w:val="000F1D47"/>
    <w:rsid w:val="000F2383"/>
    <w:rsid w:val="000F350C"/>
    <w:rsid w:val="000F39E9"/>
    <w:rsid w:val="000F4766"/>
    <w:rsid w:val="000F5073"/>
    <w:rsid w:val="000F6D3C"/>
    <w:rsid w:val="000F77DF"/>
    <w:rsid w:val="001002DC"/>
    <w:rsid w:val="00100CDC"/>
    <w:rsid w:val="00101AAD"/>
    <w:rsid w:val="0010286F"/>
    <w:rsid w:val="00102BD0"/>
    <w:rsid w:val="00103274"/>
    <w:rsid w:val="00103654"/>
    <w:rsid w:val="00103BC8"/>
    <w:rsid w:val="001059FB"/>
    <w:rsid w:val="0010737C"/>
    <w:rsid w:val="00107905"/>
    <w:rsid w:val="00110161"/>
    <w:rsid w:val="00110AB6"/>
    <w:rsid w:val="001126D4"/>
    <w:rsid w:val="00113534"/>
    <w:rsid w:val="0011357F"/>
    <w:rsid w:val="00115129"/>
    <w:rsid w:val="00115C98"/>
    <w:rsid w:val="001175FC"/>
    <w:rsid w:val="0012059B"/>
    <w:rsid w:val="00121020"/>
    <w:rsid w:val="00122983"/>
    <w:rsid w:val="00122E33"/>
    <w:rsid w:val="00124BF3"/>
    <w:rsid w:val="00125046"/>
    <w:rsid w:val="00125E71"/>
    <w:rsid w:val="00126A57"/>
    <w:rsid w:val="00126B61"/>
    <w:rsid w:val="00126EE1"/>
    <w:rsid w:val="00127433"/>
    <w:rsid w:val="00130300"/>
    <w:rsid w:val="00130EEF"/>
    <w:rsid w:val="00131120"/>
    <w:rsid w:val="00135E23"/>
    <w:rsid w:val="001405D5"/>
    <w:rsid w:val="00140CB9"/>
    <w:rsid w:val="00142A3D"/>
    <w:rsid w:val="00143B25"/>
    <w:rsid w:val="00145BEC"/>
    <w:rsid w:val="00146750"/>
    <w:rsid w:val="0014733D"/>
    <w:rsid w:val="00150FB0"/>
    <w:rsid w:val="001554BA"/>
    <w:rsid w:val="001556C0"/>
    <w:rsid w:val="00161AB7"/>
    <w:rsid w:val="00165D9C"/>
    <w:rsid w:val="00166319"/>
    <w:rsid w:val="00167A49"/>
    <w:rsid w:val="001716CE"/>
    <w:rsid w:val="00171E56"/>
    <w:rsid w:val="001721CD"/>
    <w:rsid w:val="00172511"/>
    <w:rsid w:val="00174241"/>
    <w:rsid w:val="00174588"/>
    <w:rsid w:val="001802AB"/>
    <w:rsid w:val="0018060F"/>
    <w:rsid w:val="00180CCE"/>
    <w:rsid w:val="00182277"/>
    <w:rsid w:val="00182F87"/>
    <w:rsid w:val="001846B4"/>
    <w:rsid w:val="001852F4"/>
    <w:rsid w:val="00185F90"/>
    <w:rsid w:val="00186B3A"/>
    <w:rsid w:val="001903B4"/>
    <w:rsid w:val="00190682"/>
    <w:rsid w:val="0019346C"/>
    <w:rsid w:val="00193980"/>
    <w:rsid w:val="00196875"/>
    <w:rsid w:val="00197134"/>
    <w:rsid w:val="001A6042"/>
    <w:rsid w:val="001B028D"/>
    <w:rsid w:val="001B138B"/>
    <w:rsid w:val="001B14BE"/>
    <w:rsid w:val="001B1C5D"/>
    <w:rsid w:val="001B1D12"/>
    <w:rsid w:val="001B5168"/>
    <w:rsid w:val="001B6F3F"/>
    <w:rsid w:val="001B7D09"/>
    <w:rsid w:val="001C15D8"/>
    <w:rsid w:val="001C20CD"/>
    <w:rsid w:val="001D3943"/>
    <w:rsid w:val="001D4D1D"/>
    <w:rsid w:val="001D60C6"/>
    <w:rsid w:val="001E06DC"/>
    <w:rsid w:val="001E1BFC"/>
    <w:rsid w:val="001E1C2E"/>
    <w:rsid w:val="001E2609"/>
    <w:rsid w:val="001E3A10"/>
    <w:rsid w:val="001E512C"/>
    <w:rsid w:val="001E6668"/>
    <w:rsid w:val="001F58D4"/>
    <w:rsid w:val="001F61F9"/>
    <w:rsid w:val="001F6F0D"/>
    <w:rsid w:val="001F71C1"/>
    <w:rsid w:val="002006C0"/>
    <w:rsid w:val="00201E3A"/>
    <w:rsid w:val="00201F8A"/>
    <w:rsid w:val="00204E9F"/>
    <w:rsid w:val="00206C07"/>
    <w:rsid w:val="002151B0"/>
    <w:rsid w:val="00215BBF"/>
    <w:rsid w:val="00216F82"/>
    <w:rsid w:val="002177E6"/>
    <w:rsid w:val="00221C2A"/>
    <w:rsid w:val="00223800"/>
    <w:rsid w:val="00223BE2"/>
    <w:rsid w:val="00225A7B"/>
    <w:rsid w:val="00225EE0"/>
    <w:rsid w:val="00227A47"/>
    <w:rsid w:val="00227E52"/>
    <w:rsid w:val="00234285"/>
    <w:rsid w:val="00234AA3"/>
    <w:rsid w:val="00234E8B"/>
    <w:rsid w:val="00235EF1"/>
    <w:rsid w:val="00237572"/>
    <w:rsid w:val="002404AF"/>
    <w:rsid w:val="002421B0"/>
    <w:rsid w:val="002436EB"/>
    <w:rsid w:val="002441BB"/>
    <w:rsid w:val="0024492A"/>
    <w:rsid w:val="00246E47"/>
    <w:rsid w:val="0024750A"/>
    <w:rsid w:val="00250E9E"/>
    <w:rsid w:val="0025303B"/>
    <w:rsid w:val="00253DAC"/>
    <w:rsid w:val="00254DA9"/>
    <w:rsid w:val="0025713E"/>
    <w:rsid w:val="00257554"/>
    <w:rsid w:val="0025799A"/>
    <w:rsid w:val="00257EB1"/>
    <w:rsid w:val="002601A7"/>
    <w:rsid w:val="002621B3"/>
    <w:rsid w:val="00262686"/>
    <w:rsid w:val="00262B33"/>
    <w:rsid w:val="00263BD6"/>
    <w:rsid w:val="00263C9F"/>
    <w:rsid w:val="002643DC"/>
    <w:rsid w:val="00264953"/>
    <w:rsid w:val="002670ED"/>
    <w:rsid w:val="00270F0C"/>
    <w:rsid w:val="00271D34"/>
    <w:rsid w:val="00272695"/>
    <w:rsid w:val="00273751"/>
    <w:rsid w:val="002760C2"/>
    <w:rsid w:val="00277CC1"/>
    <w:rsid w:val="00277D2C"/>
    <w:rsid w:val="00277FA3"/>
    <w:rsid w:val="002814B6"/>
    <w:rsid w:val="002814F0"/>
    <w:rsid w:val="0028353D"/>
    <w:rsid w:val="002835B8"/>
    <w:rsid w:val="0028375E"/>
    <w:rsid w:val="00284079"/>
    <w:rsid w:val="002841C6"/>
    <w:rsid w:val="00286308"/>
    <w:rsid w:val="0028637B"/>
    <w:rsid w:val="00286EFF"/>
    <w:rsid w:val="00287E96"/>
    <w:rsid w:val="0029150F"/>
    <w:rsid w:val="00292E3F"/>
    <w:rsid w:val="00293587"/>
    <w:rsid w:val="00294288"/>
    <w:rsid w:val="0029651F"/>
    <w:rsid w:val="0029679E"/>
    <w:rsid w:val="00296F3C"/>
    <w:rsid w:val="002972A2"/>
    <w:rsid w:val="002A062D"/>
    <w:rsid w:val="002A1A42"/>
    <w:rsid w:val="002A1F0A"/>
    <w:rsid w:val="002A23D9"/>
    <w:rsid w:val="002A24D4"/>
    <w:rsid w:val="002A316B"/>
    <w:rsid w:val="002A4CF5"/>
    <w:rsid w:val="002A5501"/>
    <w:rsid w:val="002A5C82"/>
    <w:rsid w:val="002A63E1"/>
    <w:rsid w:val="002A6995"/>
    <w:rsid w:val="002A6B16"/>
    <w:rsid w:val="002B08AD"/>
    <w:rsid w:val="002B0EB6"/>
    <w:rsid w:val="002B2681"/>
    <w:rsid w:val="002B2E78"/>
    <w:rsid w:val="002B4B92"/>
    <w:rsid w:val="002B4C15"/>
    <w:rsid w:val="002C1014"/>
    <w:rsid w:val="002C4AA0"/>
    <w:rsid w:val="002C4BD7"/>
    <w:rsid w:val="002C6CA2"/>
    <w:rsid w:val="002C7801"/>
    <w:rsid w:val="002C7D85"/>
    <w:rsid w:val="002D0532"/>
    <w:rsid w:val="002D1CDF"/>
    <w:rsid w:val="002D2F5B"/>
    <w:rsid w:val="002D4903"/>
    <w:rsid w:val="002D4D7F"/>
    <w:rsid w:val="002D67FA"/>
    <w:rsid w:val="002E00B3"/>
    <w:rsid w:val="002E2E08"/>
    <w:rsid w:val="002E3374"/>
    <w:rsid w:val="002E37F4"/>
    <w:rsid w:val="002E42E9"/>
    <w:rsid w:val="002E448A"/>
    <w:rsid w:val="002E50E5"/>
    <w:rsid w:val="002E6E8E"/>
    <w:rsid w:val="002E7C02"/>
    <w:rsid w:val="002F0164"/>
    <w:rsid w:val="00301012"/>
    <w:rsid w:val="0030162D"/>
    <w:rsid w:val="00302630"/>
    <w:rsid w:val="003031DE"/>
    <w:rsid w:val="00303A60"/>
    <w:rsid w:val="00303DCB"/>
    <w:rsid w:val="0030617E"/>
    <w:rsid w:val="00306604"/>
    <w:rsid w:val="0031156C"/>
    <w:rsid w:val="003121D0"/>
    <w:rsid w:val="00312710"/>
    <w:rsid w:val="003130A5"/>
    <w:rsid w:val="00315946"/>
    <w:rsid w:val="003213DC"/>
    <w:rsid w:val="0032365E"/>
    <w:rsid w:val="00324420"/>
    <w:rsid w:val="00325DD9"/>
    <w:rsid w:val="003273CA"/>
    <w:rsid w:val="00327763"/>
    <w:rsid w:val="00327786"/>
    <w:rsid w:val="003277BA"/>
    <w:rsid w:val="00330018"/>
    <w:rsid w:val="00333794"/>
    <w:rsid w:val="0033583F"/>
    <w:rsid w:val="0034016C"/>
    <w:rsid w:val="003415DF"/>
    <w:rsid w:val="003417CB"/>
    <w:rsid w:val="0034247C"/>
    <w:rsid w:val="0034319B"/>
    <w:rsid w:val="00343A50"/>
    <w:rsid w:val="0034629C"/>
    <w:rsid w:val="00346721"/>
    <w:rsid w:val="003468A0"/>
    <w:rsid w:val="003477E7"/>
    <w:rsid w:val="00347AB7"/>
    <w:rsid w:val="00350264"/>
    <w:rsid w:val="003521D9"/>
    <w:rsid w:val="00353387"/>
    <w:rsid w:val="00353F81"/>
    <w:rsid w:val="0035481B"/>
    <w:rsid w:val="00355942"/>
    <w:rsid w:val="00355FE1"/>
    <w:rsid w:val="00357904"/>
    <w:rsid w:val="003606FB"/>
    <w:rsid w:val="00361079"/>
    <w:rsid w:val="00361156"/>
    <w:rsid w:val="00361BB4"/>
    <w:rsid w:val="00364C76"/>
    <w:rsid w:val="00364CFF"/>
    <w:rsid w:val="00365869"/>
    <w:rsid w:val="00365CE1"/>
    <w:rsid w:val="003701EA"/>
    <w:rsid w:val="003702ED"/>
    <w:rsid w:val="0037320C"/>
    <w:rsid w:val="003777F9"/>
    <w:rsid w:val="00380612"/>
    <w:rsid w:val="00382B9E"/>
    <w:rsid w:val="00385A2E"/>
    <w:rsid w:val="003862C6"/>
    <w:rsid w:val="003862E3"/>
    <w:rsid w:val="00391184"/>
    <w:rsid w:val="00391485"/>
    <w:rsid w:val="003950E7"/>
    <w:rsid w:val="00396977"/>
    <w:rsid w:val="003A0B5B"/>
    <w:rsid w:val="003A159D"/>
    <w:rsid w:val="003A316B"/>
    <w:rsid w:val="003A4580"/>
    <w:rsid w:val="003A641D"/>
    <w:rsid w:val="003A7094"/>
    <w:rsid w:val="003B02D4"/>
    <w:rsid w:val="003B45FC"/>
    <w:rsid w:val="003B6C61"/>
    <w:rsid w:val="003C206F"/>
    <w:rsid w:val="003C2C65"/>
    <w:rsid w:val="003C4602"/>
    <w:rsid w:val="003C5BF5"/>
    <w:rsid w:val="003C70E5"/>
    <w:rsid w:val="003C72F5"/>
    <w:rsid w:val="003D407E"/>
    <w:rsid w:val="003D53A8"/>
    <w:rsid w:val="003D5DBC"/>
    <w:rsid w:val="003D695D"/>
    <w:rsid w:val="003D758B"/>
    <w:rsid w:val="003E1D18"/>
    <w:rsid w:val="003E4889"/>
    <w:rsid w:val="003E69D2"/>
    <w:rsid w:val="003E7707"/>
    <w:rsid w:val="003F0B7F"/>
    <w:rsid w:val="003F58E3"/>
    <w:rsid w:val="003F619C"/>
    <w:rsid w:val="003F6D8E"/>
    <w:rsid w:val="003F7C59"/>
    <w:rsid w:val="00400E9F"/>
    <w:rsid w:val="004034A7"/>
    <w:rsid w:val="00404236"/>
    <w:rsid w:val="00404D87"/>
    <w:rsid w:val="00404EF3"/>
    <w:rsid w:val="00406C09"/>
    <w:rsid w:val="0041011B"/>
    <w:rsid w:val="004126C9"/>
    <w:rsid w:val="00413EB7"/>
    <w:rsid w:val="00414230"/>
    <w:rsid w:val="00414BEC"/>
    <w:rsid w:val="004157DF"/>
    <w:rsid w:val="00416956"/>
    <w:rsid w:val="00416BC5"/>
    <w:rsid w:val="004170D8"/>
    <w:rsid w:val="00420BBE"/>
    <w:rsid w:val="00422538"/>
    <w:rsid w:val="0042465D"/>
    <w:rsid w:val="00425E6D"/>
    <w:rsid w:val="0042613F"/>
    <w:rsid w:val="0042627F"/>
    <w:rsid w:val="0042684C"/>
    <w:rsid w:val="00431287"/>
    <w:rsid w:val="00431B97"/>
    <w:rsid w:val="00435025"/>
    <w:rsid w:val="00435969"/>
    <w:rsid w:val="0043742D"/>
    <w:rsid w:val="00437E07"/>
    <w:rsid w:val="0044090E"/>
    <w:rsid w:val="00440D13"/>
    <w:rsid w:val="00441AE9"/>
    <w:rsid w:val="00441F9E"/>
    <w:rsid w:val="004429BB"/>
    <w:rsid w:val="004438E7"/>
    <w:rsid w:val="00443E9E"/>
    <w:rsid w:val="00447E49"/>
    <w:rsid w:val="0045009B"/>
    <w:rsid w:val="00450796"/>
    <w:rsid w:val="00452C8A"/>
    <w:rsid w:val="00453B1C"/>
    <w:rsid w:val="00454F3C"/>
    <w:rsid w:val="00455321"/>
    <w:rsid w:val="00456C1E"/>
    <w:rsid w:val="00462C59"/>
    <w:rsid w:val="0046384A"/>
    <w:rsid w:val="00464EEF"/>
    <w:rsid w:val="004662B9"/>
    <w:rsid w:val="004720A3"/>
    <w:rsid w:val="00473B9A"/>
    <w:rsid w:val="004743F3"/>
    <w:rsid w:val="00476DD6"/>
    <w:rsid w:val="004773A5"/>
    <w:rsid w:val="0047760B"/>
    <w:rsid w:val="00477A72"/>
    <w:rsid w:val="0048065C"/>
    <w:rsid w:val="004809C3"/>
    <w:rsid w:val="00481314"/>
    <w:rsid w:val="004818BE"/>
    <w:rsid w:val="00484082"/>
    <w:rsid w:val="00484361"/>
    <w:rsid w:val="004843F7"/>
    <w:rsid w:val="00484679"/>
    <w:rsid w:val="00486E13"/>
    <w:rsid w:val="00491182"/>
    <w:rsid w:val="00491A4E"/>
    <w:rsid w:val="0049461D"/>
    <w:rsid w:val="00494703"/>
    <w:rsid w:val="0049725F"/>
    <w:rsid w:val="00497708"/>
    <w:rsid w:val="004A2427"/>
    <w:rsid w:val="004A2B33"/>
    <w:rsid w:val="004A3751"/>
    <w:rsid w:val="004A3FED"/>
    <w:rsid w:val="004A70D5"/>
    <w:rsid w:val="004B1844"/>
    <w:rsid w:val="004B1EFC"/>
    <w:rsid w:val="004B2294"/>
    <w:rsid w:val="004B32E5"/>
    <w:rsid w:val="004B4AA9"/>
    <w:rsid w:val="004C020A"/>
    <w:rsid w:val="004C23CB"/>
    <w:rsid w:val="004C39F6"/>
    <w:rsid w:val="004C4C42"/>
    <w:rsid w:val="004C527D"/>
    <w:rsid w:val="004C5AE4"/>
    <w:rsid w:val="004C5CF2"/>
    <w:rsid w:val="004C5F2C"/>
    <w:rsid w:val="004C6991"/>
    <w:rsid w:val="004D049A"/>
    <w:rsid w:val="004D095D"/>
    <w:rsid w:val="004D193A"/>
    <w:rsid w:val="004D1F90"/>
    <w:rsid w:val="004D4995"/>
    <w:rsid w:val="004D5897"/>
    <w:rsid w:val="004E0B28"/>
    <w:rsid w:val="004E407E"/>
    <w:rsid w:val="004E46C6"/>
    <w:rsid w:val="004E7D3B"/>
    <w:rsid w:val="004E7F95"/>
    <w:rsid w:val="004F0A3E"/>
    <w:rsid w:val="004F153D"/>
    <w:rsid w:val="004F16FA"/>
    <w:rsid w:val="004F19E8"/>
    <w:rsid w:val="004F23E2"/>
    <w:rsid w:val="004F2A89"/>
    <w:rsid w:val="004F2D4D"/>
    <w:rsid w:val="004F31CC"/>
    <w:rsid w:val="004F3C42"/>
    <w:rsid w:val="004F46B3"/>
    <w:rsid w:val="004F5FEF"/>
    <w:rsid w:val="00500BAA"/>
    <w:rsid w:val="00502224"/>
    <w:rsid w:val="00502628"/>
    <w:rsid w:val="00506114"/>
    <w:rsid w:val="00506C06"/>
    <w:rsid w:val="00512BEA"/>
    <w:rsid w:val="00513848"/>
    <w:rsid w:val="00514925"/>
    <w:rsid w:val="00514AB6"/>
    <w:rsid w:val="00516B24"/>
    <w:rsid w:val="00521526"/>
    <w:rsid w:val="0052587F"/>
    <w:rsid w:val="005261AA"/>
    <w:rsid w:val="00526816"/>
    <w:rsid w:val="00527B84"/>
    <w:rsid w:val="0053046E"/>
    <w:rsid w:val="005321A5"/>
    <w:rsid w:val="00535EB1"/>
    <w:rsid w:val="00537228"/>
    <w:rsid w:val="0054117E"/>
    <w:rsid w:val="00543C8B"/>
    <w:rsid w:val="005441D5"/>
    <w:rsid w:val="005474BF"/>
    <w:rsid w:val="00547B4F"/>
    <w:rsid w:val="00551088"/>
    <w:rsid w:val="005525C3"/>
    <w:rsid w:val="0055316F"/>
    <w:rsid w:val="00557F3F"/>
    <w:rsid w:val="0056042D"/>
    <w:rsid w:val="0056124C"/>
    <w:rsid w:val="00561CAA"/>
    <w:rsid w:val="005653FF"/>
    <w:rsid w:val="00570509"/>
    <w:rsid w:val="00570689"/>
    <w:rsid w:val="0057205C"/>
    <w:rsid w:val="00573036"/>
    <w:rsid w:val="00575214"/>
    <w:rsid w:val="00576027"/>
    <w:rsid w:val="005764DE"/>
    <w:rsid w:val="00581E30"/>
    <w:rsid w:val="005820EB"/>
    <w:rsid w:val="0058214C"/>
    <w:rsid w:val="005829E5"/>
    <w:rsid w:val="00583B9F"/>
    <w:rsid w:val="00585014"/>
    <w:rsid w:val="005859F0"/>
    <w:rsid w:val="00587747"/>
    <w:rsid w:val="0059156F"/>
    <w:rsid w:val="00591AEE"/>
    <w:rsid w:val="00595101"/>
    <w:rsid w:val="00595EC0"/>
    <w:rsid w:val="005A05B9"/>
    <w:rsid w:val="005A1692"/>
    <w:rsid w:val="005A1CB1"/>
    <w:rsid w:val="005A300A"/>
    <w:rsid w:val="005A34C5"/>
    <w:rsid w:val="005A34E9"/>
    <w:rsid w:val="005B18EA"/>
    <w:rsid w:val="005B1CD6"/>
    <w:rsid w:val="005B2C61"/>
    <w:rsid w:val="005B4A21"/>
    <w:rsid w:val="005B69A1"/>
    <w:rsid w:val="005B7CDA"/>
    <w:rsid w:val="005C0F01"/>
    <w:rsid w:val="005C18CB"/>
    <w:rsid w:val="005C4050"/>
    <w:rsid w:val="005C51E3"/>
    <w:rsid w:val="005D04F4"/>
    <w:rsid w:val="005D1B84"/>
    <w:rsid w:val="005D4422"/>
    <w:rsid w:val="005D4A0A"/>
    <w:rsid w:val="005D6CA2"/>
    <w:rsid w:val="005E0CCA"/>
    <w:rsid w:val="005E4262"/>
    <w:rsid w:val="005F0751"/>
    <w:rsid w:val="005F2508"/>
    <w:rsid w:val="005F2DC3"/>
    <w:rsid w:val="005F3CA0"/>
    <w:rsid w:val="005F4155"/>
    <w:rsid w:val="005F52E4"/>
    <w:rsid w:val="005F5A63"/>
    <w:rsid w:val="005F61E3"/>
    <w:rsid w:val="005F6957"/>
    <w:rsid w:val="005F6A94"/>
    <w:rsid w:val="00604E89"/>
    <w:rsid w:val="00605C3A"/>
    <w:rsid w:val="0060712D"/>
    <w:rsid w:val="0060721F"/>
    <w:rsid w:val="006104D4"/>
    <w:rsid w:val="00610F0E"/>
    <w:rsid w:val="00612392"/>
    <w:rsid w:val="00612CD5"/>
    <w:rsid w:val="006149D9"/>
    <w:rsid w:val="00615670"/>
    <w:rsid w:val="00615C56"/>
    <w:rsid w:val="006160CC"/>
    <w:rsid w:val="006162B1"/>
    <w:rsid w:val="00616BC1"/>
    <w:rsid w:val="00617D07"/>
    <w:rsid w:val="0062192C"/>
    <w:rsid w:val="00621EA6"/>
    <w:rsid w:val="00626496"/>
    <w:rsid w:val="00627C9F"/>
    <w:rsid w:val="00632E68"/>
    <w:rsid w:val="0063342E"/>
    <w:rsid w:val="006344AC"/>
    <w:rsid w:val="0063603D"/>
    <w:rsid w:val="0063690E"/>
    <w:rsid w:val="00637AE0"/>
    <w:rsid w:val="00640076"/>
    <w:rsid w:val="00640F3D"/>
    <w:rsid w:val="00641639"/>
    <w:rsid w:val="00644751"/>
    <w:rsid w:val="00647953"/>
    <w:rsid w:val="00651CCE"/>
    <w:rsid w:val="00654976"/>
    <w:rsid w:val="00655832"/>
    <w:rsid w:val="00656A82"/>
    <w:rsid w:val="006577CF"/>
    <w:rsid w:val="00657893"/>
    <w:rsid w:val="00657B7C"/>
    <w:rsid w:val="00657D8D"/>
    <w:rsid w:val="0066239D"/>
    <w:rsid w:val="0066360E"/>
    <w:rsid w:val="00664926"/>
    <w:rsid w:val="00666596"/>
    <w:rsid w:val="0067060B"/>
    <w:rsid w:val="00671B4E"/>
    <w:rsid w:val="00672353"/>
    <w:rsid w:val="00672945"/>
    <w:rsid w:val="00674C98"/>
    <w:rsid w:val="006758C7"/>
    <w:rsid w:val="00675A4E"/>
    <w:rsid w:val="00675FCF"/>
    <w:rsid w:val="0067630D"/>
    <w:rsid w:val="006814AA"/>
    <w:rsid w:val="006819E6"/>
    <w:rsid w:val="00681CCC"/>
    <w:rsid w:val="00681F15"/>
    <w:rsid w:val="00682458"/>
    <w:rsid w:val="0068514D"/>
    <w:rsid w:val="00686B77"/>
    <w:rsid w:val="006874B2"/>
    <w:rsid w:val="00690601"/>
    <w:rsid w:val="00690940"/>
    <w:rsid w:val="00691858"/>
    <w:rsid w:val="00694239"/>
    <w:rsid w:val="006944EC"/>
    <w:rsid w:val="0069644B"/>
    <w:rsid w:val="006A00ED"/>
    <w:rsid w:val="006A01FB"/>
    <w:rsid w:val="006A0418"/>
    <w:rsid w:val="006A1156"/>
    <w:rsid w:val="006A1E96"/>
    <w:rsid w:val="006A21CE"/>
    <w:rsid w:val="006A3ACD"/>
    <w:rsid w:val="006A76C0"/>
    <w:rsid w:val="006B2E09"/>
    <w:rsid w:val="006B307C"/>
    <w:rsid w:val="006B3D9E"/>
    <w:rsid w:val="006B4F62"/>
    <w:rsid w:val="006B617D"/>
    <w:rsid w:val="006B66FD"/>
    <w:rsid w:val="006B673C"/>
    <w:rsid w:val="006B7DFD"/>
    <w:rsid w:val="006C0172"/>
    <w:rsid w:val="006C02F7"/>
    <w:rsid w:val="006C15FF"/>
    <w:rsid w:val="006C1D58"/>
    <w:rsid w:val="006C20EA"/>
    <w:rsid w:val="006C5B7E"/>
    <w:rsid w:val="006D1C04"/>
    <w:rsid w:val="006D20E7"/>
    <w:rsid w:val="006D2388"/>
    <w:rsid w:val="006D2B68"/>
    <w:rsid w:val="006D3AD7"/>
    <w:rsid w:val="006D4AC9"/>
    <w:rsid w:val="006D55FA"/>
    <w:rsid w:val="006D5E9F"/>
    <w:rsid w:val="006E2C5C"/>
    <w:rsid w:val="006E2ED0"/>
    <w:rsid w:val="006E2F6E"/>
    <w:rsid w:val="006E39EF"/>
    <w:rsid w:val="006E5B88"/>
    <w:rsid w:val="006E69F2"/>
    <w:rsid w:val="006E7177"/>
    <w:rsid w:val="006F1CC3"/>
    <w:rsid w:val="006F2671"/>
    <w:rsid w:val="006F2E00"/>
    <w:rsid w:val="006F2EC1"/>
    <w:rsid w:val="006F5AB8"/>
    <w:rsid w:val="006F77DB"/>
    <w:rsid w:val="00702106"/>
    <w:rsid w:val="00702A49"/>
    <w:rsid w:val="00705DF9"/>
    <w:rsid w:val="0070634A"/>
    <w:rsid w:val="007101CB"/>
    <w:rsid w:val="007109D6"/>
    <w:rsid w:val="007123CD"/>
    <w:rsid w:val="007123F3"/>
    <w:rsid w:val="00712B04"/>
    <w:rsid w:val="007132E7"/>
    <w:rsid w:val="007133ED"/>
    <w:rsid w:val="00713BB8"/>
    <w:rsid w:val="00713EE3"/>
    <w:rsid w:val="0071461A"/>
    <w:rsid w:val="007155B2"/>
    <w:rsid w:val="00716FFD"/>
    <w:rsid w:val="00720E9B"/>
    <w:rsid w:val="007218DB"/>
    <w:rsid w:val="00726EAC"/>
    <w:rsid w:val="00726ED8"/>
    <w:rsid w:val="00727244"/>
    <w:rsid w:val="007311D1"/>
    <w:rsid w:val="007329CE"/>
    <w:rsid w:val="00736D01"/>
    <w:rsid w:val="00737385"/>
    <w:rsid w:val="007376CD"/>
    <w:rsid w:val="007376E1"/>
    <w:rsid w:val="00741129"/>
    <w:rsid w:val="007419CA"/>
    <w:rsid w:val="00742169"/>
    <w:rsid w:val="00743092"/>
    <w:rsid w:val="0074389B"/>
    <w:rsid w:val="00743A24"/>
    <w:rsid w:val="00744241"/>
    <w:rsid w:val="0074454C"/>
    <w:rsid w:val="0074578F"/>
    <w:rsid w:val="0074740D"/>
    <w:rsid w:val="007479D1"/>
    <w:rsid w:val="0075063E"/>
    <w:rsid w:val="007515C2"/>
    <w:rsid w:val="00751A99"/>
    <w:rsid w:val="00753404"/>
    <w:rsid w:val="00753AE5"/>
    <w:rsid w:val="00754726"/>
    <w:rsid w:val="007556C7"/>
    <w:rsid w:val="00756501"/>
    <w:rsid w:val="00756A73"/>
    <w:rsid w:val="00760DCB"/>
    <w:rsid w:val="00760E7B"/>
    <w:rsid w:val="007610DB"/>
    <w:rsid w:val="00761194"/>
    <w:rsid w:val="0077176F"/>
    <w:rsid w:val="00771D94"/>
    <w:rsid w:val="00772518"/>
    <w:rsid w:val="007733E7"/>
    <w:rsid w:val="00773679"/>
    <w:rsid w:val="00774C7C"/>
    <w:rsid w:val="00775826"/>
    <w:rsid w:val="007761E7"/>
    <w:rsid w:val="00776872"/>
    <w:rsid w:val="00783018"/>
    <w:rsid w:val="00784B7A"/>
    <w:rsid w:val="007858F0"/>
    <w:rsid w:val="007871F4"/>
    <w:rsid w:val="0079048B"/>
    <w:rsid w:val="00790D42"/>
    <w:rsid w:val="007916E8"/>
    <w:rsid w:val="00795498"/>
    <w:rsid w:val="00797A74"/>
    <w:rsid w:val="007A2D91"/>
    <w:rsid w:val="007A30D6"/>
    <w:rsid w:val="007A392A"/>
    <w:rsid w:val="007A435A"/>
    <w:rsid w:val="007A6FD2"/>
    <w:rsid w:val="007A7D80"/>
    <w:rsid w:val="007B280B"/>
    <w:rsid w:val="007B4348"/>
    <w:rsid w:val="007C19C2"/>
    <w:rsid w:val="007C1A4C"/>
    <w:rsid w:val="007C2890"/>
    <w:rsid w:val="007C32F6"/>
    <w:rsid w:val="007C3B5D"/>
    <w:rsid w:val="007C4501"/>
    <w:rsid w:val="007C501A"/>
    <w:rsid w:val="007C57E0"/>
    <w:rsid w:val="007C70CD"/>
    <w:rsid w:val="007C7BBA"/>
    <w:rsid w:val="007C7ECA"/>
    <w:rsid w:val="007D0EC7"/>
    <w:rsid w:val="007D2BDC"/>
    <w:rsid w:val="007D2E8B"/>
    <w:rsid w:val="007D3FC2"/>
    <w:rsid w:val="007D4F0A"/>
    <w:rsid w:val="007D6813"/>
    <w:rsid w:val="007D6CD5"/>
    <w:rsid w:val="007E1E41"/>
    <w:rsid w:val="007E35E5"/>
    <w:rsid w:val="007E5826"/>
    <w:rsid w:val="007E6D59"/>
    <w:rsid w:val="007E723F"/>
    <w:rsid w:val="007E7924"/>
    <w:rsid w:val="007F1CCD"/>
    <w:rsid w:val="007F1EEB"/>
    <w:rsid w:val="007F2F2E"/>
    <w:rsid w:val="007F3BA3"/>
    <w:rsid w:val="007F557D"/>
    <w:rsid w:val="007F5EC7"/>
    <w:rsid w:val="008015AF"/>
    <w:rsid w:val="00802FD5"/>
    <w:rsid w:val="00803AA2"/>
    <w:rsid w:val="008045C7"/>
    <w:rsid w:val="00804B5E"/>
    <w:rsid w:val="00804D77"/>
    <w:rsid w:val="00804F20"/>
    <w:rsid w:val="00806018"/>
    <w:rsid w:val="00806678"/>
    <w:rsid w:val="00810F81"/>
    <w:rsid w:val="00811649"/>
    <w:rsid w:val="00811CCD"/>
    <w:rsid w:val="008126C5"/>
    <w:rsid w:val="00814A74"/>
    <w:rsid w:val="00814F43"/>
    <w:rsid w:val="00817751"/>
    <w:rsid w:val="00823E81"/>
    <w:rsid w:val="008253C5"/>
    <w:rsid w:val="0083114D"/>
    <w:rsid w:val="00831BFA"/>
    <w:rsid w:val="0083232B"/>
    <w:rsid w:val="00832939"/>
    <w:rsid w:val="00833501"/>
    <w:rsid w:val="00833831"/>
    <w:rsid w:val="008346B9"/>
    <w:rsid w:val="00836E0F"/>
    <w:rsid w:val="00837B65"/>
    <w:rsid w:val="00840D5B"/>
    <w:rsid w:val="00841FF3"/>
    <w:rsid w:val="0084220F"/>
    <w:rsid w:val="00843318"/>
    <w:rsid w:val="00843476"/>
    <w:rsid w:val="008446D6"/>
    <w:rsid w:val="00844E69"/>
    <w:rsid w:val="0084540B"/>
    <w:rsid w:val="00846387"/>
    <w:rsid w:val="00847DA2"/>
    <w:rsid w:val="00851423"/>
    <w:rsid w:val="0085394D"/>
    <w:rsid w:val="00854C5D"/>
    <w:rsid w:val="0085622B"/>
    <w:rsid w:val="0085771B"/>
    <w:rsid w:val="00860E3A"/>
    <w:rsid w:val="00861CCD"/>
    <w:rsid w:val="00865DA4"/>
    <w:rsid w:val="00872EA3"/>
    <w:rsid w:val="008732ED"/>
    <w:rsid w:val="00875534"/>
    <w:rsid w:val="00876F5C"/>
    <w:rsid w:val="00877C1E"/>
    <w:rsid w:val="00882193"/>
    <w:rsid w:val="008823AC"/>
    <w:rsid w:val="00883427"/>
    <w:rsid w:val="00884015"/>
    <w:rsid w:val="008843F8"/>
    <w:rsid w:val="008845E9"/>
    <w:rsid w:val="00886D6C"/>
    <w:rsid w:val="008901F7"/>
    <w:rsid w:val="00892CD8"/>
    <w:rsid w:val="0089690C"/>
    <w:rsid w:val="008A0087"/>
    <w:rsid w:val="008A1638"/>
    <w:rsid w:val="008A1AC2"/>
    <w:rsid w:val="008A350A"/>
    <w:rsid w:val="008A652C"/>
    <w:rsid w:val="008B2404"/>
    <w:rsid w:val="008B346D"/>
    <w:rsid w:val="008B3C8E"/>
    <w:rsid w:val="008B42AC"/>
    <w:rsid w:val="008B507B"/>
    <w:rsid w:val="008B6E40"/>
    <w:rsid w:val="008B770B"/>
    <w:rsid w:val="008B7927"/>
    <w:rsid w:val="008C48BF"/>
    <w:rsid w:val="008C54A7"/>
    <w:rsid w:val="008C5895"/>
    <w:rsid w:val="008C70D4"/>
    <w:rsid w:val="008C716A"/>
    <w:rsid w:val="008C7CAA"/>
    <w:rsid w:val="008C7F14"/>
    <w:rsid w:val="008D163B"/>
    <w:rsid w:val="008D2584"/>
    <w:rsid w:val="008D301B"/>
    <w:rsid w:val="008D4896"/>
    <w:rsid w:val="008D49AB"/>
    <w:rsid w:val="008D5150"/>
    <w:rsid w:val="008D6103"/>
    <w:rsid w:val="008D6F81"/>
    <w:rsid w:val="008E1272"/>
    <w:rsid w:val="008E3581"/>
    <w:rsid w:val="008E4011"/>
    <w:rsid w:val="008F0CE5"/>
    <w:rsid w:val="008F132F"/>
    <w:rsid w:val="008F2A79"/>
    <w:rsid w:val="008F3970"/>
    <w:rsid w:val="008F3ED7"/>
    <w:rsid w:val="008F457D"/>
    <w:rsid w:val="008F6F34"/>
    <w:rsid w:val="0090154F"/>
    <w:rsid w:val="00901CEE"/>
    <w:rsid w:val="00901FD6"/>
    <w:rsid w:val="009025E3"/>
    <w:rsid w:val="00903973"/>
    <w:rsid w:val="00903FFB"/>
    <w:rsid w:val="0090506B"/>
    <w:rsid w:val="00905AB4"/>
    <w:rsid w:val="0090606B"/>
    <w:rsid w:val="00910C0F"/>
    <w:rsid w:val="009129B2"/>
    <w:rsid w:val="00913B40"/>
    <w:rsid w:val="009166B7"/>
    <w:rsid w:val="00916A85"/>
    <w:rsid w:val="00916F7E"/>
    <w:rsid w:val="0091750C"/>
    <w:rsid w:val="00917B43"/>
    <w:rsid w:val="00917D1A"/>
    <w:rsid w:val="009215B5"/>
    <w:rsid w:val="00922747"/>
    <w:rsid w:val="00922A53"/>
    <w:rsid w:val="00922FD5"/>
    <w:rsid w:val="00927114"/>
    <w:rsid w:val="0092753E"/>
    <w:rsid w:val="00932FDD"/>
    <w:rsid w:val="00934068"/>
    <w:rsid w:val="00942147"/>
    <w:rsid w:val="00942A8D"/>
    <w:rsid w:val="00944950"/>
    <w:rsid w:val="00950842"/>
    <w:rsid w:val="00950F72"/>
    <w:rsid w:val="00953007"/>
    <w:rsid w:val="00953735"/>
    <w:rsid w:val="009552E8"/>
    <w:rsid w:val="00955E8B"/>
    <w:rsid w:val="00957D21"/>
    <w:rsid w:val="00957F63"/>
    <w:rsid w:val="009627D8"/>
    <w:rsid w:val="00964218"/>
    <w:rsid w:val="009661F0"/>
    <w:rsid w:val="00967566"/>
    <w:rsid w:val="00967891"/>
    <w:rsid w:val="009730B8"/>
    <w:rsid w:val="00973870"/>
    <w:rsid w:val="00975962"/>
    <w:rsid w:val="00975F78"/>
    <w:rsid w:val="0097690A"/>
    <w:rsid w:val="00976B58"/>
    <w:rsid w:val="009778B1"/>
    <w:rsid w:val="00985AF4"/>
    <w:rsid w:val="0098652A"/>
    <w:rsid w:val="009903AC"/>
    <w:rsid w:val="009915B9"/>
    <w:rsid w:val="00991F20"/>
    <w:rsid w:val="00993180"/>
    <w:rsid w:val="009939DB"/>
    <w:rsid w:val="00993D68"/>
    <w:rsid w:val="009972C8"/>
    <w:rsid w:val="009A01F9"/>
    <w:rsid w:val="009A3CCF"/>
    <w:rsid w:val="009A5559"/>
    <w:rsid w:val="009B0CC4"/>
    <w:rsid w:val="009B105F"/>
    <w:rsid w:val="009B10CF"/>
    <w:rsid w:val="009B1DA0"/>
    <w:rsid w:val="009B41A2"/>
    <w:rsid w:val="009B496D"/>
    <w:rsid w:val="009B66A4"/>
    <w:rsid w:val="009B74DD"/>
    <w:rsid w:val="009B7652"/>
    <w:rsid w:val="009C10DF"/>
    <w:rsid w:val="009C1AFA"/>
    <w:rsid w:val="009C2915"/>
    <w:rsid w:val="009C31C6"/>
    <w:rsid w:val="009C4097"/>
    <w:rsid w:val="009C54C1"/>
    <w:rsid w:val="009C5C05"/>
    <w:rsid w:val="009C62A7"/>
    <w:rsid w:val="009D1786"/>
    <w:rsid w:val="009D2758"/>
    <w:rsid w:val="009D2B25"/>
    <w:rsid w:val="009D6530"/>
    <w:rsid w:val="009E16FE"/>
    <w:rsid w:val="009E45F5"/>
    <w:rsid w:val="009E59AC"/>
    <w:rsid w:val="009E7308"/>
    <w:rsid w:val="009E74F7"/>
    <w:rsid w:val="009E76EE"/>
    <w:rsid w:val="009F0D7D"/>
    <w:rsid w:val="009F141C"/>
    <w:rsid w:val="009F1917"/>
    <w:rsid w:val="009F1AF9"/>
    <w:rsid w:val="009F4AD1"/>
    <w:rsid w:val="009F5E6F"/>
    <w:rsid w:val="009F7541"/>
    <w:rsid w:val="009F7E88"/>
    <w:rsid w:val="00A024BE"/>
    <w:rsid w:val="00A030D6"/>
    <w:rsid w:val="00A03943"/>
    <w:rsid w:val="00A05175"/>
    <w:rsid w:val="00A05B98"/>
    <w:rsid w:val="00A0658F"/>
    <w:rsid w:val="00A06FD2"/>
    <w:rsid w:val="00A07A72"/>
    <w:rsid w:val="00A10077"/>
    <w:rsid w:val="00A13359"/>
    <w:rsid w:val="00A13F55"/>
    <w:rsid w:val="00A14925"/>
    <w:rsid w:val="00A15ABD"/>
    <w:rsid w:val="00A21C07"/>
    <w:rsid w:val="00A21CEF"/>
    <w:rsid w:val="00A24702"/>
    <w:rsid w:val="00A24D4E"/>
    <w:rsid w:val="00A25FB1"/>
    <w:rsid w:val="00A27175"/>
    <w:rsid w:val="00A31F3B"/>
    <w:rsid w:val="00A337F7"/>
    <w:rsid w:val="00A33DCC"/>
    <w:rsid w:val="00A4058E"/>
    <w:rsid w:val="00A405C2"/>
    <w:rsid w:val="00A415F3"/>
    <w:rsid w:val="00A42C1D"/>
    <w:rsid w:val="00A43ED1"/>
    <w:rsid w:val="00A43EE6"/>
    <w:rsid w:val="00A44409"/>
    <w:rsid w:val="00A47B61"/>
    <w:rsid w:val="00A513C5"/>
    <w:rsid w:val="00A5207B"/>
    <w:rsid w:val="00A5211A"/>
    <w:rsid w:val="00A52B34"/>
    <w:rsid w:val="00A52FC8"/>
    <w:rsid w:val="00A5346E"/>
    <w:rsid w:val="00A53C16"/>
    <w:rsid w:val="00A54248"/>
    <w:rsid w:val="00A562EC"/>
    <w:rsid w:val="00A57C22"/>
    <w:rsid w:val="00A60442"/>
    <w:rsid w:val="00A62E2E"/>
    <w:rsid w:val="00A63962"/>
    <w:rsid w:val="00A63E61"/>
    <w:rsid w:val="00A65902"/>
    <w:rsid w:val="00A65F78"/>
    <w:rsid w:val="00A67273"/>
    <w:rsid w:val="00A7061F"/>
    <w:rsid w:val="00A70C5F"/>
    <w:rsid w:val="00A73B39"/>
    <w:rsid w:val="00A742C7"/>
    <w:rsid w:val="00A74822"/>
    <w:rsid w:val="00A74E55"/>
    <w:rsid w:val="00A75954"/>
    <w:rsid w:val="00A77306"/>
    <w:rsid w:val="00A82A8A"/>
    <w:rsid w:val="00A835FA"/>
    <w:rsid w:val="00A8464B"/>
    <w:rsid w:val="00A85B66"/>
    <w:rsid w:val="00A86F45"/>
    <w:rsid w:val="00A9211A"/>
    <w:rsid w:val="00A9326D"/>
    <w:rsid w:val="00A953B0"/>
    <w:rsid w:val="00A957FD"/>
    <w:rsid w:val="00A97684"/>
    <w:rsid w:val="00AA000E"/>
    <w:rsid w:val="00AA0853"/>
    <w:rsid w:val="00AA1950"/>
    <w:rsid w:val="00AA264B"/>
    <w:rsid w:val="00AA40EC"/>
    <w:rsid w:val="00AA623A"/>
    <w:rsid w:val="00AB2229"/>
    <w:rsid w:val="00AB3166"/>
    <w:rsid w:val="00AB3649"/>
    <w:rsid w:val="00AB5F5A"/>
    <w:rsid w:val="00AB77D4"/>
    <w:rsid w:val="00AC028F"/>
    <w:rsid w:val="00AC0BBE"/>
    <w:rsid w:val="00AC2964"/>
    <w:rsid w:val="00AC5505"/>
    <w:rsid w:val="00AC795B"/>
    <w:rsid w:val="00AC7EF2"/>
    <w:rsid w:val="00AD062B"/>
    <w:rsid w:val="00AD7DFF"/>
    <w:rsid w:val="00AE1C8B"/>
    <w:rsid w:val="00AE2118"/>
    <w:rsid w:val="00AE37C4"/>
    <w:rsid w:val="00AE6E69"/>
    <w:rsid w:val="00AE79D4"/>
    <w:rsid w:val="00AE7D82"/>
    <w:rsid w:val="00AF16BD"/>
    <w:rsid w:val="00AF24DA"/>
    <w:rsid w:val="00AF2DDB"/>
    <w:rsid w:val="00AF58A8"/>
    <w:rsid w:val="00AF59E0"/>
    <w:rsid w:val="00AF717A"/>
    <w:rsid w:val="00B004C4"/>
    <w:rsid w:val="00B03EA0"/>
    <w:rsid w:val="00B050A6"/>
    <w:rsid w:val="00B06A33"/>
    <w:rsid w:val="00B103F3"/>
    <w:rsid w:val="00B11AF3"/>
    <w:rsid w:val="00B12C9E"/>
    <w:rsid w:val="00B12EDA"/>
    <w:rsid w:val="00B130A7"/>
    <w:rsid w:val="00B13493"/>
    <w:rsid w:val="00B17945"/>
    <w:rsid w:val="00B17E32"/>
    <w:rsid w:val="00B20774"/>
    <w:rsid w:val="00B20957"/>
    <w:rsid w:val="00B231AE"/>
    <w:rsid w:val="00B24E78"/>
    <w:rsid w:val="00B25E17"/>
    <w:rsid w:val="00B26E44"/>
    <w:rsid w:val="00B27903"/>
    <w:rsid w:val="00B30154"/>
    <w:rsid w:val="00B332C2"/>
    <w:rsid w:val="00B33AE7"/>
    <w:rsid w:val="00B342CF"/>
    <w:rsid w:val="00B37CFB"/>
    <w:rsid w:val="00B44247"/>
    <w:rsid w:val="00B450FD"/>
    <w:rsid w:val="00B459CC"/>
    <w:rsid w:val="00B46EDF"/>
    <w:rsid w:val="00B477AF"/>
    <w:rsid w:val="00B51EA0"/>
    <w:rsid w:val="00B5276B"/>
    <w:rsid w:val="00B5417E"/>
    <w:rsid w:val="00B55BE0"/>
    <w:rsid w:val="00B55F79"/>
    <w:rsid w:val="00B60167"/>
    <w:rsid w:val="00B60AD1"/>
    <w:rsid w:val="00B61D67"/>
    <w:rsid w:val="00B62B27"/>
    <w:rsid w:val="00B63577"/>
    <w:rsid w:val="00B65A7B"/>
    <w:rsid w:val="00B65F51"/>
    <w:rsid w:val="00B67B48"/>
    <w:rsid w:val="00B740D6"/>
    <w:rsid w:val="00B74AE1"/>
    <w:rsid w:val="00B74CAC"/>
    <w:rsid w:val="00B76BCE"/>
    <w:rsid w:val="00B76C00"/>
    <w:rsid w:val="00B80E93"/>
    <w:rsid w:val="00B813CA"/>
    <w:rsid w:val="00B81DCA"/>
    <w:rsid w:val="00B82555"/>
    <w:rsid w:val="00B82E30"/>
    <w:rsid w:val="00B85347"/>
    <w:rsid w:val="00B873C9"/>
    <w:rsid w:val="00B90235"/>
    <w:rsid w:val="00B903E1"/>
    <w:rsid w:val="00B93843"/>
    <w:rsid w:val="00B94A10"/>
    <w:rsid w:val="00B95561"/>
    <w:rsid w:val="00B9588A"/>
    <w:rsid w:val="00B9591C"/>
    <w:rsid w:val="00B95CB5"/>
    <w:rsid w:val="00B96A3E"/>
    <w:rsid w:val="00BA0B33"/>
    <w:rsid w:val="00BA0D69"/>
    <w:rsid w:val="00BA11F2"/>
    <w:rsid w:val="00BA1BFB"/>
    <w:rsid w:val="00BA1D3C"/>
    <w:rsid w:val="00BA5385"/>
    <w:rsid w:val="00BA5DC2"/>
    <w:rsid w:val="00BA6AD4"/>
    <w:rsid w:val="00BA7BA1"/>
    <w:rsid w:val="00BB15FF"/>
    <w:rsid w:val="00BB1C2D"/>
    <w:rsid w:val="00BB4AEC"/>
    <w:rsid w:val="00BC023B"/>
    <w:rsid w:val="00BC25E5"/>
    <w:rsid w:val="00BC29C9"/>
    <w:rsid w:val="00BC3398"/>
    <w:rsid w:val="00BC36EC"/>
    <w:rsid w:val="00BC572A"/>
    <w:rsid w:val="00BC6013"/>
    <w:rsid w:val="00BC7E55"/>
    <w:rsid w:val="00BD707E"/>
    <w:rsid w:val="00BE1DB9"/>
    <w:rsid w:val="00BE3CBC"/>
    <w:rsid w:val="00BE4CC4"/>
    <w:rsid w:val="00BF0988"/>
    <w:rsid w:val="00BF0A36"/>
    <w:rsid w:val="00BF0C4C"/>
    <w:rsid w:val="00BF1E6C"/>
    <w:rsid w:val="00BF265E"/>
    <w:rsid w:val="00BF5311"/>
    <w:rsid w:val="00BF71DD"/>
    <w:rsid w:val="00BF75C2"/>
    <w:rsid w:val="00C00895"/>
    <w:rsid w:val="00C01448"/>
    <w:rsid w:val="00C024F2"/>
    <w:rsid w:val="00C02B6B"/>
    <w:rsid w:val="00C03251"/>
    <w:rsid w:val="00C07892"/>
    <w:rsid w:val="00C104EA"/>
    <w:rsid w:val="00C10A64"/>
    <w:rsid w:val="00C116A8"/>
    <w:rsid w:val="00C13E02"/>
    <w:rsid w:val="00C16628"/>
    <w:rsid w:val="00C20157"/>
    <w:rsid w:val="00C21C22"/>
    <w:rsid w:val="00C239CF"/>
    <w:rsid w:val="00C24EEE"/>
    <w:rsid w:val="00C260CE"/>
    <w:rsid w:val="00C3065F"/>
    <w:rsid w:val="00C31766"/>
    <w:rsid w:val="00C3299F"/>
    <w:rsid w:val="00C33776"/>
    <w:rsid w:val="00C349F7"/>
    <w:rsid w:val="00C3543A"/>
    <w:rsid w:val="00C3567F"/>
    <w:rsid w:val="00C35DF0"/>
    <w:rsid w:val="00C36FBC"/>
    <w:rsid w:val="00C4050A"/>
    <w:rsid w:val="00C434E3"/>
    <w:rsid w:val="00C44778"/>
    <w:rsid w:val="00C5270F"/>
    <w:rsid w:val="00C527B1"/>
    <w:rsid w:val="00C5299A"/>
    <w:rsid w:val="00C53ED0"/>
    <w:rsid w:val="00C544EC"/>
    <w:rsid w:val="00C566F8"/>
    <w:rsid w:val="00C614D8"/>
    <w:rsid w:val="00C6248A"/>
    <w:rsid w:val="00C63E1C"/>
    <w:rsid w:val="00C65508"/>
    <w:rsid w:val="00C674B0"/>
    <w:rsid w:val="00C70183"/>
    <w:rsid w:val="00C713D5"/>
    <w:rsid w:val="00C71802"/>
    <w:rsid w:val="00C72ABB"/>
    <w:rsid w:val="00C7363D"/>
    <w:rsid w:val="00C75309"/>
    <w:rsid w:val="00C75C2A"/>
    <w:rsid w:val="00C7606A"/>
    <w:rsid w:val="00C764CD"/>
    <w:rsid w:val="00C77A62"/>
    <w:rsid w:val="00C81949"/>
    <w:rsid w:val="00C84B82"/>
    <w:rsid w:val="00C85528"/>
    <w:rsid w:val="00C85F08"/>
    <w:rsid w:val="00C901A5"/>
    <w:rsid w:val="00C90B30"/>
    <w:rsid w:val="00C9181D"/>
    <w:rsid w:val="00C91C4E"/>
    <w:rsid w:val="00C924D7"/>
    <w:rsid w:val="00C930F1"/>
    <w:rsid w:val="00C93294"/>
    <w:rsid w:val="00C9403C"/>
    <w:rsid w:val="00CA0BC9"/>
    <w:rsid w:val="00CA1530"/>
    <w:rsid w:val="00CA1F8C"/>
    <w:rsid w:val="00CA27FA"/>
    <w:rsid w:val="00CA4352"/>
    <w:rsid w:val="00CB28B0"/>
    <w:rsid w:val="00CB2FA9"/>
    <w:rsid w:val="00CB338A"/>
    <w:rsid w:val="00CB3498"/>
    <w:rsid w:val="00CB4262"/>
    <w:rsid w:val="00CB61A7"/>
    <w:rsid w:val="00CB6FCC"/>
    <w:rsid w:val="00CB70B0"/>
    <w:rsid w:val="00CC09FA"/>
    <w:rsid w:val="00CC0D2A"/>
    <w:rsid w:val="00CC4814"/>
    <w:rsid w:val="00CC48FD"/>
    <w:rsid w:val="00CC544B"/>
    <w:rsid w:val="00CC68CC"/>
    <w:rsid w:val="00CC70FB"/>
    <w:rsid w:val="00CC73E2"/>
    <w:rsid w:val="00CD06AF"/>
    <w:rsid w:val="00CD0B79"/>
    <w:rsid w:val="00CD1793"/>
    <w:rsid w:val="00CD1A57"/>
    <w:rsid w:val="00CD1A7B"/>
    <w:rsid w:val="00CD1C33"/>
    <w:rsid w:val="00CD2BF9"/>
    <w:rsid w:val="00CD35F2"/>
    <w:rsid w:val="00CD3B89"/>
    <w:rsid w:val="00CD3EEB"/>
    <w:rsid w:val="00CE4D81"/>
    <w:rsid w:val="00CE57E6"/>
    <w:rsid w:val="00CE580C"/>
    <w:rsid w:val="00CE5A62"/>
    <w:rsid w:val="00CE7BB6"/>
    <w:rsid w:val="00CF79A0"/>
    <w:rsid w:val="00D00B5C"/>
    <w:rsid w:val="00D013C8"/>
    <w:rsid w:val="00D022D2"/>
    <w:rsid w:val="00D03439"/>
    <w:rsid w:val="00D04127"/>
    <w:rsid w:val="00D0463F"/>
    <w:rsid w:val="00D0738F"/>
    <w:rsid w:val="00D10559"/>
    <w:rsid w:val="00D15114"/>
    <w:rsid w:val="00D164FC"/>
    <w:rsid w:val="00D16828"/>
    <w:rsid w:val="00D16C60"/>
    <w:rsid w:val="00D16E1E"/>
    <w:rsid w:val="00D17725"/>
    <w:rsid w:val="00D20A82"/>
    <w:rsid w:val="00D22228"/>
    <w:rsid w:val="00D230DA"/>
    <w:rsid w:val="00D23EF1"/>
    <w:rsid w:val="00D24345"/>
    <w:rsid w:val="00D24BC4"/>
    <w:rsid w:val="00D262A7"/>
    <w:rsid w:val="00D266AF"/>
    <w:rsid w:val="00D2736F"/>
    <w:rsid w:val="00D3161A"/>
    <w:rsid w:val="00D31C91"/>
    <w:rsid w:val="00D3246B"/>
    <w:rsid w:val="00D332E0"/>
    <w:rsid w:val="00D33418"/>
    <w:rsid w:val="00D35129"/>
    <w:rsid w:val="00D35283"/>
    <w:rsid w:val="00D35981"/>
    <w:rsid w:val="00D365FC"/>
    <w:rsid w:val="00D405DC"/>
    <w:rsid w:val="00D40BED"/>
    <w:rsid w:val="00D42332"/>
    <w:rsid w:val="00D47A30"/>
    <w:rsid w:val="00D50791"/>
    <w:rsid w:val="00D508E5"/>
    <w:rsid w:val="00D52026"/>
    <w:rsid w:val="00D529D9"/>
    <w:rsid w:val="00D53E4C"/>
    <w:rsid w:val="00D54213"/>
    <w:rsid w:val="00D61273"/>
    <w:rsid w:val="00D631F9"/>
    <w:rsid w:val="00D640D6"/>
    <w:rsid w:val="00D65583"/>
    <w:rsid w:val="00D66923"/>
    <w:rsid w:val="00D66E7D"/>
    <w:rsid w:val="00D66FDC"/>
    <w:rsid w:val="00D67FB4"/>
    <w:rsid w:val="00D7019B"/>
    <w:rsid w:val="00D703E9"/>
    <w:rsid w:val="00D71F31"/>
    <w:rsid w:val="00D7221A"/>
    <w:rsid w:val="00D72257"/>
    <w:rsid w:val="00D7311D"/>
    <w:rsid w:val="00D73635"/>
    <w:rsid w:val="00D73B1A"/>
    <w:rsid w:val="00D75566"/>
    <w:rsid w:val="00D7557C"/>
    <w:rsid w:val="00D759FE"/>
    <w:rsid w:val="00D76B5B"/>
    <w:rsid w:val="00D76E49"/>
    <w:rsid w:val="00D77BEA"/>
    <w:rsid w:val="00D802BC"/>
    <w:rsid w:val="00D82EC8"/>
    <w:rsid w:val="00D833BA"/>
    <w:rsid w:val="00D8412B"/>
    <w:rsid w:val="00D8701D"/>
    <w:rsid w:val="00D873DC"/>
    <w:rsid w:val="00D879D3"/>
    <w:rsid w:val="00D9002E"/>
    <w:rsid w:val="00D909BD"/>
    <w:rsid w:val="00D94552"/>
    <w:rsid w:val="00D9548D"/>
    <w:rsid w:val="00D955BE"/>
    <w:rsid w:val="00D95ABE"/>
    <w:rsid w:val="00D96ADF"/>
    <w:rsid w:val="00DA2E8A"/>
    <w:rsid w:val="00DA796D"/>
    <w:rsid w:val="00DB0740"/>
    <w:rsid w:val="00DB0A83"/>
    <w:rsid w:val="00DB0ECD"/>
    <w:rsid w:val="00DB2C0C"/>
    <w:rsid w:val="00DB5DD3"/>
    <w:rsid w:val="00DC0B4A"/>
    <w:rsid w:val="00DC13F0"/>
    <w:rsid w:val="00DC3571"/>
    <w:rsid w:val="00DC3D13"/>
    <w:rsid w:val="00DC58A2"/>
    <w:rsid w:val="00DD133D"/>
    <w:rsid w:val="00DD36BB"/>
    <w:rsid w:val="00DD68FF"/>
    <w:rsid w:val="00DD7914"/>
    <w:rsid w:val="00DE2130"/>
    <w:rsid w:val="00DE2872"/>
    <w:rsid w:val="00DE3FEF"/>
    <w:rsid w:val="00DE4F66"/>
    <w:rsid w:val="00DE504F"/>
    <w:rsid w:val="00DF2D16"/>
    <w:rsid w:val="00DF2F76"/>
    <w:rsid w:val="00DF4D67"/>
    <w:rsid w:val="00DF4EF8"/>
    <w:rsid w:val="00DF4F24"/>
    <w:rsid w:val="00DF5AB9"/>
    <w:rsid w:val="00DF6299"/>
    <w:rsid w:val="00DF64BE"/>
    <w:rsid w:val="00DF6718"/>
    <w:rsid w:val="00DF753A"/>
    <w:rsid w:val="00DF7DBB"/>
    <w:rsid w:val="00E00E1B"/>
    <w:rsid w:val="00E01628"/>
    <w:rsid w:val="00E01F4E"/>
    <w:rsid w:val="00E1312D"/>
    <w:rsid w:val="00E15856"/>
    <w:rsid w:val="00E15E23"/>
    <w:rsid w:val="00E20441"/>
    <w:rsid w:val="00E219FC"/>
    <w:rsid w:val="00E21DE8"/>
    <w:rsid w:val="00E2223A"/>
    <w:rsid w:val="00E25E3B"/>
    <w:rsid w:val="00E25EF2"/>
    <w:rsid w:val="00E3223D"/>
    <w:rsid w:val="00E3230E"/>
    <w:rsid w:val="00E3251A"/>
    <w:rsid w:val="00E32AF4"/>
    <w:rsid w:val="00E365D6"/>
    <w:rsid w:val="00E36FB7"/>
    <w:rsid w:val="00E37DDF"/>
    <w:rsid w:val="00E4459D"/>
    <w:rsid w:val="00E44CF8"/>
    <w:rsid w:val="00E5040D"/>
    <w:rsid w:val="00E5067C"/>
    <w:rsid w:val="00E50CEC"/>
    <w:rsid w:val="00E51081"/>
    <w:rsid w:val="00E5110C"/>
    <w:rsid w:val="00E533A8"/>
    <w:rsid w:val="00E53C8A"/>
    <w:rsid w:val="00E55984"/>
    <w:rsid w:val="00E56251"/>
    <w:rsid w:val="00E56825"/>
    <w:rsid w:val="00E60638"/>
    <w:rsid w:val="00E60837"/>
    <w:rsid w:val="00E61A00"/>
    <w:rsid w:val="00E66BB5"/>
    <w:rsid w:val="00E6716A"/>
    <w:rsid w:val="00E70C66"/>
    <w:rsid w:val="00E70F83"/>
    <w:rsid w:val="00E71682"/>
    <w:rsid w:val="00E74534"/>
    <w:rsid w:val="00E74C8B"/>
    <w:rsid w:val="00E75478"/>
    <w:rsid w:val="00E76019"/>
    <w:rsid w:val="00E762DB"/>
    <w:rsid w:val="00E76E94"/>
    <w:rsid w:val="00E778BA"/>
    <w:rsid w:val="00E812CF"/>
    <w:rsid w:val="00E83240"/>
    <w:rsid w:val="00E87735"/>
    <w:rsid w:val="00E8799A"/>
    <w:rsid w:val="00E9002E"/>
    <w:rsid w:val="00E903E7"/>
    <w:rsid w:val="00E9224E"/>
    <w:rsid w:val="00E93828"/>
    <w:rsid w:val="00E94998"/>
    <w:rsid w:val="00E94C65"/>
    <w:rsid w:val="00E94F6F"/>
    <w:rsid w:val="00E96604"/>
    <w:rsid w:val="00EA018F"/>
    <w:rsid w:val="00EA0C33"/>
    <w:rsid w:val="00EA0F5B"/>
    <w:rsid w:val="00EA23C8"/>
    <w:rsid w:val="00EA390F"/>
    <w:rsid w:val="00EA6A3C"/>
    <w:rsid w:val="00EA7589"/>
    <w:rsid w:val="00EB0F97"/>
    <w:rsid w:val="00EB1871"/>
    <w:rsid w:val="00EB2077"/>
    <w:rsid w:val="00EB43C9"/>
    <w:rsid w:val="00EB51D6"/>
    <w:rsid w:val="00EB52B8"/>
    <w:rsid w:val="00EB54EC"/>
    <w:rsid w:val="00EB59EF"/>
    <w:rsid w:val="00EB6734"/>
    <w:rsid w:val="00EB6DDC"/>
    <w:rsid w:val="00EC038C"/>
    <w:rsid w:val="00EC2874"/>
    <w:rsid w:val="00EC2B17"/>
    <w:rsid w:val="00EC6409"/>
    <w:rsid w:val="00EC6F7D"/>
    <w:rsid w:val="00ED1167"/>
    <w:rsid w:val="00ED20C0"/>
    <w:rsid w:val="00ED22C9"/>
    <w:rsid w:val="00ED22FA"/>
    <w:rsid w:val="00ED3D86"/>
    <w:rsid w:val="00ED5C99"/>
    <w:rsid w:val="00ED77F6"/>
    <w:rsid w:val="00EE15AE"/>
    <w:rsid w:val="00EE29F8"/>
    <w:rsid w:val="00EE5200"/>
    <w:rsid w:val="00EE5E64"/>
    <w:rsid w:val="00EF0231"/>
    <w:rsid w:val="00EF1D55"/>
    <w:rsid w:val="00EF211D"/>
    <w:rsid w:val="00EF28B0"/>
    <w:rsid w:val="00EF4DFE"/>
    <w:rsid w:val="00EF6211"/>
    <w:rsid w:val="00EF6947"/>
    <w:rsid w:val="00EF7755"/>
    <w:rsid w:val="00F01BF1"/>
    <w:rsid w:val="00F0392D"/>
    <w:rsid w:val="00F0553B"/>
    <w:rsid w:val="00F075E6"/>
    <w:rsid w:val="00F1284A"/>
    <w:rsid w:val="00F140D5"/>
    <w:rsid w:val="00F15BAE"/>
    <w:rsid w:val="00F172BE"/>
    <w:rsid w:val="00F20820"/>
    <w:rsid w:val="00F22288"/>
    <w:rsid w:val="00F22DF7"/>
    <w:rsid w:val="00F238DB"/>
    <w:rsid w:val="00F328CF"/>
    <w:rsid w:val="00F358BF"/>
    <w:rsid w:val="00F35C8C"/>
    <w:rsid w:val="00F40203"/>
    <w:rsid w:val="00F40F52"/>
    <w:rsid w:val="00F42865"/>
    <w:rsid w:val="00F4421B"/>
    <w:rsid w:val="00F5005D"/>
    <w:rsid w:val="00F50107"/>
    <w:rsid w:val="00F512F2"/>
    <w:rsid w:val="00F52C8E"/>
    <w:rsid w:val="00F538FD"/>
    <w:rsid w:val="00F54400"/>
    <w:rsid w:val="00F55EFC"/>
    <w:rsid w:val="00F57807"/>
    <w:rsid w:val="00F6073B"/>
    <w:rsid w:val="00F60FC5"/>
    <w:rsid w:val="00F6353A"/>
    <w:rsid w:val="00F64672"/>
    <w:rsid w:val="00F6791D"/>
    <w:rsid w:val="00F6794B"/>
    <w:rsid w:val="00F715EF"/>
    <w:rsid w:val="00F71643"/>
    <w:rsid w:val="00F7259F"/>
    <w:rsid w:val="00F73914"/>
    <w:rsid w:val="00F7520A"/>
    <w:rsid w:val="00F7694B"/>
    <w:rsid w:val="00F76A10"/>
    <w:rsid w:val="00F77DFA"/>
    <w:rsid w:val="00F8196F"/>
    <w:rsid w:val="00F84D43"/>
    <w:rsid w:val="00F86A87"/>
    <w:rsid w:val="00F870DC"/>
    <w:rsid w:val="00F873D1"/>
    <w:rsid w:val="00F906CB"/>
    <w:rsid w:val="00F93ABE"/>
    <w:rsid w:val="00F967C7"/>
    <w:rsid w:val="00F97D48"/>
    <w:rsid w:val="00FA0B85"/>
    <w:rsid w:val="00FA1206"/>
    <w:rsid w:val="00FA54F4"/>
    <w:rsid w:val="00FA7B77"/>
    <w:rsid w:val="00FB056F"/>
    <w:rsid w:val="00FB33A5"/>
    <w:rsid w:val="00FB362B"/>
    <w:rsid w:val="00FB3700"/>
    <w:rsid w:val="00FB3D41"/>
    <w:rsid w:val="00FB4311"/>
    <w:rsid w:val="00FB697E"/>
    <w:rsid w:val="00FB795E"/>
    <w:rsid w:val="00FC23FB"/>
    <w:rsid w:val="00FC3BAA"/>
    <w:rsid w:val="00FC4189"/>
    <w:rsid w:val="00FC52B8"/>
    <w:rsid w:val="00FD0B9C"/>
    <w:rsid w:val="00FD277B"/>
    <w:rsid w:val="00FD4547"/>
    <w:rsid w:val="00FD51A3"/>
    <w:rsid w:val="00FD5EC4"/>
    <w:rsid w:val="00FD5F31"/>
    <w:rsid w:val="00FD600D"/>
    <w:rsid w:val="00FE273E"/>
    <w:rsid w:val="00FE2C9A"/>
    <w:rsid w:val="00FE322B"/>
    <w:rsid w:val="00FE3F12"/>
    <w:rsid w:val="00FE4DBA"/>
    <w:rsid w:val="00FE75B5"/>
    <w:rsid w:val="00FF1362"/>
    <w:rsid w:val="00FF1686"/>
    <w:rsid w:val="00FF2828"/>
    <w:rsid w:val="00FF3509"/>
    <w:rsid w:val="00FF5CE6"/>
    <w:rsid w:val="00FF690A"/>
    <w:rsid w:val="09F3797E"/>
    <w:rsid w:val="0B5A2860"/>
    <w:rsid w:val="0B80619A"/>
    <w:rsid w:val="0D4161D6"/>
    <w:rsid w:val="0DA73B86"/>
    <w:rsid w:val="0E1D2431"/>
    <w:rsid w:val="0FD359B9"/>
    <w:rsid w:val="10EB59A7"/>
    <w:rsid w:val="11B84B36"/>
    <w:rsid w:val="15460BDD"/>
    <w:rsid w:val="17DB2EE0"/>
    <w:rsid w:val="181548D3"/>
    <w:rsid w:val="18435EB9"/>
    <w:rsid w:val="1D010E4D"/>
    <w:rsid w:val="1D6C768D"/>
    <w:rsid w:val="1DF203AA"/>
    <w:rsid w:val="1EDB3B74"/>
    <w:rsid w:val="21736C7D"/>
    <w:rsid w:val="220F7598"/>
    <w:rsid w:val="2278728D"/>
    <w:rsid w:val="28D863A4"/>
    <w:rsid w:val="292F7E41"/>
    <w:rsid w:val="29D67C37"/>
    <w:rsid w:val="2C6D00A1"/>
    <w:rsid w:val="30613682"/>
    <w:rsid w:val="309504AE"/>
    <w:rsid w:val="30F51292"/>
    <w:rsid w:val="32A65EC0"/>
    <w:rsid w:val="336F2358"/>
    <w:rsid w:val="340163F7"/>
    <w:rsid w:val="34F00DF2"/>
    <w:rsid w:val="37746BED"/>
    <w:rsid w:val="3A4654B4"/>
    <w:rsid w:val="3A6E5E84"/>
    <w:rsid w:val="3E165F5C"/>
    <w:rsid w:val="405A511F"/>
    <w:rsid w:val="43905F10"/>
    <w:rsid w:val="485955DD"/>
    <w:rsid w:val="4A7C4CE6"/>
    <w:rsid w:val="4ED409F0"/>
    <w:rsid w:val="51F11C10"/>
    <w:rsid w:val="53662852"/>
    <w:rsid w:val="53D56DDB"/>
    <w:rsid w:val="58105F17"/>
    <w:rsid w:val="58ED46B0"/>
    <w:rsid w:val="602A0E6D"/>
    <w:rsid w:val="6155111F"/>
    <w:rsid w:val="643D666B"/>
    <w:rsid w:val="67DD542C"/>
    <w:rsid w:val="695A7016"/>
    <w:rsid w:val="6B2E23D2"/>
    <w:rsid w:val="6D417174"/>
    <w:rsid w:val="6D6A7564"/>
    <w:rsid w:val="6FF01A2A"/>
    <w:rsid w:val="72283B36"/>
    <w:rsid w:val="72B4351B"/>
    <w:rsid w:val="753D327B"/>
    <w:rsid w:val="781F67B1"/>
    <w:rsid w:val="785638C1"/>
    <w:rsid w:val="78F1608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uiPriority="99" w:name="Date" w:locked="1"/>
    <w:lsdException w:qFormat="1" w:unhideWhenUsed="0" w:uiPriority="99" w:semiHidden="0" w:name="Body Text First Indent"/>
    <w:lsdException w:qFormat="1" w:unhideWhenUsed="0" w:uiPriority="99" w:semiHidden="0" w:name="Body Text First Indent 2"/>
    <w:lsdException w:uiPriority="99" w:name="Note Heading" w:locked="1"/>
    <w:lsdException w:uiPriority="99" w:name="Body Text 2" w:locked="1"/>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5"/>
    <w:qFormat/>
    <w:uiPriority w:val="99"/>
    <w:pPr>
      <w:keepNext/>
      <w:keepLines/>
      <w:spacing w:before="340" w:after="330" w:line="578" w:lineRule="auto"/>
      <w:outlineLvl w:val="0"/>
    </w:pPr>
    <w:rPr>
      <w:rFonts w:eastAsia="黑体"/>
      <w:b/>
      <w:bCs/>
      <w:kern w:val="44"/>
      <w:sz w:val="32"/>
      <w:szCs w:val="32"/>
    </w:rPr>
  </w:style>
  <w:style w:type="paragraph" w:styleId="3">
    <w:name w:val="heading 2"/>
    <w:basedOn w:val="1"/>
    <w:next w:val="1"/>
    <w:link w:val="26"/>
    <w:qFormat/>
    <w:uiPriority w:val="99"/>
    <w:pPr>
      <w:keepNext/>
      <w:keepLines/>
      <w:spacing w:before="260" w:after="260" w:line="416" w:lineRule="auto"/>
      <w:outlineLvl w:val="1"/>
    </w:pPr>
    <w:rPr>
      <w:rFonts w:ascii="Cambria" w:hAnsi="Cambria" w:cs="Cambria"/>
      <w:b/>
      <w:bCs/>
      <w:sz w:val="28"/>
      <w:szCs w:val="28"/>
    </w:rPr>
  </w:style>
  <w:style w:type="paragraph" w:styleId="4">
    <w:name w:val="heading 3"/>
    <w:basedOn w:val="1"/>
    <w:next w:val="1"/>
    <w:link w:val="27"/>
    <w:qFormat/>
    <w:uiPriority w:val="99"/>
    <w:pPr>
      <w:keepNext/>
      <w:keepLines/>
      <w:spacing w:before="260" w:after="260" w:line="416" w:lineRule="auto"/>
      <w:outlineLvl w:val="2"/>
    </w:pPr>
    <w:rPr>
      <w:b/>
      <w:bCs/>
      <w:sz w:val="32"/>
      <w:szCs w:val="32"/>
    </w:rPr>
  </w:style>
  <w:style w:type="paragraph" w:styleId="5">
    <w:name w:val="heading 4"/>
    <w:basedOn w:val="1"/>
    <w:next w:val="1"/>
    <w:link w:val="28"/>
    <w:qFormat/>
    <w:locked/>
    <w:uiPriority w:val="99"/>
    <w:pPr>
      <w:keepNext/>
      <w:keepLines/>
      <w:spacing w:before="280" w:after="290" w:line="376" w:lineRule="auto"/>
      <w:outlineLvl w:val="3"/>
    </w:pPr>
    <w:rPr>
      <w:rFonts w:ascii="Arial" w:hAnsi="Arial" w:eastAsia="黑体" w:cs="Arial"/>
      <w:b/>
      <w:bCs/>
      <w:sz w:val="28"/>
      <w:szCs w:val="28"/>
    </w:rPr>
  </w:style>
  <w:style w:type="character" w:default="1" w:styleId="22">
    <w:name w:val="Default Paragraph Font"/>
    <w:semiHidden/>
    <w:uiPriority w:val="99"/>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6">
    <w:name w:val="Document Map"/>
    <w:basedOn w:val="1"/>
    <w:link w:val="31"/>
    <w:semiHidden/>
    <w:qFormat/>
    <w:uiPriority w:val="99"/>
    <w:pPr>
      <w:shd w:val="clear" w:color="auto" w:fill="000080"/>
    </w:pPr>
  </w:style>
  <w:style w:type="paragraph" w:styleId="7">
    <w:name w:val="Body Text"/>
    <w:basedOn w:val="1"/>
    <w:link w:val="29"/>
    <w:qFormat/>
    <w:uiPriority w:val="99"/>
    <w:pPr>
      <w:spacing w:after="120"/>
    </w:pPr>
  </w:style>
  <w:style w:type="paragraph" w:styleId="8">
    <w:name w:val="Body Text Indent"/>
    <w:basedOn w:val="1"/>
    <w:link w:val="32"/>
    <w:qFormat/>
    <w:uiPriority w:val="99"/>
    <w:pPr>
      <w:spacing w:after="120"/>
      <w:ind w:left="420" w:leftChars="200"/>
    </w:pPr>
  </w:style>
  <w:style w:type="paragraph" w:styleId="9">
    <w:name w:val="toc 3"/>
    <w:basedOn w:val="1"/>
    <w:next w:val="1"/>
    <w:semiHidden/>
    <w:qFormat/>
    <w:uiPriority w:val="99"/>
    <w:pPr>
      <w:tabs>
        <w:tab w:val="right" w:leader="dot" w:pos="8494"/>
      </w:tabs>
      <w:ind w:left="840" w:leftChars="400"/>
    </w:pPr>
    <w:rPr>
      <w:b/>
      <w:bCs/>
      <w:kern w:val="0"/>
      <w:sz w:val="30"/>
      <w:szCs w:val="30"/>
    </w:rPr>
  </w:style>
  <w:style w:type="paragraph" w:styleId="10">
    <w:name w:val="Plain Text"/>
    <w:basedOn w:val="1"/>
    <w:link w:val="33"/>
    <w:qFormat/>
    <w:uiPriority w:val="99"/>
    <w:rPr>
      <w:rFonts w:ascii="宋体" w:hAnsi="Courier New" w:cs="宋体"/>
    </w:rPr>
  </w:style>
  <w:style w:type="paragraph" w:styleId="11">
    <w:name w:val="Body Text Indent 2"/>
    <w:basedOn w:val="1"/>
    <w:link w:val="34"/>
    <w:qFormat/>
    <w:uiPriority w:val="99"/>
    <w:pPr>
      <w:spacing w:after="120" w:line="480" w:lineRule="auto"/>
      <w:ind w:left="420" w:leftChars="200"/>
    </w:pPr>
  </w:style>
  <w:style w:type="paragraph" w:styleId="12">
    <w:name w:val="Balloon Text"/>
    <w:basedOn w:val="1"/>
    <w:link w:val="35"/>
    <w:semiHidden/>
    <w:qFormat/>
    <w:uiPriority w:val="99"/>
    <w:rPr>
      <w:kern w:val="0"/>
      <w:sz w:val="18"/>
      <w:szCs w:val="18"/>
    </w:rPr>
  </w:style>
  <w:style w:type="paragraph" w:styleId="13">
    <w:name w:val="footer"/>
    <w:basedOn w:val="1"/>
    <w:link w:val="36"/>
    <w:qFormat/>
    <w:uiPriority w:val="99"/>
    <w:pPr>
      <w:tabs>
        <w:tab w:val="center" w:pos="4153"/>
        <w:tab w:val="right" w:pos="8306"/>
      </w:tabs>
      <w:snapToGrid w:val="0"/>
      <w:jc w:val="left"/>
    </w:pPr>
    <w:rPr>
      <w:kern w:val="0"/>
      <w:sz w:val="18"/>
      <w:szCs w:val="18"/>
    </w:rPr>
  </w:style>
  <w:style w:type="paragraph" w:styleId="14">
    <w:name w:val="header"/>
    <w:basedOn w:val="1"/>
    <w:link w:val="38"/>
    <w:qFormat/>
    <w:uiPriority w:val="99"/>
    <w:pPr>
      <w:pBdr>
        <w:bottom w:val="single" w:color="auto" w:sz="6" w:space="1"/>
      </w:pBdr>
      <w:tabs>
        <w:tab w:val="center" w:pos="4153"/>
        <w:tab w:val="right" w:pos="8306"/>
      </w:tabs>
      <w:snapToGrid w:val="0"/>
      <w:jc w:val="center"/>
    </w:pPr>
    <w:rPr>
      <w:kern w:val="0"/>
      <w:sz w:val="18"/>
      <w:szCs w:val="18"/>
    </w:rPr>
  </w:style>
  <w:style w:type="paragraph" w:styleId="15">
    <w:name w:val="toc 1"/>
    <w:basedOn w:val="1"/>
    <w:next w:val="1"/>
    <w:semiHidden/>
    <w:qFormat/>
    <w:uiPriority w:val="99"/>
    <w:pPr>
      <w:tabs>
        <w:tab w:val="right" w:leader="dot" w:pos="9170"/>
      </w:tabs>
      <w:spacing w:before="120" w:after="120"/>
      <w:jc w:val="left"/>
    </w:pPr>
    <w:rPr>
      <w:rFonts w:ascii="宋体" w:hAnsi="宋体" w:cs="宋体"/>
      <w:b/>
      <w:bCs/>
      <w:caps/>
      <w:sz w:val="24"/>
      <w:szCs w:val="24"/>
    </w:rPr>
  </w:style>
  <w:style w:type="paragraph" w:styleId="16">
    <w:name w:val="Subtitle"/>
    <w:basedOn w:val="1"/>
    <w:next w:val="1"/>
    <w:link w:val="39"/>
    <w:qFormat/>
    <w:uiPriority w:val="99"/>
    <w:pPr>
      <w:spacing w:before="240" w:after="60" w:line="312" w:lineRule="auto"/>
      <w:jc w:val="center"/>
      <w:outlineLvl w:val="1"/>
    </w:pPr>
    <w:rPr>
      <w:rFonts w:ascii="Cambria" w:hAnsi="Cambria" w:cs="Cambria"/>
      <w:b/>
      <w:bCs/>
      <w:kern w:val="28"/>
      <w:sz w:val="32"/>
      <w:szCs w:val="32"/>
    </w:rPr>
  </w:style>
  <w:style w:type="paragraph" w:styleId="17">
    <w:name w:val="toc 2"/>
    <w:basedOn w:val="1"/>
    <w:next w:val="1"/>
    <w:semiHidden/>
    <w:qFormat/>
    <w:uiPriority w:val="99"/>
    <w:pPr>
      <w:tabs>
        <w:tab w:val="right" w:leader="dot" w:pos="9170"/>
      </w:tabs>
      <w:spacing w:line="360" w:lineRule="auto"/>
      <w:ind w:left="210"/>
      <w:jc w:val="left"/>
    </w:pPr>
    <w:rPr>
      <w:rFonts w:ascii="宋体" w:hAnsi="宋体" w:cs="宋体"/>
      <w:b/>
      <w:bCs/>
      <w:smallCaps/>
      <w:color w:val="000000"/>
      <w:kern w:val="0"/>
      <w:sz w:val="30"/>
      <w:szCs w:val="30"/>
    </w:rPr>
  </w:style>
  <w:style w:type="paragraph" w:styleId="18">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9">
    <w:name w:val="Body Text First Indent"/>
    <w:basedOn w:val="7"/>
    <w:link w:val="30"/>
    <w:qFormat/>
    <w:uiPriority w:val="99"/>
    <w:pPr>
      <w:ind w:firstLine="420" w:firstLineChars="100"/>
    </w:pPr>
  </w:style>
  <w:style w:type="paragraph" w:styleId="20">
    <w:name w:val="Body Text First Indent 2"/>
    <w:basedOn w:val="8"/>
    <w:link w:val="37"/>
    <w:qFormat/>
    <w:uiPriority w:val="99"/>
    <w:pPr>
      <w:ind w:firstLine="420" w:firstLineChars="200"/>
    </w:pPr>
  </w:style>
  <w:style w:type="character" w:styleId="23">
    <w:name w:val="Strong"/>
    <w:basedOn w:val="22"/>
    <w:qFormat/>
    <w:uiPriority w:val="99"/>
    <w:rPr>
      <w:b/>
      <w:bCs/>
    </w:rPr>
  </w:style>
  <w:style w:type="character" w:styleId="24">
    <w:name w:val="Hyperlink"/>
    <w:basedOn w:val="22"/>
    <w:qFormat/>
    <w:uiPriority w:val="99"/>
    <w:rPr>
      <w:color w:val="0000FF"/>
      <w:u w:val="single"/>
    </w:rPr>
  </w:style>
  <w:style w:type="character" w:customStyle="1" w:styleId="25">
    <w:name w:val="Heading 1 Char"/>
    <w:basedOn w:val="22"/>
    <w:link w:val="2"/>
    <w:qFormat/>
    <w:locked/>
    <w:uiPriority w:val="99"/>
    <w:rPr>
      <w:rFonts w:eastAsia="黑体"/>
      <w:b/>
      <w:bCs/>
      <w:kern w:val="44"/>
      <w:sz w:val="44"/>
      <w:szCs w:val="44"/>
    </w:rPr>
  </w:style>
  <w:style w:type="character" w:customStyle="1" w:styleId="26">
    <w:name w:val="Heading 2 Char"/>
    <w:basedOn w:val="22"/>
    <w:link w:val="3"/>
    <w:qFormat/>
    <w:locked/>
    <w:uiPriority w:val="99"/>
    <w:rPr>
      <w:rFonts w:ascii="Cambria" w:hAnsi="Cambria" w:cs="Cambria"/>
      <w:b/>
      <w:bCs/>
      <w:kern w:val="2"/>
      <w:sz w:val="32"/>
      <w:szCs w:val="32"/>
    </w:rPr>
  </w:style>
  <w:style w:type="character" w:customStyle="1" w:styleId="27">
    <w:name w:val="Heading 3 Char"/>
    <w:basedOn w:val="22"/>
    <w:link w:val="4"/>
    <w:semiHidden/>
    <w:qFormat/>
    <w:locked/>
    <w:uiPriority w:val="99"/>
    <w:rPr>
      <w:b/>
      <w:bCs/>
      <w:sz w:val="32"/>
      <w:szCs w:val="32"/>
    </w:rPr>
  </w:style>
  <w:style w:type="character" w:customStyle="1" w:styleId="28">
    <w:name w:val="Heading 4 Char"/>
    <w:basedOn w:val="22"/>
    <w:link w:val="5"/>
    <w:semiHidden/>
    <w:qFormat/>
    <w:locked/>
    <w:uiPriority w:val="99"/>
    <w:rPr>
      <w:rFonts w:ascii="Cambria" w:hAnsi="Cambria" w:eastAsia="宋体" w:cs="Cambria"/>
      <w:b/>
      <w:bCs/>
      <w:sz w:val="28"/>
      <w:szCs w:val="28"/>
    </w:rPr>
  </w:style>
  <w:style w:type="character" w:customStyle="1" w:styleId="29">
    <w:name w:val="Body Text Char"/>
    <w:basedOn w:val="22"/>
    <w:link w:val="7"/>
    <w:semiHidden/>
    <w:qFormat/>
    <w:locked/>
    <w:uiPriority w:val="99"/>
    <w:rPr>
      <w:sz w:val="21"/>
      <w:szCs w:val="21"/>
    </w:rPr>
  </w:style>
  <w:style w:type="character" w:customStyle="1" w:styleId="30">
    <w:name w:val="Body Text First Indent Char"/>
    <w:basedOn w:val="29"/>
    <w:link w:val="19"/>
    <w:semiHidden/>
    <w:qFormat/>
    <w:locked/>
    <w:uiPriority w:val="99"/>
  </w:style>
  <w:style w:type="character" w:customStyle="1" w:styleId="31">
    <w:name w:val="Document Map Char"/>
    <w:basedOn w:val="22"/>
    <w:link w:val="6"/>
    <w:semiHidden/>
    <w:qFormat/>
    <w:locked/>
    <w:uiPriority w:val="99"/>
    <w:rPr>
      <w:rFonts w:ascii="Times New Roman" w:hAnsi="Times New Roman" w:cs="Times New Roman"/>
      <w:sz w:val="2"/>
      <w:szCs w:val="2"/>
    </w:rPr>
  </w:style>
  <w:style w:type="character" w:customStyle="1" w:styleId="32">
    <w:name w:val="Body Text Indent Char"/>
    <w:basedOn w:val="22"/>
    <w:link w:val="8"/>
    <w:semiHidden/>
    <w:qFormat/>
    <w:locked/>
    <w:uiPriority w:val="99"/>
    <w:rPr>
      <w:sz w:val="21"/>
      <w:szCs w:val="21"/>
    </w:rPr>
  </w:style>
  <w:style w:type="character" w:customStyle="1" w:styleId="33">
    <w:name w:val="Plain Text Char"/>
    <w:basedOn w:val="22"/>
    <w:link w:val="10"/>
    <w:semiHidden/>
    <w:qFormat/>
    <w:locked/>
    <w:uiPriority w:val="99"/>
    <w:rPr>
      <w:rFonts w:ascii="宋体" w:hAnsi="Courier New" w:cs="宋体"/>
      <w:sz w:val="21"/>
      <w:szCs w:val="21"/>
    </w:rPr>
  </w:style>
  <w:style w:type="character" w:customStyle="1" w:styleId="34">
    <w:name w:val="Body Text Indent 2 Char"/>
    <w:basedOn w:val="22"/>
    <w:link w:val="11"/>
    <w:semiHidden/>
    <w:qFormat/>
    <w:locked/>
    <w:uiPriority w:val="99"/>
    <w:rPr>
      <w:sz w:val="21"/>
      <w:szCs w:val="21"/>
    </w:rPr>
  </w:style>
  <w:style w:type="character" w:customStyle="1" w:styleId="35">
    <w:name w:val="Balloon Text Char"/>
    <w:basedOn w:val="22"/>
    <w:link w:val="12"/>
    <w:semiHidden/>
    <w:qFormat/>
    <w:locked/>
    <w:uiPriority w:val="99"/>
    <w:rPr>
      <w:sz w:val="18"/>
      <w:szCs w:val="18"/>
    </w:rPr>
  </w:style>
  <w:style w:type="character" w:customStyle="1" w:styleId="36">
    <w:name w:val="Footer Char"/>
    <w:basedOn w:val="22"/>
    <w:link w:val="13"/>
    <w:qFormat/>
    <w:locked/>
    <w:uiPriority w:val="99"/>
    <w:rPr>
      <w:sz w:val="18"/>
      <w:szCs w:val="18"/>
    </w:rPr>
  </w:style>
  <w:style w:type="character" w:customStyle="1" w:styleId="37">
    <w:name w:val="Body Text First Indent 2 Char"/>
    <w:basedOn w:val="32"/>
    <w:link w:val="20"/>
    <w:semiHidden/>
    <w:qFormat/>
    <w:locked/>
    <w:uiPriority w:val="99"/>
  </w:style>
  <w:style w:type="character" w:customStyle="1" w:styleId="38">
    <w:name w:val="Header Char"/>
    <w:basedOn w:val="22"/>
    <w:link w:val="14"/>
    <w:qFormat/>
    <w:locked/>
    <w:uiPriority w:val="99"/>
    <w:rPr>
      <w:sz w:val="18"/>
      <w:szCs w:val="18"/>
    </w:rPr>
  </w:style>
  <w:style w:type="character" w:customStyle="1" w:styleId="39">
    <w:name w:val="Subtitle Char"/>
    <w:basedOn w:val="22"/>
    <w:link w:val="16"/>
    <w:qFormat/>
    <w:locked/>
    <w:uiPriority w:val="99"/>
    <w:rPr>
      <w:rFonts w:ascii="Cambria" w:hAnsi="Cambria" w:cs="Cambria"/>
      <w:b/>
      <w:bCs/>
      <w:kern w:val="28"/>
      <w:sz w:val="32"/>
      <w:szCs w:val="32"/>
    </w:rPr>
  </w:style>
  <w:style w:type="paragraph" w:customStyle="1" w:styleId="40">
    <w:name w:val="Char Char Char"/>
    <w:basedOn w:val="1"/>
    <w:uiPriority w:val="99"/>
    <w:pPr>
      <w:widowControl/>
      <w:spacing w:after="160" w:line="240" w:lineRule="exact"/>
      <w:jc w:val="left"/>
    </w:pPr>
    <w:rPr>
      <w:rFonts w:ascii="Verdana" w:hAnsi="Verdana" w:cs="Verdana"/>
      <w:kern w:val="0"/>
      <w:sz w:val="20"/>
      <w:szCs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china</Company>
  <Pages>43</Pages>
  <Words>3683</Words>
  <Characters>20998</Characters>
  <Lines>0</Lines>
  <Paragraphs>0</Paragraphs>
  <TotalTime>1</TotalTime>
  <ScaleCrop>false</ScaleCrop>
  <LinksUpToDate>false</LinksUpToDate>
  <CharactersWithSpaces>0</CharactersWithSpaces>
  <Application>WPS Office_11.1.0.8515_F1E327BC-269C-435d-A152-05C5408002CA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2019-02-28T07:46:00Z</dcterms:created>
  <dc:creator>AutoBVT</dc:creator>
  <cp:lastModifiedBy>Administrator</cp:lastModifiedBy>
  <dcterms:modified xsi:type="dcterms:W3CDTF">2019-03-08T02:50:26Z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