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21" w:rsidRDefault="0014013A">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D6021" w:rsidRDefault="005A244F">
      <w:pPr>
        <w:outlineLvl w:val="0"/>
        <w:rPr>
          <w:rFonts w:ascii="黑体" w:eastAsia="黑体" w:hAnsi="宋体" w:cs="Arial"/>
          <w:b/>
          <w:bCs/>
          <w:kern w:val="0"/>
          <w:sz w:val="30"/>
          <w:szCs w:val="30"/>
        </w:rPr>
      </w:pPr>
      <w:r w:rsidRPr="005A244F">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w:txbxContent>
                <w:p w:rsidR="00AB4BD8" w:rsidRDefault="00AB4BD8">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AB4BD8" w:rsidRDefault="00AB4BD8">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AB4BD8" w:rsidRDefault="00AB4BD8">
                  <w:pPr>
                    <w:jc w:val="left"/>
                  </w:pPr>
                </w:p>
              </w:txbxContent>
            </v:textbox>
          </v:shape>
        </w:pict>
      </w:r>
      <w:r w:rsidRPr="005A244F">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w:txbxContent>
                <w:p w:rsidR="00AB4BD8" w:rsidRDefault="00AB4BD8">
                  <w:pPr>
                    <w:pStyle w:val="1"/>
                    <w:jc w:val="center"/>
                    <w:rPr>
                      <w:kern w:val="2"/>
                    </w:rPr>
                  </w:pPr>
                  <w:bookmarkStart w:id="0" w:name="_Toc485828984"/>
                  <w:bookmarkStart w:id="1" w:name="_Toc2934037"/>
                  <w:r>
                    <w:rPr>
                      <w:rFonts w:hint="eastAsia"/>
                      <w:kern w:val="2"/>
                    </w:rPr>
                    <w:t>2019.</w:t>
                  </w:r>
                  <w:bookmarkEnd w:id="0"/>
                  <w:r>
                    <w:rPr>
                      <w:rFonts w:hint="eastAsia"/>
                      <w:kern w:val="2"/>
                    </w:rPr>
                    <w:t>3.8</w:t>
                  </w:r>
                  <w:bookmarkEnd w:id="1"/>
                </w:p>
                <w:p w:rsidR="00AB4BD8" w:rsidRDefault="00AB4BD8"/>
              </w:txbxContent>
            </v:textbox>
          </v:shape>
        </w:pict>
      </w:r>
      <w:r w:rsidR="0014013A">
        <w:br w:type="page"/>
      </w:r>
      <w:bookmarkStart w:id="2" w:name="_Toc485828985"/>
      <w:r w:rsidRPr="005A244F">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w:txbxContent>
                <w:p w:rsidR="00AB4BD8" w:rsidRDefault="00AB4BD8">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C24580" w:rsidRDefault="00AB4BD8">
                  <w:pPr>
                    <w:pStyle w:val="10"/>
                    <w:rPr>
                      <w:rFonts w:asciiTheme="minorHAnsi" w:eastAsiaTheme="minorEastAsia" w:hAnsiTheme="minorHAnsi" w:cstheme="minorBidi"/>
                      <w:b w:val="0"/>
                      <w:bCs w:val="0"/>
                      <w:caps w:val="0"/>
                      <w:noProof/>
                      <w:color w:val="auto"/>
                      <w:sz w:val="21"/>
                      <w:szCs w:val="22"/>
                    </w:rPr>
                  </w:pPr>
                  <w:r w:rsidRPr="005A244F">
                    <w:rPr>
                      <w:sz w:val="20"/>
                    </w:rPr>
                    <w:fldChar w:fldCharType="begin"/>
                  </w:r>
                  <w:r>
                    <w:rPr>
                      <w:sz w:val="20"/>
                    </w:rPr>
                    <w:instrText xml:space="preserve"> TOC \o "1-3" \h \z \u </w:instrText>
                  </w:r>
                  <w:r w:rsidRPr="005A244F">
                    <w:rPr>
                      <w:sz w:val="20"/>
                    </w:rPr>
                    <w:fldChar w:fldCharType="separate"/>
                  </w:r>
                  <w:hyperlink r:id="rId10" w:anchor="_Toc2934037" w:history="1">
                    <w:r w:rsidR="00C24580" w:rsidRPr="009C0BCF">
                      <w:rPr>
                        <w:rStyle w:val="ae"/>
                        <w:noProof/>
                      </w:rPr>
                      <w:t>2019.3.8</w:t>
                    </w:r>
                    <w:r w:rsidR="00C24580">
                      <w:rPr>
                        <w:noProof/>
                        <w:webHidden/>
                      </w:rPr>
                      <w:tab/>
                    </w:r>
                    <w:r w:rsidR="00C24580">
                      <w:rPr>
                        <w:noProof/>
                        <w:webHidden/>
                      </w:rPr>
                      <w:fldChar w:fldCharType="begin"/>
                    </w:r>
                    <w:r w:rsidR="00C24580">
                      <w:rPr>
                        <w:noProof/>
                        <w:webHidden/>
                      </w:rPr>
                      <w:instrText xml:space="preserve"> PAGEREF _Toc2934037 \h </w:instrText>
                    </w:r>
                    <w:r w:rsidR="00C24580">
                      <w:rPr>
                        <w:noProof/>
                        <w:webHidden/>
                      </w:rPr>
                    </w:r>
                    <w:r w:rsidR="00C24580">
                      <w:rPr>
                        <w:noProof/>
                        <w:webHidden/>
                      </w:rPr>
                      <w:fldChar w:fldCharType="separate"/>
                    </w:r>
                    <w:r w:rsidR="00C24580">
                      <w:rPr>
                        <w:noProof/>
                        <w:webHidden/>
                      </w:rPr>
                      <w:t>1</w:t>
                    </w:r>
                    <w:r w:rsidR="00C24580">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38" w:history="1">
                    <w:r w:rsidRPr="009C0BCF">
                      <w:rPr>
                        <w:rStyle w:val="ae"/>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_Toc2934038 \h </w:instrText>
                    </w:r>
                    <w:r>
                      <w:rPr>
                        <w:noProof/>
                        <w:webHidden/>
                      </w:rPr>
                    </w:r>
                    <w:r>
                      <w:rPr>
                        <w:noProof/>
                        <w:webHidden/>
                      </w:rPr>
                      <w:fldChar w:fldCharType="separate"/>
                    </w:r>
                    <w:r>
                      <w:rPr>
                        <w:noProof/>
                        <w:webHidden/>
                      </w:rPr>
                      <w:t>3</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39" w:history="1">
                    <w:r w:rsidRPr="009C0BCF">
                      <w:rPr>
                        <w:rStyle w:val="ae"/>
                        <w:rFonts w:ascii="黑体" w:eastAsia="黑体" w:cs="Arial"/>
                        <w:noProof/>
                        <w:kern w:val="0"/>
                      </w:rPr>
                      <w:t>(</w:t>
                    </w:r>
                    <w:r w:rsidRPr="009C0BCF">
                      <w:rPr>
                        <w:rStyle w:val="ae"/>
                        <w:rFonts w:ascii="黑体" w:eastAsia="黑体" w:cs="Arial" w:hint="eastAsia"/>
                        <w:noProof/>
                        <w:kern w:val="0"/>
                      </w:rPr>
                      <w:t>一</w:t>
                    </w:r>
                    <w:r w:rsidRPr="009C0BCF">
                      <w:rPr>
                        <w:rStyle w:val="ae"/>
                        <w:rFonts w:ascii="黑体" w:eastAsia="黑体" w:cs="Arial"/>
                        <w:noProof/>
                        <w:kern w:val="0"/>
                      </w:rPr>
                      <w:t>)</w:t>
                    </w:r>
                    <w:r w:rsidRPr="009C0BCF">
                      <w:rPr>
                        <w:rStyle w:val="ae"/>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_Toc2934039 \h </w:instrText>
                    </w:r>
                    <w:r>
                      <w:rPr>
                        <w:noProof/>
                        <w:webHidden/>
                      </w:rPr>
                    </w:r>
                    <w:r>
                      <w:rPr>
                        <w:noProof/>
                        <w:webHidden/>
                      </w:rPr>
                      <w:fldChar w:fldCharType="separate"/>
                    </w:r>
                    <w:r>
                      <w:rPr>
                        <w:noProof/>
                        <w:webHidden/>
                      </w:rPr>
                      <w:t>3</w:t>
                    </w:r>
                    <w:r>
                      <w:rPr>
                        <w:noProof/>
                        <w:webHidden/>
                      </w:rPr>
                      <w:fldChar w:fldCharType="end"/>
                    </w:r>
                  </w:hyperlink>
                </w:p>
                <w:p w:rsidR="00C24580" w:rsidRDefault="00C24580">
                  <w:pPr>
                    <w:pStyle w:val="21"/>
                    <w:tabs>
                      <w:tab w:val="left" w:pos="840"/>
                    </w:tabs>
                    <w:rPr>
                      <w:rFonts w:asciiTheme="minorHAnsi" w:eastAsiaTheme="minorEastAsia" w:hAnsiTheme="minorHAnsi" w:cstheme="minorBidi"/>
                      <w:b w:val="0"/>
                      <w:smallCaps w:val="0"/>
                      <w:noProof/>
                      <w:color w:val="auto"/>
                      <w:sz w:val="21"/>
                      <w:szCs w:val="22"/>
                    </w:rPr>
                  </w:pPr>
                  <w:hyperlink w:anchor="_Toc2934040" w:history="1">
                    <w:r w:rsidRPr="009C0BCF">
                      <w:rPr>
                        <w:rStyle w:val="ae"/>
                        <w:rFonts w:cs="Arial"/>
                        <w:noProof/>
                        <w:kern w:val="0"/>
                      </w:rPr>
                      <w:t>1.</w:t>
                    </w:r>
                    <w:r>
                      <w:rPr>
                        <w:rFonts w:asciiTheme="minorHAnsi" w:eastAsiaTheme="minorEastAsia" w:hAnsiTheme="minorHAnsi" w:cstheme="minorBidi"/>
                        <w:b w:val="0"/>
                        <w:smallCaps w:val="0"/>
                        <w:noProof/>
                        <w:color w:val="auto"/>
                        <w:sz w:val="21"/>
                        <w:szCs w:val="22"/>
                      </w:rPr>
                      <w:tab/>
                    </w:r>
                    <w:r w:rsidRPr="009C0BCF">
                      <w:rPr>
                        <w:rStyle w:val="ae"/>
                        <w:rFonts w:cs="Arial" w:hint="eastAsia"/>
                        <w:noProof/>
                        <w:kern w:val="0"/>
                      </w:rPr>
                      <w:t>国际原油收盘价涨跌情况（单位：美元</w:t>
                    </w:r>
                    <w:r w:rsidRPr="009C0BCF">
                      <w:rPr>
                        <w:rStyle w:val="ae"/>
                        <w:rFonts w:cs="Arial"/>
                        <w:noProof/>
                        <w:kern w:val="0"/>
                      </w:rPr>
                      <w:t>/</w:t>
                    </w:r>
                    <w:r w:rsidRPr="009C0BCF">
                      <w:rPr>
                        <w:rStyle w:val="ae"/>
                        <w:rFonts w:cs="Arial" w:hint="eastAsia"/>
                        <w:noProof/>
                        <w:kern w:val="0"/>
                      </w:rPr>
                      <w:t>桶）</w:t>
                    </w:r>
                    <w:r>
                      <w:rPr>
                        <w:noProof/>
                        <w:webHidden/>
                      </w:rPr>
                      <w:tab/>
                    </w:r>
                    <w:r>
                      <w:rPr>
                        <w:noProof/>
                        <w:webHidden/>
                      </w:rPr>
                      <w:fldChar w:fldCharType="begin"/>
                    </w:r>
                    <w:r>
                      <w:rPr>
                        <w:noProof/>
                        <w:webHidden/>
                      </w:rPr>
                      <w:instrText xml:space="preserve"> PAGEREF _Toc2934040 \h </w:instrText>
                    </w:r>
                    <w:r>
                      <w:rPr>
                        <w:noProof/>
                        <w:webHidden/>
                      </w:rPr>
                    </w:r>
                    <w:r>
                      <w:rPr>
                        <w:noProof/>
                        <w:webHidden/>
                      </w:rPr>
                      <w:fldChar w:fldCharType="separate"/>
                    </w:r>
                    <w:r>
                      <w:rPr>
                        <w:noProof/>
                        <w:webHidden/>
                      </w:rPr>
                      <w:t>3</w:t>
                    </w:r>
                    <w:r>
                      <w:rPr>
                        <w:noProof/>
                        <w:webHidden/>
                      </w:rPr>
                      <w:fldChar w:fldCharType="end"/>
                    </w:r>
                  </w:hyperlink>
                </w:p>
                <w:p w:rsidR="00C24580" w:rsidRDefault="00C24580">
                  <w:pPr>
                    <w:pStyle w:val="21"/>
                    <w:rPr>
                      <w:rFonts w:asciiTheme="minorHAnsi" w:eastAsiaTheme="minorEastAsia" w:hAnsiTheme="minorHAnsi" w:cstheme="minorBidi"/>
                      <w:b w:val="0"/>
                      <w:smallCaps w:val="0"/>
                      <w:noProof/>
                      <w:color w:val="auto"/>
                      <w:sz w:val="21"/>
                      <w:szCs w:val="22"/>
                    </w:rPr>
                  </w:pPr>
                  <w:hyperlink w:anchor="_Toc2934041" w:history="1">
                    <w:r w:rsidRPr="009C0BCF">
                      <w:rPr>
                        <w:rStyle w:val="ae"/>
                        <w:rFonts w:cs="Arial"/>
                        <w:noProof/>
                        <w:kern w:val="0"/>
                      </w:rPr>
                      <w:t>2.2019</w:t>
                    </w:r>
                    <w:r w:rsidRPr="009C0BCF">
                      <w:rPr>
                        <w:rStyle w:val="ae"/>
                        <w:rFonts w:cs="Arial" w:hint="eastAsia"/>
                        <w:noProof/>
                        <w:kern w:val="0"/>
                      </w:rPr>
                      <w:t>年国际原油价格走势图</w:t>
                    </w:r>
                    <w:r>
                      <w:rPr>
                        <w:noProof/>
                        <w:webHidden/>
                      </w:rPr>
                      <w:tab/>
                    </w:r>
                    <w:r>
                      <w:rPr>
                        <w:noProof/>
                        <w:webHidden/>
                      </w:rPr>
                      <w:fldChar w:fldCharType="begin"/>
                    </w:r>
                    <w:r>
                      <w:rPr>
                        <w:noProof/>
                        <w:webHidden/>
                      </w:rPr>
                      <w:instrText xml:space="preserve"> PAGEREF _Toc2934041 \h </w:instrText>
                    </w:r>
                    <w:r>
                      <w:rPr>
                        <w:noProof/>
                        <w:webHidden/>
                      </w:rPr>
                    </w:r>
                    <w:r>
                      <w:rPr>
                        <w:noProof/>
                        <w:webHidden/>
                      </w:rPr>
                      <w:fldChar w:fldCharType="separate"/>
                    </w:r>
                    <w:r>
                      <w:rPr>
                        <w:noProof/>
                        <w:webHidden/>
                      </w:rPr>
                      <w:t>4</w:t>
                    </w:r>
                    <w:r>
                      <w:rPr>
                        <w:noProof/>
                        <w:webHidden/>
                      </w:rPr>
                      <w:fldChar w:fldCharType="end"/>
                    </w:r>
                  </w:hyperlink>
                </w:p>
                <w:p w:rsidR="00C24580" w:rsidRDefault="00C24580">
                  <w:pPr>
                    <w:pStyle w:val="10"/>
                    <w:tabs>
                      <w:tab w:val="left" w:pos="840"/>
                    </w:tabs>
                    <w:rPr>
                      <w:rFonts w:asciiTheme="minorHAnsi" w:eastAsiaTheme="minorEastAsia" w:hAnsiTheme="minorHAnsi" w:cstheme="minorBidi"/>
                      <w:b w:val="0"/>
                      <w:bCs w:val="0"/>
                      <w:caps w:val="0"/>
                      <w:noProof/>
                      <w:color w:val="auto"/>
                      <w:sz w:val="21"/>
                      <w:szCs w:val="22"/>
                    </w:rPr>
                  </w:pPr>
                  <w:hyperlink w:anchor="_Toc2934042" w:history="1">
                    <w:r w:rsidRPr="009C0BCF">
                      <w:rPr>
                        <w:rStyle w:val="ae"/>
                        <w:rFonts w:cs="Arial" w:hint="eastAsia"/>
                        <w:noProof/>
                        <w:kern w:val="0"/>
                      </w:rPr>
                      <w:t>一、</w:t>
                    </w:r>
                    <w:r>
                      <w:rPr>
                        <w:rFonts w:asciiTheme="minorHAnsi" w:eastAsiaTheme="minorEastAsia" w:hAnsiTheme="minorHAnsi" w:cstheme="minorBidi"/>
                        <w:b w:val="0"/>
                        <w:bCs w:val="0"/>
                        <w:caps w:val="0"/>
                        <w:noProof/>
                        <w:color w:val="auto"/>
                        <w:sz w:val="21"/>
                        <w:szCs w:val="22"/>
                      </w:rPr>
                      <w:tab/>
                    </w:r>
                    <w:r w:rsidRPr="009C0BCF">
                      <w:rPr>
                        <w:rStyle w:val="ae"/>
                        <w:rFonts w:cs="Arial" w:hint="eastAsia"/>
                        <w:noProof/>
                        <w:kern w:val="0"/>
                      </w:rPr>
                      <w:t>近期影响国际原油市场的主要因素</w:t>
                    </w:r>
                    <w:r>
                      <w:rPr>
                        <w:noProof/>
                        <w:webHidden/>
                      </w:rPr>
                      <w:tab/>
                    </w:r>
                    <w:r>
                      <w:rPr>
                        <w:noProof/>
                        <w:webHidden/>
                      </w:rPr>
                      <w:fldChar w:fldCharType="begin"/>
                    </w:r>
                    <w:r>
                      <w:rPr>
                        <w:noProof/>
                        <w:webHidden/>
                      </w:rPr>
                      <w:instrText xml:space="preserve"> PAGEREF _Toc2934042 \h </w:instrText>
                    </w:r>
                    <w:r>
                      <w:rPr>
                        <w:noProof/>
                        <w:webHidden/>
                      </w:rPr>
                    </w:r>
                    <w:r>
                      <w:rPr>
                        <w:noProof/>
                        <w:webHidden/>
                      </w:rPr>
                      <w:fldChar w:fldCharType="separate"/>
                    </w:r>
                    <w:r>
                      <w:rPr>
                        <w:noProof/>
                        <w:webHidden/>
                      </w:rPr>
                      <w:t>4</w:t>
                    </w:r>
                    <w:r>
                      <w:rPr>
                        <w:noProof/>
                        <w:webHidden/>
                      </w:rPr>
                      <w:fldChar w:fldCharType="end"/>
                    </w:r>
                  </w:hyperlink>
                </w:p>
                <w:p w:rsidR="00C24580" w:rsidRDefault="00C24580">
                  <w:pPr>
                    <w:pStyle w:val="21"/>
                    <w:rPr>
                      <w:rFonts w:asciiTheme="minorHAnsi" w:eastAsiaTheme="minorEastAsia" w:hAnsiTheme="minorHAnsi" w:cstheme="minorBidi"/>
                      <w:b w:val="0"/>
                      <w:smallCaps w:val="0"/>
                      <w:noProof/>
                      <w:color w:val="auto"/>
                      <w:sz w:val="21"/>
                      <w:szCs w:val="22"/>
                    </w:rPr>
                  </w:pPr>
                  <w:hyperlink w:anchor="_Toc2934043" w:history="1">
                    <w:r w:rsidRPr="009C0BCF">
                      <w:rPr>
                        <w:rStyle w:val="ae"/>
                        <w:rFonts w:ascii="黑体" w:eastAsia="黑体"/>
                        <w:noProof/>
                      </w:rPr>
                      <w:t>1.</w:t>
                    </w:r>
                    <w:r w:rsidRPr="009C0BCF">
                      <w:rPr>
                        <w:rStyle w:val="ae"/>
                        <w:rFonts w:ascii="黑体" w:eastAsia="黑体" w:hint="eastAsia"/>
                        <w:noProof/>
                      </w:rPr>
                      <w:t>美国原油库存情况</w:t>
                    </w:r>
                    <w:r>
                      <w:rPr>
                        <w:noProof/>
                        <w:webHidden/>
                      </w:rPr>
                      <w:tab/>
                    </w:r>
                    <w:r>
                      <w:rPr>
                        <w:noProof/>
                        <w:webHidden/>
                      </w:rPr>
                      <w:fldChar w:fldCharType="begin"/>
                    </w:r>
                    <w:r>
                      <w:rPr>
                        <w:noProof/>
                        <w:webHidden/>
                      </w:rPr>
                      <w:instrText xml:space="preserve"> PAGEREF _Toc2934043 \h </w:instrText>
                    </w:r>
                    <w:r>
                      <w:rPr>
                        <w:noProof/>
                        <w:webHidden/>
                      </w:rPr>
                    </w:r>
                    <w:r>
                      <w:rPr>
                        <w:noProof/>
                        <w:webHidden/>
                      </w:rPr>
                      <w:fldChar w:fldCharType="separate"/>
                    </w:r>
                    <w:r>
                      <w:rPr>
                        <w:noProof/>
                        <w:webHidden/>
                      </w:rPr>
                      <w:t>4</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44" w:history="1">
                    <w:r w:rsidRPr="009C0BCF">
                      <w:rPr>
                        <w:rStyle w:val="ae"/>
                        <w:rFonts w:cs="Arial" w:hint="eastAsia"/>
                        <w:noProof/>
                        <w:kern w:val="0"/>
                      </w:rPr>
                      <w:t>三、</w:t>
                    </w:r>
                    <w:r w:rsidRPr="009C0BCF">
                      <w:rPr>
                        <w:rStyle w:val="ae"/>
                        <w:rFonts w:cs="Arial"/>
                        <w:noProof/>
                        <w:kern w:val="0"/>
                      </w:rPr>
                      <w:t>2018</w:t>
                    </w:r>
                    <w:r w:rsidRPr="009C0BCF">
                      <w:rPr>
                        <w:rStyle w:val="ae"/>
                        <w:rFonts w:cs="Arial" w:hint="eastAsia"/>
                        <w:noProof/>
                        <w:kern w:val="0"/>
                      </w:rPr>
                      <w:t>年</w:t>
                    </w:r>
                    <w:r w:rsidRPr="009C0BCF">
                      <w:rPr>
                        <w:rStyle w:val="ae"/>
                        <w:rFonts w:cs="Arial"/>
                        <w:noProof/>
                        <w:kern w:val="0"/>
                      </w:rPr>
                      <w:t>11</w:t>
                    </w:r>
                    <w:r w:rsidRPr="009C0BCF">
                      <w:rPr>
                        <w:rStyle w:val="ae"/>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_Toc2934044 \h </w:instrText>
                    </w:r>
                    <w:r>
                      <w:rPr>
                        <w:noProof/>
                        <w:webHidden/>
                      </w:rPr>
                    </w:r>
                    <w:r>
                      <w:rPr>
                        <w:noProof/>
                        <w:webHidden/>
                      </w:rPr>
                      <w:fldChar w:fldCharType="separate"/>
                    </w:r>
                    <w:r>
                      <w:rPr>
                        <w:noProof/>
                        <w:webHidden/>
                      </w:rPr>
                      <w:t>11</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45" w:history="1">
                    <w:r w:rsidRPr="009C0BCF">
                      <w:rPr>
                        <w:rStyle w:val="ae"/>
                        <w:rFonts w:cs="Arial" w:hint="eastAsia"/>
                        <w:noProof/>
                        <w:kern w:val="0"/>
                      </w:rPr>
                      <w:t>四、后市预测</w:t>
                    </w:r>
                    <w:r>
                      <w:rPr>
                        <w:noProof/>
                        <w:webHidden/>
                      </w:rPr>
                      <w:tab/>
                    </w:r>
                    <w:r>
                      <w:rPr>
                        <w:noProof/>
                        <w:webHidden/>
                      </w:rPr>
                      <w:fldChar w:fldCharType="begin"/>
                    </w:r>
                    <w:r>
                      <w:rPr>
                        <w:noProof/>
                        <w:webHidden/>
                      </w:rPr>
                      <w:instrText xml:space="preserve"> PAGEREF _Toc2934045 \h </w:instrText>
                    </w:r>
                    <w:r>
                      <w:rPr>
                        <w:noProof/>
                        <w:webHidden/>
                      </w:rPr>
                    </w:r>
                    <w:r>
                      <w:rPr>
                        <w:noProof/>
                        <w:webHidden/>
                      </w:rPr>
                      <w:fldChar w:fldCharType="separate"/>
                    </w:r>
                    <w:r>
                      <w:rPr>
                        <w:noProof/>
                        <w:webHidden/>
                      </w:rPr>
                      <w:t>17</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46" w:history="1">
                    <w:r w:rsidRPr="009C0BCF">
                      <w:rPr>
                        <w:rStyle w:val="ae"/>
                        <w:rFonts w:ascii="黑体" w:eastAsia="黑体" w:hint="eastAsia"/>
                        <w:noProof/>
                      </w:rPr>
                      <w:t>二、</w:t>
                    </w:r>
                    <w:r w:rsidRPr="009C0BCF">
                      <w:rPr>
                        <w:rStyle w:val="ae"/>
                        <w:rFonts w:ascii="黑体" w:eastAsia="黑体"/>
                        <w:noProof/>
                      </w:rPr>
                      <w:t xml:space="preserve"> </w:t>
                    </w:r>
                    <w:r w:rsidRPr="009C0BCF">
                      <w:rPr>
                        <w:rStyle w:val="ae"/>
                        <w:rFonts w:ascii="黑体" w:eastAsia="黑体" w:hint="eastAsia"/>
                        <w:noProof/>
                      </w:rPr>
                      <w:t>石脑油</w:t>
                    </w:r>
                    <w:r>
                      <w:rPr>
                        <w:noProof/>
                        <w:webHidden/>
                      </w:rPr>
                      <w:tab/>
                    </w:r>
                    <w:r>
                      <w:rPr>
                        <w:noProof/>
                        <w:webHidden/>
                      </w:rPr>
                      <w:fldChar w:fldCharType="begin"/>
                    </w:r>
                    <w:r>
                      <w:rPr>
                        <w:noProof/>
                        <w:webHidden/>
                      </w:rPr>
                      <w:instrText xml:space="preserve"> PAGEREF _Toc2934046 \h </w:instrText>
                    </w:r>
                    <w:r>
                      <w:rPr>
                        <w:noProof/>
                        <w:webHidden/>
                      </w:rPr>
                    </w:r>
                    <w:r>
                      <w:rPr>
                        <w:noProof/>
                        <w:webHidden/>
                      </w:rPr>
                      <w:fldChar w:fldCharType="separate"/>
                    </w:r>
                    <w:r>
                      <w:rPr>
                        <w:noProof/>
                        <w:webHidden/>
                      </w:rPr>
                      <w:t>19</w:t>
                    </w:r>
                    <w:r>
                      <w:rPr>
                        <w:noProof/>
                        <w:webHidden/>
                      </w:rPr>
                      <w:fldChar w:fldCharType="end"/>
                    </w:r>
                  </w:hyperlink>
                </w:p>
                <w:p w:rsidR="00C24580" w:rsidRDefault="00C24580">
                  <w:pPr>
                    <w:pStyle w:val="21"/>
                    <w:rPr>
                      <w:rFonts w:asciiTheme="minorHAnsi" w:eastAsiaTheme="minorEastAsia" w:hAnsiTheme="minorHAnsi" w:cstheme="minorBidi"/>
                      <w:b w:val="0"/>
                      <w:smallCaps w:val="0"/>
                      <w:noProof/>
                      <w:color w:val="auto"/>
                      <w:sz w:val="21"/>
                      <w:szCs w:val="22"/>
                    </w:rPr>
                  </w:pPr>
                  <w:hyperlink w:anchor="_Toc2934047" w:history="1">
                    <w:r w:rsidRPr="009C0BCF">
                      <w:rPr>
                        <w:rStyle w:val="ae"/>
                        <w:noProof/>
                      </w:rPr>
                      <w:t>2. 1</w:t>
                    </w:r>
                    <w:r w:rsidRPr="009C0BCF">
                      <w:rPr>
                        <w:rStyle w:val="ae"/>
                        <w:rFonts w:hint="eastAsia"/>
                        <w:noProof/>
                        <w:kern w:val="0"/>
                      </w:rPr>
                      <w:t>国际石脑油市场价格</w:t>
                    </w:r>
                    <w:r>
                      <w:rPr>
                        <w:noProof/>
                        <w:webHidden/>
                      </w:rPr>
                      <w:tab/>
                    </w:r>
                    <w:r>
                      <w:rPr>
                        <w:noProof/>
                        <w:webHidden/>
                      </w:rPr>
                      <w:fldChar w:fldCharType="begin"/>
                    </w:r>
                    <w:r>
                      <w:rPr>
                        <w:noProof/>
                        <w:webHidden/>
                      </w:rPr>
                      <w:instrText xml:space="preserve"> PAGEREF _Toc2934047 \h </w:instrText>
                    </w:r>
                    <w:r>
                      <w:rPr>
                        <w:noProof/>
                        <w:webHidden/>
                      </w:rPr>
                    </w:r>
                    <w:r>
                      <w:rPr>
                        <w:noProof/>
                        <w:webHidden/>
                      </w:rPr>
                      <w:fldChar w:fldCharType="separate"/>
                    </w:r>
                    <w:r>
                      <w:rPr>
                        <w:noProof/>
                        <w:webHidden/>
                      </w:rPr>
                      <w:t>19</w:t>
                    </w:r>
                    <w:r>
                      <w:rPr>
                        <w:noProof/>
                        <w:webHidden/>
                      </w:rPr>
                      <w:fldChar w:fldCharType="end"/>
                    </w:r>
                  </w:hyperlink>
                </w:p>
                <w:p w:rsidR="00C24580" w:rsidRDefault="00C24580">
                  <w:pPr>
                    <w:pStyle w:val="21"/>
                    <w:rPr>
                      <w:rFonts w:asciiTheme="minorHAnsi" w:eastAsiaTheme="minorEastAsia" w:hAnsiTheme="minorHAnsi" w:cstheme="minorBidi"/>
                      <w:b w:val="0"/>
                      <w:smallCaps w:val="0"/>
                      <w:noProof/>
                      <w:color w:val="auto"/>
                      <w:sz w:val="21"/>
                      <w:szCs w:val="22"/>
                    </w:rPr>
                  </w:pPr>
                  <w:hyperlink w:anchor="_Toc2934048" w:history="1">
                    <w:r w:rsidRPr="009C0BCF">
                      <w:rPr>
                        <w:rStyle w:val="ae"/>
                        <w:rFonts w:asciiTheme="minorEastAsia" w:hAnsiTheme="minorEastAsia"/>
                        <w:noProof/>
                      </w:rPr>
                      <w:t>2.2</w:t>
                    </w:r>
                    <w:r w:rsidRPr="009C0BCF">
                      <w:rPr>
                        <w:rStyle w:val="ae"/>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_Toc2934048 \h </w:instrText>
                    </w:r>
                    <w:r>
                      <w:rPr>
                        <w:noProof/>
                        <w:webHidden/>
                      </w:rPr>
                    </w:r>
                    <w:r>
                      <w:rPr>
                        <w:noProof/>
                        <w:webHidden/>
                      </w:rPr>
                      <w:fldChar w:fldCharType="separate"/>
                    </w:r>
                    <w:r>
                      <w:rPr>
                        <w:noProof/>
                        <w:webHidden/>
                      </w:rPr>
                      <w:t>20</w:t>
                    </w:r>
                    <w:r>
                      <w:rPr>
                        <w:noProof/>
                        <w:webHidden/>
                      </w:rPr>
                      <w:fldChar w:fldCharType="end"/>
                    </w:r>
                  </w:hyperlink>
                </w:p>
                <w:p w:rsidR="00C24580" w:rsidRDefault="00C24580">
                  <w:pPr>
                    <w:pStyle w:val="21"/>
                    <w:rPr>
                      <w:rFonts w:asciiTheme="minorHAnsi" w:eastAsiaTheme="minorEastAsia" w:hAnsiTheme="minorHAnsi" w:cstheme="minorBidi"/>
                      <w:b w:val="0"/>
                      <w:smallCaps w:val="0"/>
                      <w:noProof/>
                      <w:color w:val="auto"/>
                      <w:sz w:val="21"/>
                      <w:szCs w:val="22"/>
                    </w:rPr>
                  </w:pPr>
                  <w:hyperlink w:anchor="_Toc2934049" w:history="1">
                    <w:r w:rsidRPr="009C0BCF">
                      <w:rPr>
                        <w:rStyle w:val="ae"/>
                        <w:rFonts w:asciiTheme="minorEastAsia" w:hAnsiTheme="minorEastAsia"/>
                        <w:noProof/>
                      </w:rPr>
                      <w:t>2.3</w:t>
                    </w:r>
                    <w:r w:rsidRPr="009C0BCF">
                      <w:rPr>
                        <w:rStyle w:val="ae"/>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_Toc2934049 \h </w:instrText>
                    </w:r>
                    <w:r>
                      <w:rPr>
                        <w:noProof/>
                        <w:webHidden/>
                      </w:rPr>
                    </w:r>
                    <w:r>
                      <w:rPr>
                        <w:noProof/>
                        <w:webHidden/>
                      </w:rPr>
                      <w:fldChar w:fldCharType="separate"/>
                    </w:r>
                    <w:r>
                      <w:rPr>
                        <w:noProof/>
                        <w:webHidden/>
                      </w:rPr>
                      <w:t>21</w:t>
                    </w:r>
                    <w:r>
                      <w:rPr>
                        <w:noProof/>
                        <w:webHidden/>
                      </w:rPr>
                      <w:fldChar w:fldCharType="end"/>
                    </w:r>
                  </w:hyperlink>
                </w:p>
                <w:p w:rsidR="00C24580" w:rsidRDefault="00C24580">
                  <w:pPr>
                    <w:pStyle w:val="21"/>
                    <w:rPr>
                      <w:rFonts w:asciiTheme="minorHAnsi" w:eastAsiaTheme="minorEastAsia" w:hAnsiTheme="minorHAnsi" w:cstheme="minorBidi"/>
                      <w:b w:val="0"/>
                      <w:smallCaps w:val="0"/>
                      <w:noProof/>
                      <w:color w:val="auto"/>
                      <w:sz w:val="21"/>
                      <w:szCs w:val="22"/>
                    </w:rPr>
                  </w:pPr>
                  <w:hyperlink w:anchor="_Toc2934050" w:history="1">
                    <w:r w:rsidRPr="009C0BCF">
                      <w:rPr>
                        <w:rStyle w:val="ae"/>
                        <w:rFonts w:asciiTheme="minorEastAsia" w:hAnsiTheme="minorEastAsia"/>
                        <w:noProof/>
                      </w:rPr>
                      <w:t>2.4</w:t>
                    </w:r>
                    <w:r w:rsidRPr="009C0BCF">
                      <w:rPr>
                        <w:rStyle w:val="ae"/>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_Toc2934050 \h </w:instrText>
                    </w:r>
                    <w:r>
                      <w:rPr>
                        <w:noProof/>
                        <w:webHidden/>
                      </w:rPr>
                    </w:r>
                    <w:r>
                      <w:rPr>
                        <w:noProof/>
                        <w:webHidden/>
                      </w:rPr>
                      <w:fldChar w:fldCharType="separate"/>
                    </w:r>
                    <w:r>
                      <w:rPr>
                        <w:noProof/>
                        <w:webHidden/>
                      </w:rPr>
                      <w:t>23</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51" w:history="1">
                    <w:r w:rsidRPr="009C0BCF">
                      <w:rPr>
                        <w:rStyle w:val="ae"/>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_Toc2934051 \h </w:instrText>
                    </w:r>
                    <w:r>
                      <w:rPr>
                        <w:noProof/>
                        <w:webHidden/>
                      </w:rPr>
                    </w:r>
                    <w:r>
                      <w:rPr>
                        <w:noProof/>
                        <w:webHidden/>
                      </w:rPr>
                      <w:fldChar w:fldCharType="separate"/>
                    </w:r>
                    <w:r>
                      <w:rPr>
                        <w:noProof/>
                        <w:webHidden/>
                      </w:rPr>
                      <w:t>23</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52" w:history="1">
                    <w:r w:rsidRPr="009C0BCF">
                      <w:rPr>
                        <w:rStyle w:val="ae"/>
                        <w:rFonts w:asciiTheme="minorEastAsia" w:hAnsiTheme="minorEastAsia"/>
                        <w:noProof/>
                      </w:rPr>
                      <w:t>3</w:t>
                    </w:r>
                    <w:r w:rsidRPr="009C0BCF">
                      <w:rPr>
                        <w:rStyle w:val="ae"/>
                        <w:rFonts w:asciiTheme="minorEastAsia" w:hAnsiTheme="minorEastAsia" w:hint="eastAsia"/>
                        <w:noProof/>
                      </w:rPr>
                      <w:t>．</w:t>
                    </w:r>
                    <w:r w:rsidRPr="009C0BCF">
                      <w:rPr>
                        <w:rStyle w:val="ae"/>
                        <w:rFonts w:asciiTheme="minorEastAsia" w:hAnsiTheme="minorEastAsia"/>
                        <w:noProof/>
                      </w:rPr>
                      <w:t xml:space="preserve">1  </w:t>
                    </w:r>
                    <w:r w:rsidRPr="009C0BCF">
                      <w:rPr>
                        <w:rStyle w:val="ae"/>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_Toc2934052 \h </w:instrText>
                    </w:r>
                    <w:r>
                      <w:rPr>
                        <w:noProof/>
                        <w:webHidden/>
                      </w:rPr>
                    </w:r>
                    <w:r>
                      <w:rPr>
                        <w:noProof/>
                        <w:webHidden/>
                      </w:rPr>
                      <w:fldChar w:fldCharType="separate"/>
                    </w:r>
                    <w:r>
                      <w:rPr>
                        <w:noProof/>
                        <w:webHidden/>
                      </w:rPr>
                      <w:t>23</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53" w:history="1">
                    <w:r w:rsidRPr="009C0BCF">
                      <w:rPr>
                        <w:rStyle w:val="ae"/>
                        <w:rFonts w:asciiTheme="minorEastAsia" w:hAnsiTheme="minorEastAsia" w:hint="eastAsia"/>
                        <w:noProof/>
                      </w:rPr>
                      <w:t>四、国内溶剂油市场综述</w:t>
                    </w:r>
                    <w:r>
                      <w:rPr>
                        <w:noProof/>
                        <w:webHidden/>
                      </w:rPr>
                      <w:tab/>
                    </w:r>
                    <w:r>
                      <w:rPr>
                        <w:noProof/>
                        <w:webHidden/>
                      </w:rPr>
                      <w:fldChar w:fldCharType="begin"/>
                    </w:r>
                    <w:r>
                      <w:rPr>
                        <w:noProof/>
                        <w:webHidden/>
                      </w:rPr>
                      <w:instrText xml:space="preserve"> PAGEREF _Toc2934053 \h </w:instrText>
                    </w:r>
                    <w:r>
                      <w:rPr>
                        <w:noProof/>
                        <w:webHidden/>
                      </w:rPr>
                    </w:r>
                    <w:r>
                      <w:rPr>
                        <w:noProof/>
                        <w:webHidden/>
                      </w:rPr>
                      <w:fldChar w:fldCharType="separate"/>
                    </w:r>
                    <w:r>
                      <w:rPr>
                        <w:noProof/>
                        <w:webHidden/>
                      </w:rPr>
                      <w:t>28</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54" w:history="1">
                    <w:r w:rsidRPr="009C0BCF">
                      <w:rPr>
                        <w:rStyle w:val="ae"/>
                        <w:rFonts w:ascii="黑体" w:hint="eastAsia"/>
                        <w:noProof/>
                      </w:rPr>
                      <w:t>六、</w:t>
                    </w:r>
                    <w:r w:rsidRPr="009C0BCF">
                      <w:rPr>
                        <w:rStyle w:val="ae"/>
                        <w:rFonts w:ascii="黑体"/>
                        <w:noProof/>
                      </w:rPr>
                      <w:t>D</w:t>
                    </w:r>
                    <w:r w:rsidRPr="009C0BCF">
                      <w:rPr>
                        <w:rStyle w:val="ae"/>
                        <w:rFonts w:ascii="黑体" w:hint="eastAsia"/>
                        <w:noProof/>
                      </w:rPr>
                      <w:t>系列特种溶剂油</w:t>
                    </w:r>
                    <w:r>
                      <w:rPr>
                        <w:noProof/>
                        <w:webHidden/>
                      </w:rPr>
                      <w:tab/>
                    </w:r>
                    <w:r>
                      <w:rPr>
                        <w:noProof/>
                        <w:webHidden/>
                      </w:rPr>
                      <w:fldChar w:fldCharType="begin"/>
                    </w:r>
                    <w:r>
                      <w:rPr>
                        <w:noProof/>
                        <w:webHidden/>
                      </w:rPr>
                      <w:instrText xml:space="preserve"> PAGEREF _Toc2934054 \h </w:instrText>
                    </w:r>
                    <w:r>
                      <w:rPr>
                        <w:noProof/>
                        <w:webHidden/>
                      </w:rPr>
                    </w:r>
                    <w:r>
                      <w:rPr>
                        <w:noProof/>
                        <w:webHidden/>
                      </w:rPr>
                      <w:fldChar w:fldCharType="separate"/>
                    </w:r>
                    <w:r>
                      <w:rPr>
                        <w:noProof/>
                        <w:webHidden/>
                      </w:rPr>
                      <w:t>35</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55" w:history="1">
                    <w:r w:rsidRPr="009C0BCF">
                      <w:rPr>
                        <w:rStyle w:val="ae"/>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_Toc2934055 \h </w:instrText>
                    </w:r>
                    <w:r>
                      <w:rPr>
                        <w:noProof/>
                        <w:webHidden/>
                      </w:rPr>
                    </w:r>
                    <w:r>
                      <w:rPr>
                        <w:noProof/>
                        <w:webHidden/>
                      </w:rPr>
                      <w:fldChar w:fldCharType="separate"/>
                    </w:r>
                    <w:r>
                      <w:rPr>
                        <w:noProof/>
                        <w:webHidden/>
                      </w:rPr>
                      <w:t>37</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56" w:history="1">
                    <w:r w:rsidRPr="009C0BCF">
                      <w:rPr>
                        <w:rStyle w:val="ae"/>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_Toc2934056 \h </w:instrText>
                    </w:r>
                    <w:r>
                      <w:rPr>
                        <w:noProof/>
                        <w:webHidden/>
                      </w:rPr>
                    </w:r>
                    <w:r>
                      <w:rPr>
                        <w:noProof/>
                        <w:webHidden/>
                      </w:rPr>
                      <w:fldChar w:fldCharType="separate"/>
                    </w:r>
                    <w:r>
                      <w:rPr>
                        <w:noProof/>
                        <w:webHidden/>
                      </w:rPr>
                      <w:t>42</w:t>
                    </w:r>
                    <w:r>
                      <w:rPr>
                        <w:noProof/>
                        <w:webHidden/>
                      </w:rPr>
                      <w:fldChar w:fldCharType="end"/>
                    </w:r>
                  </w:hyperlink>
                </w:p>
                <w:p w:rsidR="00C24580" w:rsidRDefault="00C24580">
                  <w:pPr>
                    <w:pStyle w:val="10"/>
                    <w:rPr>
                      <w:rFonts w:asciiTheme="minorHAnsi" w:eastAsiaTheme="minorEastAsia" w:hAnsiTheme="minorHAnsi" w:cstheme="minorBidi"/>
                      <w:b w:val="0"/>
                      <w:bCs w:val="0"/>
                      <w:caps w:val="0"/>
                      <w:noProof/>
                      <w:color w:val="auto"/>
                      <w:sz w:val="21"/>
                      <w:szCs w:val="22"/>
                    </w:rPr>
                  </w:pPr>
                  <w:hyperlink w:anchor="_Toc2934057" w:history="1">
                    <w:r w:rsidRPr="009C0BCF">
                      <w:rPr>
                        <w:rStyle w:val="ae"/>
                        <w:rFonts w:ascii="华文仿宋" w:eastAsia="华文仿宋" w:hAnsi="华文仿宋" w:hint="eastAsia"/>
                        <w:noProof/>
                      </w:rPr>
                      <w:t>九、</w:t>
                    </w:r>
                    <w:r w:rsidRPr="009C0BCF">
                      <w:rPr>
                        <w:rStyle w:val="ae"/>
                        <w:rFonts w:ascii="华文仿宋" w:eastAsia="华文仿宋" w:hAnsi="华文仿宋"/>
                        <w:noProof/>
                      </w:rPr>
                      <w:t>2018</w:t>
                    </w:r>
                    <w:r w:rsidRPr="009C0BCF">
                      <w:rPr>
                        <w:rStyle w:val="ae"/>
                        <w:rFonts w:ascii="华文仿宋" w:eastAsia="华文仿宋" w:hAnsi="华文仿宋" w:hint="eastAsia"/>
                        <w:noProof/>
                      </w:rPr>
                      <w:t>年</w:t>
                    </w:r>
                    <w:r w:rsidRPr="009C0BCF">
                      <w:rPr>
                        <w:rStyle w:val="ae"/>
                        <w:rFonts w:ascii="华文仿宋" w:eastAsia="华文仿宋" w:hAnsi="华文仿宋"/>
                        <w:noProof/>
                      </w:rPr>
                      <w:t>11</w:t>
                    </w:r>
                    <w:r w:rsidRPr="009C0BCF">
                      <w:rPr>
                        <w:rStyle w:val="ae"/>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_Toc2934057 \h </w:instrText>
                    </w:r>
                    <w:r>
                      <w:rPr>
                        <w:noProof/>
                        <w:webHidden/>
                      </w:rPr>
                    </w:r>
                    <w:r>
                      <w:rPr>
                        <w:noProof/>
                        <w:webHidden/>
                      </w:rPr>
                      <w:fldChar w:fldCharType="separate"/>
                    </w:r>
                    <w:r>
                      <w:rPr>
                        <w:noProof/>
                        <w:webHidden/>
                      </w:rPr>
                      <w:t>43</w:t>
                    </w:r>
                    <w:r>
                      <w:rPr>
                        <w:noProof/>
                        <w:webHidden/>
                      </w:rPr>
                      <w:fldChar w:fldCharType="end"/>
                    </w:r>
                  </w:hyperlink>
                </w:p>
                <w:p w:rsidR="00AB4BD8" w:rsidRDefault="00AB4BD8">
                  <w:r>
                    <w:rPr>
                      <w:rFonts w:ascii="宋体" w:hAnsi="宋体"/>
                    </w:rPr>
                    <w:fldChar w:fldCharType="end"/>
                  </w:r>
                </w:p>
              </w:txbxContent>
            </v:textbox>
          </v:shape>
        </w:pict>
      </w:r>
      <w:r w:rsidR="0014013A">
        <w:br w:type="page"/>
      </w:r>
      <w:bookmarkStart w:id="3" w:name="_Toc505349997"/>
      <w:bookmarkStart w:id="4" w:name="_Toc460250399"/>
      <w:bookmarkStart w:id="5" w:name="_Toc536797002"/>
      <w:bookmarkStart w:id="6" w:name="_Toc1736575"/>
      <w:bookmarkStart w:id="7" w:name="_Toc2934017"/>
      <w:bookmarkStart w:id="8" w:name="_Toc2934038"/>
      <w:bookmarkEnd w:id="2"/>
      <w:r w:rsidR="0014013A">
        <w:rPr>
          <w:rFonts w:ascii="黑体" w:eastAsia="黑体" w:hAnsi="宋体" w:cs="Arial" w:hint="eastAsia"/>
          <w:b/>
          <w:bCs/>
          <w:kern w:val="0"/>
          <w:sz w:val="30"/>
          <w:szCs w:val="30"/>
        </w:rPr>
        <w:lastRenderedPageBreak/>
        <w:t>一、国际原油</w:t>
      </w:r>
      <w:bookmarkEnd w:id="3"/>
      <w:bookmarkEnd w:id="4"/>
      <w:bookmarkEnd w:id="5"/>
      <w:bookmarkEnd w:id="6"/>
      <w:bookmarkEnd w:id="7"/>
      <w:bookmarkEnd w:id="8"/>
    </w:p>
    <w:p w:rsidR="00E141C3" w:rsidRDefault="00E141C3" w:rsidP="00E141C3">
      <w:pPr>
        <w:outlineLvl w:val="0"/>
        <w:rPr>
          <w:rFonts w:ascii="黑体" w:eastAsia="黑体" w:hAnsi="宋体" w:cs="Arial"/>
          <w:b/>
          <w:bCs/>
          <w:kern w:val="0"/>
          <w:sz w:val="30"/>
          <w:szCs w:val="30"/>
        </w:rPr>
      </w:pPr>
      <w:bookmarkStart w:id="9" w:name="_Toc504051935"/>
      <w:bookmarkStart w:id="10" w:name="_Toc1736576"/>
      <w:bookmarkStart w:id="11" w:name="_Toc505350007"/>
      <w:bookmarkStart w:id="12" w:name="_Toc536797012"/>
      <w:bookmarkStart w:id="13" w:name="_Toc296600809"/>
      <w:bookmarkStart w:id="14" w:name="_Toc281568199"/>
      <w:bookmarkStart w:id="15" w:name="_Toc158203127"/>
      <w:bookmarkStart w:id="16" w:name="_Toc239847712"/>
      <w:bookmarkStart w:id="17" w:name="_Toc2934018"/>
      <w:bookmarkStart w:id="18" w:name="_Toc2934039"/>
      <w:r>
        <w:rPr>
          <w:rFonts w:ascii="黑体" w:eastAsia="黑体" w:hAnsi="宋体" w:cs="Arial" w:hint="eastAsia"/>
          <w:b/>
          <w:bCs/>
          <w:kern w:val="0"/>
          <w:sz w:val="30"/>
          <w:szCs w:val="30"/>
        </w:rPr>
        <w:t>(一)、国际原油市场回顾</w:t>
      </w:r>
      <w:bookmarkEnd w:id="9"/>
      <w:bookmarkEnd w:id="10"/>
      <w:bookmarkEnd w:id="17"/>
      <w:bookmarkEnd w:id="18"/>
      <w:r>
        <w:rPr>
          <w:rFonts w:ascii="宋体" w:eastAsia="黑体" w:hAnsi="宋体" w:cs="Arial" w:hint="eastAsia"/>
          <w:b/>
          <w:bCs/>
          <w:kern w:val="0"/>
          <w:sz w:val="30"/>
          <w:szCs w:val="30"/>
        </w:rPr>
        <w:t> </w:t>
      </w:r>
    </w:p>
    <w:p w:rsidR="00E141C3" w:rsidRDefault="00E141C3" w:rsidP="00E141C3">
      <w:pPr>
        <w:ind w:left="420"/>
        <w:outlineLvl w:val="0"/>
        <w:rPr>
          <w:rFonts w:ascii="黑体" w:eastAsia="黑体" w:hAnsi="宋体" w:cs="Arial"/>
          <w:b/>
          <w:bCs/>
          <w:kern w:val="0"/>
          <w:sz w:val="30"/>
          <w:szCs w:val="30"/>
        </w:rPr>
      </w:pPr>
    </w:p>
    <w:p w:rsidR="001D4DC7" w:rsidRDefault="001D4DC7" w:rsidP="001D4DC7">
      <w:pPr>
        <w:widowControl/>
        <w:numPr>
          <w:ilvl w:val="0"/>
          <w:numId w:val="3"/>
        </w:numPr>
        <w:wordWrap w:val="0"/>
        <w:spacing w:after="90" w:line="288" w:lineRule="auto"/>
        <w:ind w:firstLine="238"/>
        <w:jc w:val="left"/>
        <w:outlineLvl w:val="1"/>
        <w:rPr>
          <w:rFonts w:ascii="宋体" w:hAnsi="宋体" w:cs="Arial" w:hint="eastAsia"/>
          <w:b/>
          <w:kern w:val="0"/>
          <w:sz w:val="30"/>
          <w:szCs w:val="30"/>
        </w:rPr>
      </w:pPr>
      <w:bookmarkStart w:id="19" w:name="_Toc504051936"/>
      <w:bookmarkStart w:id="20" w:name="_Toc2934019"/>
      <w:bookmarkStart w:id="21" w:name="_Toc2934040"/>
      <w:r>
        <w:rPr>
          <w:rFonts w:ascii="宋体" w:hAnsi="宋体" w:cs="Arial" w:hint="eastAsia"/>
          <w:b/>
          <w:kern w:val="0"/>
          <w:sz w:val="30"/>
          <w:szCs w:val="30"/>
        </w:rPr>
        <w:t>国际原油收盘价涨跌情况（单位：美元/桶）</w:t>
      </w:r>
      <w:bookmarkEnd w:id="19"/>
      <w:bookmarkEnd w:id="20"/>
      <w:bookmarkEnd w:id="21"/>
    </w:p>
    <w:tbl>
      <w:tblPr>
        <w:tblW w:w="8662" w:type="dxa"/>
        <w:tblLayout w:type="fixed"/>
        <w:tblCellMar>
          <w:top w:w="15" w:type="dxa"/>
          <w:left w:w="15" w:type="dxa"/>
          <w:bottom w:w="15" w:type="dxa"/>
          <w:right w:w="15" w:type="dxa"/>
        </w:tblCellMar>
        <w:tblLook w:val="0000"/>
      </w:tblPr>
      <w:tblGrid>
        <w:gridCol w:w="1291"/>
        <w:gridCol w:w="709"/>
        <w:gridCol w:w="691"/>
        <w:gridCol w:w="5971"/>
      </w:tblGrid>
      <w:tr w:rsidR="001D4DC7" w:rsidTr="00AB4BD8">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1D4DC7" w:rsidRDefault="001D4DC7" w:rsidP="00AB4BD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1D4DC7" w:rsidRDefault="001D4DC7" w:rsidP="00AB4BD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1D4DC7" w:rsidRDefault="001D4DC7" w:rsidP="00AB4BD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597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1D4DC7" w:rsidRDefault="001D4DC7" w:rsidP="00AB4BD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1D4DC7" w:rsidTr="00AB4BD8">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56.22</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65.99</w:t>
            </w:r>
          </w:p>
        </w:tc>
        <w:tc>
          <w:tcPr>
            <w:tcW w:w="5971" w:type="dxa"/>
            <w:tcBorders>
              <w:top w:val="single" w:sz="4" w:space="0" w:color="000000"/>
              <w:left w:val="single" w:sz="4" w:space="0" w:color="000000"/>
              <w:bottom w:val="single" w:sz="4" w:space="0" w:color="000000"/>
              <w:right w:val="single" w:sz="4" w:space="0" w:color="000000"/>
            </w:tcBorders>
            <w:vAlign w:val="center"/>
          </w:tcPr>
          <w:p w:rsidR="001D4DC7" w:rsidRPr="00C52BD0" w:rsidRDefault="001D4DC7" w:rsidP="00AB4BD8">
            <w:pP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美国原油库存报告好坏参半令油价延续震荡走势，加之美元近来的强势也令油价承压，但是OPEC的减产依旧为市场提供了一定的支撑。</w:t>
            </w:r>
          </w:p>
        </w:tc>
      </w:tr>
      <w:tr w:rsidR="001D4DC7" w:rsidTr="00AB4BD8">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56.56</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65.86</w:t>
            </w:r>
          </w:p>
        </w:tc>
        <w:tc>
          <w:tcPr>
            <w:tcW w:w="5971" w:type="dxa"/>
            <w:tcBorders>
              <w:top w:val="single" w:sz="4" w:space="0" w:color="000000"/>
              <w:left w:val="single" w:sz="4" w:space="0" w:color="000000"/>
              <w:bottom w:val="single" w:sz="4" w:space="0" w:color="000000"/>
              <w:right w:val="single" w:sz="4" w:space="0" w:color="000000"/>
            </w:tcBorders>
            <w:vAlign w:val="center"/>
          </w:tcPr>
          <w:p w:rsidR="001D4DC7" w:rsidRPr="00C52BD0" w:rsidRDefault="001D4DC7" w:rsidP="00AB4BD8">
            <w:pP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利比亚最大油田重启的消息抵消了减产行动稳步推进为油价提供的强力支撑，令油价上涨空间受限。</w:t>
            </w:r>
          </w:p>
        </w:tc>
      </w:tr>
      <w:tr w:rsidR="001D4DC7" w:rsidTr="00AB4BD8">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56.59</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65.67</w:t>
            </w:r>
          </w:p>
        </w:tc>
        <w:tc>
          <w:tcPr>
            <w:tcW w:w="5971" w:type="dxa"/>
            <w:tcBorders>
              <w:top w:val="single" w:sz="4" w:space="0" w:color="000000"/>
              <w:left w:val="single" w:sz="4" w:space="0" w:color="000000"/>
              <w:bottom w:val="single" w:sz="4" w:space="0" w:color="000000"/>
              <w:right w:val="single" w:sz="4" w:space="0" w:color="000000"/>
            </w:tcBorders>
            <w:vAlign w:val="center"/>
          </w:tcPr>
          <w:p w:rsidR="001D4DC7" w:rsidRPr="00C52BD0" w:rsidRDefault="001D4DC7" w:rsidP="00AB4BD8">
            <w:pP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OPEC减产行动的稳步推进为油价带来提振，但经济发展放缓的忧虑仍存限制了油价的上行空间。</w:t>
            </w:r>
          </w:p>
        </w:tc>
      </w:tr>
      <w:tr w:rsidR="001D4DC7" w:rsidTr="00AB4BD8">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55.8</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65.07</w:t>
            </w:r>
          </w:p>
        </w:tc>
        <w:tc>
          <w:tcPr>
            <w:tcW w:w="5971" w:type="dxa"/>
            <w:tcBorders>
              <w:top w:val="single" w:sz="4" w:space="0" w:color="000000"/>
              <w:left w:val="single" w:sz="4" w:space="0" w:color="000000"/>
              <w:bottom w:val="single" w:sz="4" w:space="0" w:color="000000"/>
              <w:right w:val="single" w:sz="4" w:space="0" w:color="000000"/>
            </w:tcBorders>
            <w:vAlign w:val="center"/>
          </w:tcPr>
          <w:p w:rsidR="001D4DC7" w:rsidRPr="00C52BD0" w:rsidRDefault="001D4DC7" w:rsidP="00AB4BD8">
            <w:pP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虽然OPEC的减产成果利好油价，但美国原油产量增长以及全球经济放缓的忧虑令市场情绪再受抑制导致油价承压下跌。</w:t>
            </w:r>
          </w:p>
        </w:tc>
      </w:tr>
      <w:tr w:rsidR="001D4DC7" w:rsidTr="00AB4BD8">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2019/2/28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57.22</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D4DC7" w:rsidRPr="00C52BD0" w:rsidRDefault="001D4DC7" w:rsidP="00AB4BD8">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66.03</w:t>
            </w:r>
          </w:p>
        </w:tc>
        <w:tc>
          <w:tcPr>
            <w:tcW w:w="5971" w:type="dxa"/>
            <w:tcBorders>
              <w:top w:val="single" w:sz="4" w:space="0" w:color="000000"/>
              <w:left w:val="single" w:sz="4" w:space="0" w:color="000000"/>
              <w:bottom w:val="single" w:sz="4" w:space="0" w:color="000000"/>
              <w:right w:val="single" w:sz="4" w:space="0" w:color="000000"/>
            </w:tcBorders>
            <w:vAlign w:val="center"/>
          </w:tcPr>
          <w:p w:rsidR="001D4DC7" w:rsidRPr="00C52BD0" w:rsidRDefault="001D4DC7" w:rsidP="00AB4BD8">
            <w:pP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虽然美国EIA原油库存大降有效提振了市场情绪，但美元企稳以及特朗普政府可能对石油输出国组织(OPEC)施加更大压力令国际油价承压。</w:t>
            </w:r>
          </w:p>
        </w:tc>
      </w:tr>
    </w:tbl>
    <w:p w:rsidR="001D4DC7" w:rsidRDefault="001D4DC7" w:rsidP="001D4DC7">
      <w:pPr>
        <w:widowControl/>
        <w:wordWrap w:val="0"/>
        <w:spacing w:after="90" w:line="288" w:lineRule="auto"/>
        <w:ind w:left="238"/>
        <w:jc w:val="left"/>
        <w:outlineLvl w:val="1"/>
        <w:rPr>
          <w:rFonts w:ascii="宋体" w:hAnsi="宋体" w:cs="Arial" w:hint="eastAsia"/>
          <w:b/>
          <w:kern w:val="0"/>
          <w:sz w:val="30"/>
          <w:szCs w:val="30"/>
        </w:rPr>
      </w:pPr>
    </w:p>
    <w:p w:rsidR="001D4DC7" w:rsidRDefault="001D4DC7" w:rsidP="001D4DC7">
      <w:pPr>
        <w:rPr>
          <w:rFonts w:ascii="宋体" w:hAnsi="宋体" w:cs="Arial" w:hint="eastAsia"/>
          <w:kern w:val="0"/>
          <w:szCs w:val="21"/>
        </w:rPr>
      </w:pPr>
    </w:p>
    <w:p w:rsidR="001D4DC7" w:rsidRDefault="001D4DC7" w:rsidP="001D4DC7">
      <w:pPr>
        <w:widowControl/>
        <w:wordWrap w:val="0"/>
        <w:spacing w:after="90" w:line="288" w:lineRule="auto"/>
        <w:ind w:firstLine="238"/>
        <w:jc w:val="left"/>
        <w:outlineLvl w:val="1"/>
        <w:rPr>
          <w:rFonts w:ascii="宋体" w:hAnsi="宋体" w:cs="Arial"/>
          <w:b/>
          <w:kern w:val="0"/>
          <w:sz w:val="30"/>
          <w:szCs w:val="30"/>
        </w:rPr>
      </w:pPr>
      <w:bookmarkStart w:id="22" w:name="_Toc504051937"/>
      <w:bookmarkStart w:id="23" w:name="_Toc2934020"/>
      <w:bookmarkStart w:id="24" w:name="_Toc2934041"/>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22"/>
      <w:bookmarkEnd w:id="23"/>
      <w:bookmarkEnd w:id="24"/>
    </w:p>
    <w:p w:rsidR="001D4DC7" w:rsidRDefault="001D4DC7" w:rsidP="001D4DC7">
      <w:pPr>
        <w:widowControl/>
        <w:wordWrap w:val="0"/>
        <w:spacing w:after="90" w:line="288" w:lineRule="auto"/>
        <w:ind w:firstLine="238"/>
        <w:jc w:val="left"/>
        <w:outlineLvl w:val="1"/>
        <w:rPr>
          <w:rFonts w:ascii="宋体" w:hAnsi="宋体" w:cs="Arial" w:hint="eastAsia"/>
          <w:b/>
          <w:kern w:val="0"/>
          <w:sz w:val="30"/>
          <w:szCs w:val="30"/>
        </w:rPr>
      </w:pPr>
      <w:r>
        <w:rPr>
          <w:rFonts w:ascii="宋体" w:hAnsi="宋体" w:cs="Arial"/>
          <w:b/>
          <w:noProof/>
          <w:kern w:val="0"/>
          <w:sz w:val="30"/>
          <w:szCs w:val="30"/>
        </w:rPr>
        <w:drawing>
          <wp:inline distT="0" distB="0" distL="0" distR="0">
            <wp:extent cx="5410200" cy="3495675"/>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4DC7" w:rsidRDefault="001D4DC7" w:rsidP="001D4DC7">
      <w:pPr>
        <w:rPr>
          <w:rFonts w:hint="eastAsia"/>
        </w:rPr>
      </w:pPr>
    </w:p>
    <w:p w:rsidR="001D4DC7" w:rsidRDefault="001D4DC7" w:rsidP="001D4DC7">
      <w:pPr>
        <w:numPr>
          <w:ilvl w:val="0"/>
          <w:numId w:val="2"/>
        </w:numPr>
        <w:outlineLvl w:val="0"/>
        <w:rPr>
          <w:rFonts w:ascii="宋体" w:hAnsi="宋体" w:cs="Arial" w:hint="eastAsia"/>
          <w:b/>
          <w:bCs/>
          <w:kern w:val="0"/>
          <w:sz w:val="32"/>
          <w:szCs w:val="32"/>
        </w:rPr>
      </w:pPr>
      <w:bookmarkStart w:id="25" w:name="_Toc504051938"/>
      <w:bookmarkStart w:id="26" w:name="_Toc2934021"/>
      <w:bookmarkStart w:id="27" w:name="_Toc2934042"/>
      <w:r>
        <w:rPr>
          <w:rFonts w:ascii="宋体" w:hAnsi="宋体" w:cs="Arial"/>
          <w:b/>
          <w:bCs/>
          <w:kern w:val="0"/>
          <w:sz w:val="32"/>
          <w:szCs w:val="32"/>
        </w:rPr>
        <w:t>近期影响国际原油市场的主要因素</w:t>
      </w:r>
      <w:bookmarkEnd w:id="25"/>
      <w:bookmarkEnd w:id="26"/>
      <w:bookmarkEnd w:id="27"/>
    </w:p>
    <w:p w:rsidR="001D4DC7" w:rsidRDefault="001D4DC7" w:rsidP="001D4DC7">
      <w:pPr>
        <w:ind w:firstLineChars="200" w:firstLine="562"/>
        <w:rPr>
          <w:rFonts w:ascii="黑体" w:eastAsia="黑体" w:hAnsi="宋体" w:hint="eastAsia"/>
          <w:b/>
          <w:sz w:val="28"/>
          <w:szCs w:val="28"/>
        </w:rPr>
      </w:pPr>
    </w:p>
    <w:p w:rsidR="001D4DC7" w:rsidRDefault="001D4DC7" w:rsidP="001D4DC7">
      <w:pPr>
        <w:ind w:firstLineChars="196" w:firstLine="551"/>
        <w:outlineLvl w:val="1"/>
        <w:rPr>
          <w:rFonts w:ascii="黑体" w:eastAsia="黑体" w:hAnsi="宋体" w:hint="eastAsia"/>
          <w:b/>
          <w:color w:val="000000"/>
          <w:sz w:val="28"/>
          <w:szCs w:val="28"/>
        </w:rPr>
      </w:pPr>
      <w:bookmarkStart w:id="28" w:name="_Toc504051939"/>
      <w:bookmarkStart w:id="29" w:name="_Toc2934022"/>
      <w:bookmarkStart w:id="30" w:name="_Toc2934043"/>
      <w:r>
        <w:rPr>
          <w:rFonts w:ascii="黑体" w:eastAsia="黑体" w:hAnsi="宋体" w:hint="eastAsia"/>
          <w:b/>
          <w:color w:val="000000"/>
          <w:sz w:val="28"/>
          <w:szCs w:val="28"/>
        </w:rPr>
        <w:t>1.</w:t>
      </w:r>
      <w:r w:rsidRPr="00F62FC4">
        <w:rPr>
          <w:rFonts w:ascii="黑体" w:eastAsia="黑体" w:hAnsi="宋体" w:hint="eastAsia"/>
          <w:b/>
          <w:color w:val="000000"/>
          <w:sz w:val="28"/>
          <w:szCs w:val="28"/>
        </w:rPr>
        <w:t>美国原油库存情况</w:t>
      </w:r>
      <w:bookmarkStart w:id="31" w:name="_Toc504051940"/>
      <w:bookmarkEnd w:id="28"/>
      <w:bookmarkEnd w:id="29"/>
      <w:bookmarkEnd w:id="30"/>
      <w:r>
        <w:rPr>
          <w:rFonts w:ascii="黑体" w:eastAsia="黑体" w:hAnsi="宋体" w:hint="eastAsia"/>
          <w:b/>
          <w:color w:val="000000"/>
          <w:sz w:val="28"/>
          <w:szCs w:val="28"/>
        </w:rPr>
        <w:t xml:space="preserve"> </w:t>
      </w:r>
    </w:p>
    <w:p w:rsidR="001D4DC7" w:rsidRPr="00C52BD0" w:rsidRDefault="001D4DC7" w:rsidP="001D4DC7">
      <w:pPr>
        <w:pStyle w:val="aa"/>
        <w:ind w:firstLineChars="200" w:firstLine="560"/>
        <w:rPr>
          <w:rFonts w:ascii="华文仿宋" w:eastAsia="华文仿宋" w:hAnsi="华文仿宋"/>
          <w:sz w:val="28"/>
          <w:szCs w:val="28"/>
        </w:rPr>
      </w:pPr>
      <w:r w:rsidRPr="00CC4333">
        <w:rPr>
          <w:rFonts w:ascii="华文仿宋" w:eastAsia="华文仿宋" w:hAnsi="华文仿宋"/>
          <w:sz w:val="28"/>
          <w:szCs w:val="28"/>
        </w:rPr>
        <w:t>本周</w:t>
      </w:r>
      <w:r w:rsidRPr="00C52BD0">
        <w:rPr>
          <w:rFonts w:ascii="华文仿宋" w:eastAsia="华文仿宋" w:hAnsi="华文仿宋"/>
          <w:sz w:val="28"/>
          <w:szCs w:val="28"/>
        </w:rPr>
        <w:t>美国能源信息署(EIA)公布的数据显示，截至2月22日当周美国除却战略储备的商业原油库存减少864.7万桶至4.459亿桶，减少1.9%，美国原油库存变化值连续5周录得增长后本周录得下滑，且创2018年7月13日当周(33周)以来新低。此外，俄克拉荷马州库欣地区原油库存增加162.8万桶，库欣地区原油库存升至2017年12月以来最高水平。上周汽油库存减少190.6万桶，精炼油库存减少30.4万桶。美国3月1日当周API原油库存+729万桶，前值-420万桶。</w:t>
      </w:r>
      <w:r w:rsidRPr="00C52BD0">
        <w:rPr>
          <w:rFonts w:ascii="华文仿宋" w:eastAsia="华文仿宋" w:hAnsi="华文仿宋"/>
          <w:sz w:val="28"/>
          <w:szCs w:val="28"/>
        </w:rPr>
        <w:lastRenderedPageBreak/>
        <w:t>美国3月1日当周API库欣地区原油库存+113万桶，前值+200万桶。美国3月1日当周API汽油库存-39.1万桶，前值-380万桶。美国3月1日当周API精炼油库存-310万桶，前值+40万桶。</w:t>
      </w:r>
    </w:p>
    <w:p w:rsidR="001D4DC7" w:rsidRDefault="001D4DC7" w:rsidP="001D4DC7">
      <w:pPr>
        <w:pStyle w:val="aa"/>
        <w:ind w:firstLineChars="200" w:firstLine="562"/>
        <w:rPr>
          <w:rFonts w:ascii="黑体" w:eastAsia="黑体" w:hint="eastAsia"/>
          <w:b/>
          <w:sz w:val="28"/>
          <w:szCs w:val="28"/>
        </w:rPr>
      </w:pPr>
      <w:r>
        <w:rPr>
          <w:rFonts w:ascii="黑体" w:eastAsia="黑体" w:hint="eastAsia"/>
          <w:b/>
          <w:sz w:val="28"/>
          <w:szCs w:val="28"/>
        </w:rPr>
        <w:t>2.美国经济形势</w:t>
      </w:r>
      <w:bookmarkEnd w:id="31"/>
    </w:p>
    <w:p w:rsidR="001D4DC7" w:rsidRPr="00C52BD0" w:rsidRDefault="001D4DC7" w:rsidP="001D4DC7">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t>本周</w:t>
      </w:r>
      <w:r w:rsidRPr="00C52BD0">
        <w:rPr>
          <w:rFonts w:ascii="华文仿宋" w:eastAsia="华文仿宋" w:hAnsi="华文仿宋"/>
          <w:sz w:val="28"/>
          <w:szCs w:val="28"/>
        </w:rPr>
        <w:t>北京时间7日凌晨，美股周三收跌，三大股指均录得连续第三日下滑。投资者仍在关注国际贸易局势的进展与美国经济数据。美联储褐皮书报告称美国经济温和增长，半数辖区受到政府停摆影响，全球经济增长放缓与贸易纠纷值得担忧。</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美东时间3月6日16：00(北京时间3月7日05：00)，道指跌133.17点，或0.52%，报25673.46点;标普500指数跌18.20点，或0.65%，报2771.45点;纳指跌70.44点，或0.93%，报7505.92点。</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截至周三收盘，美股三大股指均已连续第三个交易日下滑。</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道指成份股WalgreensBootsAlliance跌幅领先，其股价收跌3.6%。辉瑞制药(PFE)收跌2.4%，卡特彼勒(CAT)跌1.7%。</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标普500成份股当中，能源与医疗保健板块跌幅领先。亚马逊(AMZN)股价走低拖累纳指下滑。</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标普500能源板块跌幅超过1.5%，此前美国原油库存攀升导致油价走低。美国能源信息署(EIA)报告称上周原油库存攀升71万桶，这份报告导致美国WTI原油期货收跌0.6%。</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lastRenderedPageBreak/>
        <w:t>Globalt公司高级投资组合经理TomMartin表示：“过去两个月影响市场的重大题材大多已经用尽。人们正在等待关于贸易协议的新消息，这就是过去几天的股指表现低迷的原因。”</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国际贸易形势仍受关注。一些分析师认为，中美贸易谈判的乐观前景基本上已在目前股市价格中得到体现，市场参与者正在等待新的推动力量。</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特朗普政府官员本周对贸易谈判发出了乐观评论。据彭博社周三报道，美国总统特朗普正在向美国贸易谈判代表施加压力，要求他们尽快达成贸易协议，以期推动市场反弹。</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周三投资者迎来了一些重要经济数据与报告。ADP机构报道称，在经历了一段火爆的开局后，私营层面的就业增长趋势有所降温。数据显示，美国2月ADP就业人数增加18.3万，稍低于市场预期的19万，前值为21.3万。</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美国商务部周三公布的数据显示，尽管特朗普努力削减贸易逆差，但12月份美国贸易逆差仍激增至598亿美元，超出预期。去年全年，美国与其全球伙伴之间的贸易逆差为6210亿美元，创2008年以来最高。</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此前接受路透调查的经济学家预计美国12月贸易逆差将为573亿美元，高于11月的503亿美元，11月的数据修正后增加了10亿美元。美国贸易逆差扩大，因进口增长2.1%至2，649亿美元，而出口下降1.9%至2，051亿美元。</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美联储在周三下午公布了经济景气状况褐皮书报告。报告显示，美国经济在1月和2月有所增长，但是半数联储下辖地区的经济受到联邦政府35天关门的影</w:t>
      </w:r>
      <w:r w:rsidRPr="00C52BD0">
        <w:rPr>
          <w:rFonts w:ascii="华文仿宋" w:eastAsia="华文仿宋" w:hAnsi="华文仿宋"/>
          <w:sz w:val="28"/>
          <w:szCs w:val="28"/>
        </w:rPr>
        <w:lastRenderedPageBreak/>
        <w:t>响。一些制造商还担心其产品的全球市场需求下降、并且特朗普贸易政策将对其产生不利影响。</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褐皮书报告称，美国经济在2019年头两个月降温，大部分地区的经济“轻微至温和”增长。根据这份周三在华盛顿发布的报告，“大约有一半地区指出，政府停摆导致了一些领域的经济活动放缓。”</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美联储的褐皮书是根据截至2月25日12家地区联储银行所收集的信息编制。该报告称，冬季恶劣天气与信贷成本上升也抑制了消费者支出。制造业有所走强，但企业报告“了对全球需求疲软、关税导致成本上升以及贸易政策不确定性的担忧。”</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该报告很可能支持许多美联储官员对于未来加息行动保持耐心的决定，因为经济扩张形势虽然健康但略有放缓。</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美联储官员讲话受到关注。今天发表讲话的美联储官员包括克利夫兰联储行长洛瑞塔-梅斯特(LorettaMester)、纽约联储行长约翰-威廉姆斯(JohnWilliams)等。威廉姆斯是联邦公开市场委员会(FOMC)今年的投票委员，梅斯特不是。</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市场分析师评点</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FXTM研究分析师LukmanOtunuga说：“由于贸易协议的乐观预期已在股市中得到体现，而英国在3月29日无协议脱欧的风险则几乎没有反映在股市定价中，因此市场需要关注新的主题。地缘政治风险因素仍然存在，但其影响似乎有限，并且全球经济增长放缓已不再是什么新闻了。”</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lastRenderedPageBreak/>
        <w:t>其他市场表现</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纽约商品交易所4月交割的西德克萨斯中质原油(WTI)期货价格下跌34美分，跌幅0.6%，收于56.22美元/桶。</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伦敦洲际交易所5月布伦特原油收高13美分，涨幅0.2%，收于65.99美元/桶。</w:t>
      </w:r>
    </w:p>
    <w:p w:rsidR="001D4DC7" w:rsidRPr="00C52BD0" w:rsidRDefault="001D4DC7" w:rsidP="001D4DC7">
      <w:pPr>
        <w:pStyle w:val="aa"/>
        <w:ind w:firstLineChars="200" w:firstLine="560"/>
        <w:rPr>
          <w:rFonts w:ascii="华文仿宋" w:eastAsia="华文仿宋" w:hAnsi="华文仿宋"/>
          <w:sz w:val="28"/>
          <w:szCs w:val="28"/>
        </w:rPr>
      </w:pPr>
      <w:r w:rsidRPr="00C52BD0">
        <w:rPr>
          <w:rFonts w:ascii="华文仿宋" w:eastAsia="华文仿宋" w:hAnsi="华文仿宋"/>
          <w:sz w:val="28"/>
          <w:szCs w:val="28"/>
        </w:rPr>
        <w:t>纽约4月汽油期货攀升1.2%，收于1.789美元/加仑，为10月以来的最高收盘价。</w:t>
      </w:r>
    </w:p>
    <w:p w:rsidR="001D4DC7" w:rsidRPr="00C52BD0" w:rsidRDefault="001D4DC7" w:rsidP="001D4DC7">
      <w:pPr>
        <w:pStyle w:val="aa"/>
        <w:ind w:firstLineChars="200" w:firstLine="560"/>
        <w:rPr>
          <w:rFonts w:ascii="华文仿宋" w:eastAsia="华文仿宋" w:hAnsi="华文仿宋"/>
          <w:sz w:val="28"/>
          <w:szCs w:val="28"/>
        </w:rPr>
      </w:pPr>
    </w:p>
    <w:p w:rsidR="001D4DC7" w:rsidRDefault="001D4DC7" w:rsidP="001D4DC7">
      <w:pPr>
        <w:pStyle w:val="aa"/>
        <w:rPr>
          <w:rFonts w:cs="Arial" w:hint="eastAsia"/>
          <w:b/>
          <w:bCs/>
          <w:sz w:val="32"/>
          <w:szCs w:val="32"/>
        </w:rPr>
      </w:pPr>
      <w:bookmarkStart w:id="32" w:name="_Toc504051941"/>
      <w:r>
        <w:rPr>
          <w:rFonts w:cs="Arial" w:hint="eastAsia"/>
          <w:b/>
          <w:bCs/>
          <w:sz w:val="32"/>
          <w:szCs w:val="32"/>
        </w:rPr>
        <w:t>3.世界经济形势</w:t>
      </w:r>
      <w:bookmarkEnd w:id="32"/>
    </w:p>
    <w:p w:rsidR="001D4DC7" w:rsidRPr="009A15C0" w:rsidRDefault="001D4DC7" w:rsidP="001D4DC7">
      <w:pPr>
        <w:pStyle w:val="aa"/>
        <w:ind w:firstLineChars="200" w:firstLine="560"/>
        <w:rPr>
          <w:rFonts w:ascii="华文仿宋" w:eastAsia="华文仿宋" w:hAnsi="华文仿宋"/>
          <w:sz w:val="28"/>
          <w:szCs w:val="28"/>
        </w:rPr>
      </w:pPr>
      <w:bookmarkStart w:id="33" w:name="_Toc504051942"/>
      <w:r w:rsidRPr="009A15C0">
        <w:rPr>
          <w:rFonts w:ascii="华文仿宋" w:eastAsia="华文仿宋" w:hAnsi="华文仿宋"/>
          <w:sz w:val="28"/>
          <w:szCs w:val="28"/>
        </w:rPr>
        <w:t>当地时间3月6日下午，美国纽约联邦储备银行主席约翰·威廉姆斯在接受新浪财经等媒体访问时表示，全球经济增长放缓、不断攀升的地缘政治风险以及全球金融状况的紧缩将成为限制美联储加息决策的三大风险因素，美国目前经济数据良好，允许美联储保持耐心、灵活调整其货币政策的制定。</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威廉姆斯对新浪财经表示，中国经济作为世界经济的重要组成部分，其经济增长放缓将影响美联储的加息决策，但欧洲经济增长放缓更为显著、对美国影响更大;欧洲等地经济增长放缓将导致本地区需求减少，从而造成美国出口下滑，成为影响美联储目前考虑是否暂缓加息的三大因素之一。</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另外两大因素分别是不断攀升的地缘政治风险和全球金融状况紧缩。</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lastRenderedPageBreak/>
        <w:t>美国经济增长放缓将成“新常态” 美联储需耐心灵活</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威廉姆斯在纽约经济俱乐部发表演讲时提出，由于去年市场波动遏制了消费和商业支出，2019年美国GDP增长将下滑至2%左右，经济增速放缓并不意味着衰退到来，而是成为一种“新常态”。</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基于他对经济增速放缓的预期，他说：“也许我们不需要像我之前认为的那样加大金融紧缩力度。”</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上周美国公布了2018年第四季度的GDP数据，四季度美国经济增速虽有放缓，但仍达到2.6%，超出此前经济学家的预期，2018年全年GDP增速为2.9%，达到2016年以来的最高水平。</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GDP数据公布后，一度引起股票市场的波动，投资者担忧在美国GDP增长超预期的情况下，美联储会在金融状况已经紧缩的背景下进一步加息。</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此前桥水在2019年经济展望报告中提到：由于市场并未将任何的紧缩计入资产估值，任何形式的紧缩都将意味着超预期， 资产价格面临负面再估值的压力;甚至紧缩政策的暂停(例如暂缓加息)也不会给市场太大的正向刺激。</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针对这点，威廉姆斯对新浪财经表示，虽然金融市场也是纳入美联储决策的因素之一，但目前美联储更看重宏观经济数据代表的意义。</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他强调，现在股票市场逐步回归正常，债券市场收益率曲线趋于平缓但并不预兆着衰退，美国目前的GDP增长、就业率、通胀等数据都体现了良好的经济</w:t>
      </w:r>
      <w:r w:rsidRPr="009A15C0">
        <w:rPr>
          <w:rFonts w:ascii="华文仿宋" w:eastAsia="华文仿宋" w:hAnsi="华文仿宋"/>
          <w:sz w:val="28"/>
          <w:szCs w:val="28"/>
        </w:rPr>
        <w:lastRenderedPageBreak/>
        <w:t>状况，允许美联储在此刻保持耐心、继续密切观测相关数据——一旦任何重大经济数据发生变化，美联储能够迅速做出反应，调整决策。</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央行应对危机能力受限 或出现负利率</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此前桥水在经济展望报告中提出的另一主要观点是：一旦美国迎来经济衰退，形势将变得非常糟糕，央行几乎没有调控的空间(如降息)，而国家内部以及国际之间的政治冲突将使有效政策的制定变得异常困难。</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威廉姆斯也在今天演讲后的提问环节遭遇了相似的质疑，他表示：目前美国没有出现任何经济衰退的征兆，但一旦经济衰退出现，美联储可以通过降息、购买债券等手段刺激经济，如果这些手段不生效，甚至可能考虑采用负利率或者新一轮量化宽松政策，美联储正在对这种情况进行深度评估。</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他反复重申，目前对年内是否继续加息没有任何倾向，美联储也还未做出任何决策。</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在08年金融危机之后，美联储先后实施三轮量化宽松政策，通过大规模资产购买计划购入国债、机构债和MBS，向银行体系注入了数万亿美元的资金。2017年10月，其资产负债表一度上升至4.4万亿美元的峰值。 而在今年2月份，这一数字六年来首次跌至4万亿美元以下。</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随着美国经济趋于稳定复苏，美联储逐步退出量化宽松，缩减其资产负债表，简称“缩表”。 而美联储“缩表”将为全球流动性紧缩带来挑战，而相关监管</w:t>
      </w:r>
      <w:r w:rsidRPr="009A15C0">
        <w:rPr>
          <w:rFonts w:ascii="华文仿宋" w:eastAsia="华文仿宋" w:hAnsi="华文仿宋"/>
          <w:sz w:val="28"/>
          <w:szCs w:val="28"/>
        </w:rPr>
        <w:lastRenderedPageBreak/>
        <w:t>层预期这一现象将在年内发生。一旦美联储开始看到货币市场释放出流动性紧缺的信号，他们可能会及时调整政策。</w:t>
      </w:r>
    </w:p>
    <w:p w:rsidR="001D4DC7" w:rsidRPr="009A15C0" w:rsidRDefault="001D4DC7" w:rsidP="001D4DC7">
      <w:pPr>
        <w:pStyle w:val="aa"/>
        <w:ind w:firstLineChars="200" w:firstLine="560"/>
        <w:rPr>
          <w:rFonts w:ascii="华文仿宋" w:eastAsia="华文仿宋" w:hAnsi="华文仿宋"/>
          <w:sz w:val="28"/>
          <w:szCs w:val="28"/>
        </w:rPr>
      </w:pPr>
      <w:r w:rsidRPr="009A15C0">
        <w:rPr>
          <w:rFonts w:ascii="华文仿宋" w:eastAsia="华文仿宋" w:hAnsi="华文仿宋"/>
          <w:sz w:val="28"/>
          <w:szCs w:val="28"/>
        </w:rPr>
        <w:t>但威廉姆斯认为，目前还没有出现任何流动性紧缺的征兆，缩表将以可预测的进程持续，具体计划目前还不能披露，但将在数月内公开。</w:t>
      </w:r>
    </w:p>
    <w:p w:rsidR="001D4DC7" w:rsidRPr="009A15C0" w:rsidRDefault="001D4DC7" w:rsidP="001D4DC7">
      <w:pPr>
        <w:pStyle w:val="aa"/>
        <w:ind w:firstLineChars="200" w:firstLine="560"/>
        <w:rPr>
          <w:rFonts w:ascii="华文仿宋" w:eastAsia="华文仿宋" w:hAnsi="华文仿宋"/>
          <w:sz w:val="28"/>
          <w:szCs w:val="28"/>
        </w:rPr>
      </w:pPr>
    </w:p>
    <w:p w:rsidR="001D4DC7" w:rsidRPr="004502E5" w:rsidRDefault="001D4DC7" w:rsidP="001D4DC7">
      <w:pPr>
        <w:pStyle w:val="aa"/>
        <w:ind w:firstLineChars="200" w:firstLine="560"/>
        <w:rPr>
          <w:rFonts w:ascii="华文仿宋" w:eastAsia="华文仿宋" w:hAnsi="华文仿宋" w:cs="华文仿宋" w:hint="eastAsia"/>
          <w:sz w:val="28"/>
          <w:szCs w:val="28"/>
        </w:rPr>
      </w:pPr>
    </w:p>
    <w:p w:rsidR="001D4DC7" w:rsidRDefault="001D4DC7" w:rsidP="001D4DC7">
      <w:pPr>
        <w:outlineLvl w:val="0"/>
        <w:rPr>
          <w:rFonts w:ascii="宋体" w:hAnsi="宋体" w:cs="Arial" w:hint="eastAsia"/>
          <w:b/>
          <w:bCs/>
          <w:kern w:val="0"/>
          <w:sz w:val="32"/>
          <w:szCs w:val="32"/>
        </w:rPr>
      </w:pPr>
      <w:bookmarkStart w:id="34" w:name="_Toc2934023"/>
      <w:bookmarkStart w:id="35" w:name="_Toc2934044"/>
      <w:r>
        <w:rPr>
          <w:rFonts w:ascii="宋体" w:hAnsi="宋体" w:cs="Arial" w:hint="eastAsia"/>
          <w:b/>
          <w:bCs/>
          <w:kern w:val="0"/>
          <w:sz w:val="32"/>
          <w:szCs w:val="32"/>
        </w:rPr>
        <w:t>三、2018年11月份全国原油进出口统计数据</w:t>
      </w:r>
      <w:bookmarkEnd w:id="33"/>
      <w:r>
        <w:rPr>
          <w:rFonts w:ascii="宋体" w:hAnsi="宋体" w:cs="Arial" w:hint="eastAsia"/>
          <w:b/>
          <w:bCs/>
          <w:kern w:val="0"/>
          <w:sz w:val="32"/>
          <w:szCs w:val="32"/>
        </w:rPr>
        <w:t>（产销国）</w:t>
      </w:r>
      <w:bookmarkEnd w:id="34"/>
      <w:bookmarkEnd w:id="35"/>
    </w:p>
    <w:p w:rsidR="001D4DC7" w:rsidRDefault="001D4DC7" w:rsidP="001D4DC7">
      <w:pPr>
        <w:jc w:val="right"/>
        <w:rPr>
          <w:rFonts w:ascii="宋体" w:hAnsi="宋体" w:hint="eastAsia"/>
        </w:rPr>
      </w:pPr>
    </w:p>
    <w:p w:rsidR="001D4DC7" w:rsidRDefault="001D4DC7" w:rsidP="001D4DC7">
      <w:pPr>
        <w:jc w:val="right"/>
        <w:rPr>
          <w:rFonts w:ascii="宋体" w:hAnsi="宋体" w:hint="eastAsia"/>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1D4DC7" w:rsidTr="00AB4BD8">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1D4DC7" w:rsidTr="00AB4BD8">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石油原油(包括从沥青矿物提取的原油)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40653.34</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w:t>
            </w:r>
            <w:r>
              <w:rPr>
                <w:rFonts w:ascii="华文仿宋" w:eastAsia="华文仿宋" w:hAnsi="华文仿宋" w:cs="Helvetica" w:hint="eastAsia"/>
                <w:color w:val="333333"/>
                <w:kern w:val="0"/>
                <w:sz w:val="28"/>
                <w:szCs w:val="28"/>
              </w:rPr>
              <w:lastRenderedPageBreak/>
              <w:t>伯</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6559086.72</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刚果(布)</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911835.95</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南苏丹共和国</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248895.93</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赤道几内亚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225072.70</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阿尔及利亚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268525.13</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w:t>
            </w:r>
            <w:r>
              <w:rPr>
                <w:rFonts w:ascii="华文仿宋" w:eastAsia="华文仿宋" w:hAnsi="华文仿宋" w:cs="Helvetica" w:hint="eastAsia"/>
                <w:color w:val="333333"/>
                <w:kern w:val="0"/>
                <w:sz w:val="28"/>
                <w:szCs w:val="28"/>
              </w:rPr>
              <w:lastRenderedPageBreak/>
              <w:t>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833188.20</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哈萨克斯坦</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382055.19</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w:t>
            </w:r>
            <w:r>
              <w:rPr>
                <w:rFonts w:ascii="华文仿宋" w:eastAsia="华文仿宋" w:hAnsi="华文仿宋" w:cs="Helvetica" w:hint="eastAsia"/>
                <w:color w:val="333333"/>
                <w:kern w:val="0"/>
                <w:sz w:val="28"/>
                <w:szCs w:val="28"/>
              </w:rPr>
              <w:lastRenderedPageBreak/>
              <w:t>邦</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6548835.91</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卡塔尔</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105875.29</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厄</w:t>
            </w:r>
            <w:r>
              <w:rPr>
                <w:rFonts w:ascii="华文仿宋" w:eastAsia="华文仿宋" w:hAnsi="华文仿宋" w:cs="Helvetica" w:hint="eastAsia"/>
                <w:color w:val="333333"/>
                <w:kern w:val="0"/>
                <w:sz w:val="28"/>
                <w:szCs w:val="28"/>
              </w:rPr>
              <w:lastRenderedPageBreak/>
              <w:t>瓜多尔</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198688.82</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哥伦比亚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889238.87</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1D4DC7" w:rsidTr="00AB4BD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1D4DC7" w:rsidTr="00AB4BD8">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1D4DC7" w:rsidRDefault="001D4DC7" w:rsidP="00AB4BD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1D4DC7" w:rsidRDefault="001D4DC7" w:rsidP="001D4DC7">
      <w:pPr>
        <w:widowControl/>
        <w:jc w:val="center"/>
        <w:rPr>
          <w:rFonts w:ascii="宋体" w:hAnsi="宋体" w:cs="宋体" w:hint="eastAsia"/>
          <w:color w:val="000000"/>
          <w:kern w:val="0"/>
          <w:szCs w:val="21"/>
        </w:rPr>
      </w:pPr>
    </w:p>
    <w:p w:rsidR="001D4DC7" w:rsidRDefault="001D4DC7" w:rsidP="001D4DC7">
      <w:pPr>
        <w:widowControl/>
        <w:jc w:val="center"/>
        <w:rPr>
          <w:rFonts w:ascii="宋体" w:hAnsi="宋体" w:cs="宋体" w:hint="eastAsia"/>
          <w:color w:val="000000"/>
          <w:kern w:val="0"/>
          <w:szCs w:val="21"/>
        </w:rPr>
      </w:pPr>
    </w:p>
    <w:p w:rsidR="001D4DC7" w:rsidRDefault="001D4DC7" w:rsidP="001D4DC7">
      <w:pPr>
        <w:widowControl/>
        <w:jc w:val="center"/>
        <w:rPr>
          <w:rFonts w:ascii="宋体" w:hAnsi="宋体" w:cs="宋体" w:hint="eastAsia"/>
          <w:color w:val="000000"/>
          <w:kern w:val="0"/>
          <w:szCs w:val="21"/>
        </w:rPr>
      </w:pPr>
    </w:p>
    <w:p w:rsidR="001D4DC7" w:rsidRDefault="001D4DC7" w:rsidP="001D4DC7">
      <w:pPr>
        <w:outlineLvl w:val="0"/>
        <w:rPr>
          <w:rFonts w:ascii="宋体" w:hAnsi="宋体" w:cs="Arial" w:hint="eastAsia"/>
          <w:b/>
          <w:bCs/>
          <w:kern w:val="0"/>
          <w:sz w:val="32"/>
          <w:szCs w:val="32"/>
        </w:rPr>
      </w:pPr>
      <w:bookmarkStart w:id="36" w:name="_Toc504051943"/>
      <w:bookmarkStart w:id="37" w:name="_Toc2934024"/>
      <w:bookmarkStart w:id="38" w:name="_Toc2934045"/>
      <w:r>
        <w:rPr>
          <w:rFonts w:ascii="宋体" w:hAnsi="宋体" w:cs="Arial" w:hint="eastAsia"/>
          <w:b/>
          <w:bCs/>
          <w:kern w:val="0"/>
          <w:sz w:val="32"/>
          <w:szCs w:val="32"/>
        </w:rPr>
        <w:t>四、后市预测</w:t>
      </w:r>
      <w:bookmarkEnd w:id="36"/>
      <w:bookmarkEnd w:id="37"/>
      <w:bookmarkEnd w:id="38"/>
    </w:p>
    <w:p w:rsidR="001D4DC7" w:rsidRPr="00D731C8" w:rsidRDefault="001D4DC7" w:rsidP="001D4DC7">
      <w:pPr>
        <w:pStyle w:val="aa"/>
        <w:rPr>
          <w:rFonts w:hint="eastAsia"/>
          <w:sz w:val="21"/>
          <w:szCs w:val="21"/>
        </w:rPr>
      </w:pPr>
      <w:r w:rsidRPr="00232A10">
        <w:rPr>
          <w:rFonts w:ascii="华文仿宋" w:eastAsia="华文仿宋" w:hAnsi="华文仿宋"/>
          <w:sz w:val="28"/>
          <w:szCs w:val="28"/>
        </w:rPr>
        <w:t>本周美国WTI原油原油价格在</w:t>
      </w:r>
      <w:r w:rsidRPr="00B25296">
        <w:rPr>
          <w:rFonts w:ascii="华文仿宋" w:eastAsia="华文仿宋" w:hAnsi="华文仿宋"/>
          <w:sz w:val="28"/>
          <w:szCs w:val="28"/>
        </w:rPr>
        <w:t>5</w:t>
      </w:r>
      <w:r>
        <w:rPr>
          <w:rFonts w:ascii="华文仿宋" w:eastAsia="华文仿宋" w:hAnsi="华文仿宋" w:hint="eastAsia"/>
          <w:sz w:val="28"/>
          <w:szCs w:val="28"/>
        </w:rPr>
        <w:t>5.8</w:t>
      </w:r>
      <w:r w:rsidRPr="00232A10">
        <w:rPr>
          <w:rFonts w:ascii="华文仿宋" w:eastAsia="华文仿宋" w:hAnsi="华文仿宋"/>
          <w:sz w:val="28"/>
          <w:szCs w:val="28"/>
        </w:rPr>
        <w:t>-</w:t>
      </w:r>
      <w:r w:rsidRPr="00B25296">
        <w:rPr>
          <w:rFonts w:ascii="华文仿宋" w:eastAsia="华文仿宋" w:hAnsi="华文仿宋"/>
          <w:sz w:val="28"/>
          <w:szCs w:val="28"/>
        </w:rPr>
        <w:t>5</w:t>
      </w:r>
      <w:r>
        <w:rPr>
          <w:rFonts w:ascii="华文仿宋" w:eastAsia="华文仿宋" w:hAnsi="华文仿宋" w:hint="eastAsia"/>
          <w:sz w:val="28"/>
          <w:szCs w:val="28"/>
        </w:rPr>
        <w:t>6.59</w:t>
      </w:r>
      <w:r w:rsidRPr="00232A10">
        <w:rPr>
          <w:rFonts w:ascii="华文仿宋" w:eastAsia="华文仿宋" w:hAnsi="华文仿宋"/>
          <w:sz w:val="28"/>
          <w:szCs w:val="28"/>
        </w:rPr>
        <w:t>美元/桶。布伦特原油价格在</w:t>
      </w:r>
      <w:r w:rsidRPr="00B25296">
        <w:rPr>
          <w:rFonts w:ascii="华文仿宋" w:eastAsia="华文仿宋" w:hAnsi="华文仿宋"/>
          <w:sz w:val="28"/>
          <w:szCs w:val="28"/>
        </w:rPr>
        <w:t>6</w:t>
      </w:r>
      <w:r>
        <w:rPr>
          <w:rFonts w:ascii="华文仿宋" w:eastAsia="华文仿宋" w:hAnsi="华文仿宋" w:hint="eastAsia"/>
          <w:sz w:val="28"/>
          <w:szCs w:val="28"/>
        </w:rPr>
        <w:t>5.07</w:t>
      </w:r>
      <w:r w:rsidRPr="00232A10">
        <w:rPr>
          <w:rFonts w:ascii="华文仿宋" w:eastAsia="华文仿宋" w:hAnsi="华文仿宋"/>
          <w:sz w:val="28"/>
          <w:szCs w:val="28"/>
        </w:rPr>
        <w:t>-</w:t>
      </w:r>
      <w:r w:rsidRPr="00B25296">
        <w:rPr>
          <w:rFonts w:ascii="华文仿宋" w:eastAsia="华文仿宋" w:hAnsi="华文仿宋"/>
          <w:sz w:val="28"/>
          <w:szCs w:val="28"/>
        </w:rPr>
        <w:t>6</w:t>
      </w:r>
      <w:r>
        <w:rPr>
          <w:rFonts w:ascii="华文仿宋" w:eastAsia="华文仿宋" w:hAnsi="华文仿宋" w:hint="eastAsia"/>
          <w:sz w:val="28"/>
          <w:szCs w:val="28"/>
        </w:rPr>
        <w:t>5.99</w:t>
      </w:r>
      <w:r w:rsidRPr="00232A10">
        <w:rPr>
          <w:rFonts w:ascii="华文仿宋" w:eastAsia="华文仿宋" w:hAnsi="华文仿宋"/>
          <w:sz w:val="28"/>
          <w:szCs w:val="28"/>
        </w:rPr>
        <w:t>美元/桶震荡。周内国际油价小幅</w:t>
      </w:r>
      <w:r>
        <w:rPr>
          <w:rFonts w:ascii="华文仿宋" w:eastAsia="华文仿宋" w:hAnsi="华文仿宋" w:hint="eastAsia"/>
          <w:sz w:val="28"/>
          <w:szCs w:val="28"/>
        </w:rPr>
        <w:t>下调</w:t>
      </w:r>
      <w:r w:rsidRPr="00232A10">
        <w:rPr>
          <w:rFonts w:ascii="华文仿宋" w:eastAsia="华文仿宋" w:hAnsi="华文仿宋"/>
          <w:sz w:val="28"/>
          <w:szCs w:val="28"/>
        </w:rPr>
        <w:t>。</w:t>
      </w:r>
      <w:r w:rsidRPr="009A15C0">
        <w:rPr>
          <w:rFonts w:ascii="华文仿宋" w:eastAsia="华文仿宋" w:hAnsi="华文仿宋"/>
          <w:sz w:val="28"/>
          <w:szCs w:val="28"/>
        </w:rPr>
        <w:t>美国原油库存报告好坏参半令油价震荡交投，同时美元暂时持稳也令油价适度盘整。美国WTI原油期货价格盘中最低触及55.42美元/桶，布伦特原油期货价格盘中最高触及66.18美元/桶。基本面利好因素：美国能源信息署(EIA)周三(3月6日)公布报告显示，截至3月1日当周，美国精炼油库存减少239.3万桶，连续3周录得下滑，且创2018年12月21日当周(11周)以来最大单周降幅，市场预估为减少144万桶。美国汽油库存减少422.7万桶，连续3周录得下滑，且创2018年10月26日当周(19周)以来最大单周降幅，市场预估为减少208.4万桶。金融市场遭受了多重重磅消息的考验：美国公布的2月ADP就业人数不及预期，12月贸易赤字也表现不及预期。与此同时，欧洲</w:t>
      </w:r>
      <w:r w:rsidRPr="009A15C0">
        <w:rPr>
          <w:rFonts w:ascii="华文仿宋" w:eastAsia="华文仿宋" w:hAnsi="华文仿宋"/>
          <w:sz w:val="28"/>
          <w:szCs w:val="28"/>
        </w:rPr>
        <w:lastRenderedPageBreak/>
        <w:t>央行数据据悉将调低直到2021年的通胀预期。此外，经济合作组织最新的一份报告中下调2019年全球经济增长预期。受这些消息的影响，金融市场走势震荡：欧元一度短线急跌，但随后很快转而上扬;美元指数在短线小幅上涨之后转而回落至平盘附近徘徊。最新调查结果显示，14个OPEC产油国2月合计产量环比减少了56万桶/日至3050万桶/日，其中参与减产的11个成员国减产执行率为108%，目前已经低于承诺减产目标3060万桶/日。更多数据显示，由于美国对委内瑞拉实施经济制裁，该国原油产量已经在2月下降16万桶/日至107万桶/日，为2003年大罢工以来的最低水平。伊朗产量降幅是OPEC成员国中第二大的，2月环比下降9万桶/日至265万桶/日，为2013年以来最低水平，同样是受到美国的经济制裁影响。不过这两国并未参与减产。此外，市场普遍认为4月的OPEC会议上可能会为6月政策会议上延长减产行动做好准备，相信将进一步延长减产至12月底。美国油服公司贝克休斯(Baker Hughes)周五(3月1日)公布数据显示，截至3月1日当周，美国石油活跃钻井数减少10座至843座，连续第二周下滑且创2018年5月来最低。美国能源信息署(EIA)数据显示，去年12月美国原油产量为1185万桶/日，自5月来首次录得下降，但上周美国原油产量已经升至纪录新高的1210万桶/日，这令原油多头感到担忧。更多数据显示，截至3月1日当周美国石油和天然气活跃钻井总数减少9座至1038座。基本面利空因素：美国能源信息署(EIA)周三(3月6日)公布报告显示，截至3月1日当周，美国原油库存急升706.9万桶至4.529亿桶，增幅创1月25日当周(6周)以来最大，市场预估为增加120.3万桶。更多数据显示，上周俄克拉荷马州库欣原油库存增加87.3万桶，连续3周录得增长。此外，上周美国国内原油产量持平于1210万桶/日。利比亚最大油田已经重启，该油田拥有31.5万桶/日的原油产量，自12月以来一直因不可抗力而</w:t>
      </w:r>
      <w:r w:rsidRPr="009A15C0">
        <w:rPr>
          <w:rFonts w:ascii="华文仿宋" w:eastAsia="华文仿宋" w:hAnsi="华文仿宋"/>
          <w:sz w:val="28"/>
          <w:szCs w:val="28"/>
        </w:rPr>
        <w:lastRenderedPageBreak/>
        <w:t>被迫关闭，重启之后必然会部分抵消OPEC减产行动带来的利好。2月中国制造业采购经理指数回落至三年低位，这令市场对经济放缓担忧加重，从而拖累原油等风险资产的表现。</w:t>
      </w:r>
      <w:r>
        <w:rPr>
          <w:rFonts w:ascii="华文仿宋" w:eastAsia="华文仿宋" w:hAnsi="华文仿宋" w:hint="eastAsia"/>
          <w:sz w:val="28"/>
          <w:szCs w:val="28"/>
        </w:rPr>
        <w:t>预测下周WTI油价将触及54-60美元/桶，布油在之后几个月触及64-68美元/桶。</w:t>
      </w:r>
    </w:p>
    <w:p w:rsidR="001D4DC7" w:rsidRPr="009A15C0" w:rsidRDefault="001D4DC7" w:rsidP="001D4DC7">
      <w:pPr>
        <w:pStyle w:val="aa"/>
        <w:ind w:firstLineChars="200" w:firstLine="560"/>
        <w:rPr>
          <w:rFonts w:ascii="华文仿宋" w:eastAsia="华文仿宋" w:hAnsi="华文仿宋" w:hint="eastAsia"/>
          <w:sz w:val="28"/>
          <w:szCs w:val="28"/>
        </w:rPr>
      </w:pPr>
    </w:p>
    <w:p w:rsidR="00586698" w:rsidRPr="001D4DC7" w:rsidRDefault="00586698" w:rsidP="00586698">
      <w:pPr>
        <w:pStyle w:val="aa"/>
        <w:ind w:firstLineChars="200" w:firstLine="560"/>
        <w:rPr>
          <w:rFonts w:ascii="华文仿宋" w:eastAsia="华文仿宋" w:hAnsi="华文仿宋"/>
          <w:sz w:val="28"/>
          <w:szCs w:val="28"/>
        </w:rPr>
      </w:pPr>
    </w:p>
    <w:p w:rsidR="0028779B" w:rsidRPr="00E141C3" w:rsidRDefault="0028779B" w:rsidP="00586698">
      <w:pPr>
        <w:widowControl/>
        <w:wordWrap w:val="0"/>
        <w:spacing w:after="90" w:line="288" w:lineRule="auto"/>
        <w:jc w:val="left"/>
        <w:rPr>
          <w:rFonts w:ascii="华文仿宋" w:eastAsia="华文仿宋" w:hAnsi="华文仿宋" w:cs="宋体"/>
          <w:kern w:val="0"/>
          <w:sz w:val="28"/>
          <w:szCs w:val="28"/>
        </w:rPr>
      </w:pPr>
    </w:p>
    <w:p w:rsidR="00FD6021" w:rsidRDefault="0014013A">
      <w:pPr>
        <w:spacing w:line="360" w:lineRule="auto"/>
        <w:outlineLvl w:val="0"/>
        <w:rPr>
          <w:rFonts w:ascii="黑体" w:eastAsia="黑体" w:hAnsi="宋体"/>
          <w:b/>
          <w:sz w:val="28"/>
          <w:szCs w:val="28"/>
        </w:rPr>
      </w:pPr>
      <w:bookmarkStart w:id="39" w:name="_Toc1736583"/>
      <w:bookmarkStart w:id="40" w:name="_Toc2934025"/>
      <w:bookmarkStart w:id="41" w:name="_Toc2934046"/>
      <w:r>
        <w:rPr>
          <w:rFonts w:ascii="黑体" w:eastAsia="黑体" w:hAnsi="宋体" w:hint="eastAsia"/>
          <w:b/>
          <w:sz w:val="28"/>
          <w:szCs w:val="28"/>
        </w:rPr>
        <w:t>二、 石脑油</w:t>
      </w:r>
      <w:bookmarkEnd w:id="11"/>
      <w:bookmarkEnd w:id="12"/>
      <w:bookmarkEnd w:id="39"/>
      <w:bookmarkEnd w:id="40"/>
      <w:bookmarkEnd w:id="41"/>
    </w:p>
    <w:p w:rsidR="00FD6021" w:rsidRDefault="0014013A">
      <w:pPr>
        <w:pStyle w:val="2"/>
        <w:spacing w:line="240" w:lineRule="auto"/>
        <w:rPr>
          <w:rFonts w:ascii="宋体" w:hAnsi="宋体" w:cs="Arial"/>
          <w:b w:val="0"/>
          <w:bCs w:val="0"/>
          <w:kern w:val="0"/>
          <w:szCs w:val="28"/>
        </w:rPr>
      </w:pPr>
      <w:bookmarkStart w:id="42" w:name="_Toc505350008"/>
      <w:bookmarkStart w:id="43" w:name="_Toc460250404"/>
      <w:bookmarkStart w:id="44" w:name="_Toc536797013"/>
      <w:bookmarkStart w:id="45" w:name="_Toc1736584"/>
      <w:bookmarkStart w:id="46" w:name="_Toc2934026"/>
      <w:bookmarkStart w:id="47" w:name="_Toc2934047"/>
      <w:r>
        <w:rPr>
          <w:rFonts w:hint="eastAsia"/>
        </w:rPr>
        <w:t>2. 1</w:t>
      </w:r>
      <w:r>
        <w:rPr>
          <w:rFonts w:hint="eastAsia"/>
          <w:kern w:val="0"/>
        </w:rPr>
        <w:t>国际石脑油市场价格</w:t>
      </w:r>
      <w:bookmarkEnd w:id="13"/>
      <w:bookmarkEnd w:id="14"/>
      <w:bookmarkEnd w:id="42"/>
      <w:bookmarkEnd w:id="43"/>
      <w:bookmarkEnd w:id="44"/>
      <w:bookmarkEnd w:id="45"/>
      <w:bookmarkEnd w:id="46"/>
      <w:bookmarkEnd w:id="47"/>
    </w:p>
    <w:p w:rsidR="00FD6021" w:rsidRDefault="0014013A">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FD6021" w:rsidRDefault="00FD6021">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783"/>
        <w:gridCol w:w="2099"/>
        <w:gridCol w:w="1579"/>
        <w:gridCol w:w="2131"/>
        <w:gridCol w:w="2364"/>
      </w:tblGrid>
      <w:tr w:rsidR="001D4DC7">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bookmarkStart w:id="48" w:name="_Toc281568202"/>
            <w:bookmarkStart w:id="49" w:name="_Toc239847715"/>
            <w:bookmarkStart w:id="50" w:name="_Toc296600812"/>
            <w:bookmarkStart w:id="51" w:name="_Toc460250405"/>
            <w:bookmarkStart w:id="52" w:name="_Toc505350009"/>
            <w:r w:rsidRPr="00D842E9">
              <w:rPr>
                <w:rFonts w:ascii="华文仿宋" w:eastAsia="华文仿宋" w:hAnsi="华文仿宋" w:hint="eastAsia"/>
                <w:color w:val="000000"/>
                <w:sz w:val="28"/>
                <w:szCs w:val="28"/>
              </w:rPr>
              <w:t>3月8日</w:t>
            </w:r>
          </w:p>
        </w:tc>
        <w:tc>
          <w:tcPr>
            <w:tcW w:w="209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低端价（美元/吨）</w:t>
            </w:r>
          </w:p>
        </w:tc>
        <w:tc>
          <w:tcPr>
            <w:tcW w:w="157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高端价（美元/吨）</w:t>
            </w:r>
          </w:p>
        </w:tc>
        <w:tc>
          <w:tcPr>
            <w:tcW w:w="213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均价涨跌幅</w:t>
            </w:r>
          </w:p>
        </w:tc>
        <w:tc>
          <w:tcPr>
            <w:tcW w:w="236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美分/加仑</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新加坡</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57.64美元/桶</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57.68美元/桶</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-0.36</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137.238-137.333</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日本</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530.75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534.25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-2.125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140.410-141.336</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阿拉伯海湾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503.90</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507.40</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-1.995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133.307-134.233</w:t>
            </w:r>
          </w:p>
        </w:tc>
      </w:tr>
      <w:tr w:rsidR="001D4DC7">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阿姆斯特丹、鹿特丹、安特卫普到岸价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528.75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529.25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7.25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141.377-141.511</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lastRenderedPageBreak/>
              <w:t>鹿特丹船货价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524.75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525.25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7.25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140.307-140.441</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地中海离岸价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505.75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506.25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7.25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135.227-135.361</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热那亚到岸价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518.75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519.25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7.25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138.703-138.837</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美国墨西哥湾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538.07</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538.17</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1.59美分/加仑</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153.690-153.790</w:t>
            </w:r>
          </w:p>
        </w:tc>
      </w:tr>
      <w:tr w:rsidR="001D4DC7">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加勒比海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 </w:t>
            </w:r>
          </w:p>
        </w:tc>
      </w:tr>
    </w:tbl>
    <w:p w:rsidR="00FD6021" w:rsidRDefault="00FD6021">
      <w:pPr>
        <w:rPr>
          <w:rFonts w:ascii="华文仿宋" w:eastAsia="华文仿宋" w:hAnsi="华文仿宋" w:cs="宋体"/>
          <w:kern w:val="0"/>
          <w:szCs w:val="28"/>
        </w:rPr>
      </w:pPr>
    </w:p>
    <w:p w:rsidR="00FD6021" w:rsidRPr="00B14D22" w:rsidRDefault="0014013A">
      <w:pPr>
        <w:pStyle w:val="2"/>
        <w:spacing w:line="240" w:lineRule="auto"/>
        <w:rPr>
          <w:rFonts w:asciiTheme="minorEastAsia" w:eastAsiaTheme="minorEastAsia" w:hAnsiTheme="minorEastAsia"/>
          <w:bCs w:val="0"/>
          <w:color w:val="000000" w:themeColor="text1"/>
          <w:szCs w:val="28"/>
        </w:rPr>
      </w:pPr>
      <w:bookmarkStart w:id="53" w:name="_Toc536797014"/>
      <w:bookmarkStart w:id="54" w:name="_Toc1736585"/>
      <w:bookmarkStart w:id="55" w:name="_Toc2934027"/>
      <w:bookmarkStart w:id="56" w:name="_Toc2934048"/>
      <w:r w:rsidRPr="00B14D22">
        <w:rPr>
          <w:rFonts w:asciiTheme="minorEastAsia" w:eastAsiaTheme="minorEastAsia" w:hAnsiTheme="minorEastAsia" w:hint="eastAsia"/>
          <w:bCs w:val="0"/>
          <w:color w:val="000000" w:themeColor="text1"/>
          <w:szCs w:val="28"/>
        </w:rPr>
        <w:t>2.2地炼石脑油市场</w:t>
      </w:r>
      <w:bookmarkEnd w:id="15"/>
      <w:bookmarkEnd w:id="16"/>
      <w:bookmarkEnd w:id="48"/>
      <w:bookmarkEnd w:id="49"/>
      <w:bookmarkEnd w:id="50"/>
      <w:bookmarkEnd w:id="51"/>
      <w:bookmarkEnd w:id="52"/>
      <w:bookmarkEnd w:id="53"/>
      <w:bookmarkEnd w:id="54"/>
      <w:bookmarkEnd w:id="55"/>
      <w:bookmarkEnd w:id="56"/>
    </w:p>
    <w:p w:rsidR="00AB4BD8" w:rsidRPr="00AB4BD8" w:rsidRDefault="00B14D22" w:rsidP="00AB4BD8">
      <w:pPr>
        <w:pStyle w:val="aa"/>
        <w:rPr>
          <w:rFonts w:ascii="华文仿宋" w:eastAsia="华文仿宋" w:hAnsi="华文仿宋"/>
          <w:sz w:val="28"/>
          <w:szCs w:val="28"/>
        </w:rPr>
      </w:pPr>
      <w:r w:rsidRPr="004B02A7">
        <w:rPr>
          <w:rFonts w:ascii="华文仿宋" w:eastAsia="华文仿宋" w:hAnsi="华文仿宋"/>
          <w:sz w:val="28"/>
          <w:szCs w:val="28"/>
        </w:rPr>
        <w:t>本</w:t>
      </w:r>
      <w:r w:rsidRPr="004B02A7">
        <w:rPr>
          <w:rFonts w:ascii="华文仿宋" w:eastAsia="华文仿宋" w:hAnsi="华文仿宋" w:hint="eastAsia"/>
          <w:sz w:val="28"/>
          <w:szCs w:val="28"/>
        </w:rPr>
        <w:t>周</w:t>
      </w:r>
      <w:r w:rsidR="004B02A7" w:rsidRPr="004B02A7">
        <w:rPr>
          <w:rFonts w:ascii="华文仿宋" w:eastAsia="华文仿宋" w:hAnsi="华文仿宋" w:hint="eastAsia"/>
          <w:sz w:val="28"/>
          <w:szCs w:val="28"/>
        </w:rPr>
        <w:t>石脑油：</w:t>
      </w:r>
      <w:r w:rsidR="00AB4BD8" w:rsidRPr="00AB4BD8">
        <w:rPr>
          <w:rFonts w:ascii="华文仿宋" w:eastAsia="华文仿宋" w:hAnsi="华文仿宋"/>
          <w:sz w:val="28"/>
          <w:szCs w:val="28"/>
        </w:rPr>
        <w:t>石脑油：美国活跃石油钻井数据连续第二周下降为石油市场提供支撑，尽管世界主要经济体目前均面临经济放缓疑虑，但减产进程及中美贸易谈判继续对石油市场形成支撑，预计3月4日欧美原油期货价格回升。国内地炼石脑油市场整体放量继续削减，昌邑石化焦化加氢资源今日停发，而直汽资源近期受到重整采购的直接拉动较为紧缺，今日亚通外采2000吨直汽，卖方市场情况下，尽管原油上周末宽幅下跌，但市场成交均价未现下移，明日原油看涨，预计石脑油市场将有所追高。石脑油：后市预测：中国政府下调了经济增长预期区间，这令燃料需求前景备受打击，亚洲时段盘中走跌，不过中美贸易即将达成协议的预期以及产油国减产的利好依然支撑油市，预期3月5日欧美原油期货价格收跌。国内地炼及煤基石脑油市场底线成交基本调整到位，西北煤制油资源竞拍低价也</w:t>
      </w:r>
      <w:r w:rsidR="00AB4BD8" w:rsidRPr="00AB4BD8">
        <w:rPr>
          <w:rFonts w:ascii="华文仿宋" w:eastAsia="华文仿宋" w:hAnsi="华文仿宋"/>
          <w:sz w:val="28"/>
          <w:szCs w:val="28"/>
        </w:rPr>
        <w:lastRenderedPageBreak/>
        <w:t>已经处于4300元/吨上方，因市场资源供应显紧，个别主力重整原料采购炼厂已经调整了采购交付模式，例如缩短账期或提高首付款比例，但采购难度仍然较大。短线判断石脑油市场表现仍将维持强势。石脑油：隔夜API原油库存数据暴增令市场压力陡升，亚洲时段欧美原油期货价格运行宽幅下跌，夜间EIA原油库存变化预期悲观，料原油宽幅下挫概率较高，6日欧美油价预期下跌。国内地炼石脑油市场交投仍然较为稳健，不过高端售价有所松动，受到原油趋于弱势的影响。加氢类石脑油产品销售遭遇阻力，因汽油调和端乏善可陈且组分油市场资源供应充裕，鑫泰重整开车对重整料市场形成提振，但其重整芳烃增加汽油调和组分流通市场的压力。</w:t>
      </w:r>
    </w:p>
    <w:p w:rsidR="00FD6021" w:rsidRPr="00AB4BD8" w:rsidRDefault="00FD6021" w:rsidP="00AB4BD8">
      <w:pPr>
        <w:pStyle w:val="aa"/>
        <w:ind w:firstLineChars="200" w:firstLine="560"/>
        <w:rPr>
          <w:rFonts w:ascii="华文仿宋" w:eastAsia="华文仿宋" w:hAnsi="华文仿宋"/>
          <w:sz w:val="28"/>
          <w:szCs w:val="28"/>
        </w:rPr>
      </w:pPr>
    </w:p>
    <w:p w:rsidR="00FD6021" w:rsidRDefault="0014013A">
      <w:pPr>
        <w:outlineLvl w:val="1"/>
        <w:rPr>
          <w:rFonts w:asciiTheme="minorEastAsia" w:eastAsiaTheme="minorEastAsia" w:hAnsiTheme="minorEastAsia"/>
          <w:b/>
          <w:sz w:val="28"/>
          <w:szCs w:val="28"/>
        </w:rPr>
      </w:pPr>
      <w:bookmarkStart w:id="57" w:name="_Toc296600813"/>
      <w:bookmarkStart w:id="58" w:name="_Toc460250406"/>
      <w:bookmarkStart w:id="59" w:name="_Toc505350010"/>
      <w:bookmarkStart w:id="60" w:name="_Toc281568203"/>
      <w:bookmarkStart w:id="61" w:name="_Toc536797015"/>
      <w:bookmarkStart w:id="62" w:name="_Toc1736586"/>
      <w:bookmarkStart w:id="63" w:name="_Toc2934028"/>
      <w:bookmarkStart w:id="64" w:name="_Toc2934049"/>
      <w:r>
        <w:rPr>
          <w:rFonts w:asciiTheme="minorEastAsia" w:eastAsiaTheme="minorEastAsia" w:hAnsiTheme="minorEastAsia" w:hint="eastAsia"/>
          <w:b/>
          <w:sz w:val="28"/>
          <w:szCs w:val="28"/>
        </w:rPr>
        <w:t>2.3本周国内石脑油价格汇总</w:t>
      </w:r>
      <w:bookmarkEnd w:id="57"/>
      <w:bookmarkEnd w:id="58"/>
      <w:bookmarkEnd w:id="59"/>
      <w:bookmarkEnd w:id="60"/>
      <w:bookmarkEnd w:id="61"/>
      <w:bookmarkEnd w:id="62"/>
      <w:bookmarkEnd w:id="63"/>
      <w:bookmarkEnd w:id="64"/>
    </w:p>
    <w:p w:rsidR="00FD6021" w:rsidRDefault="00FD6021">
      <w:pPr>
        <w:rPr>
          <w:rFonts w:ascii="宋体" w:hAnsi="宋体" w:cs="Arial"/>
          <w:kern w:val="0"/>
          <w:sz w:val="20"/>
          <w:szCs w:val="20"/>
        </w:rPr>
      </w:pPr>
    </w:p>
    <w:p w:rsidR="00FD6021" w:rsidRDefault="00FD6021">
      <w:pPr>
        <w:rPr>
          <w:rFonts w:ascii="宋体" w:hAnsi="宋体" w:cs="Arial"/>
          <w:kern w:val="0"/>
          <w:sz w:val="20"/>
          <w:szCs w:val="20"/>
        </w:rPr>
      </w:pPr>
    </w:p>
    <w:p w:rsidR="00FD6021" w:rsidRDefault="0014013A">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14013A">
      <w:pPr>
        <w:rPr>
          <w:rFonts w:ascii="宋体" w:hAnsi="宋体" w:cs="Arial"/>
          <w:kern w:val="0"/>
          <w:sz w:val="20"/>
          <w:szCs w:val="20"/>
        </w:rPr>
      </w:pPr>
      <w:r>
        <w:rPr>
          <w:rFonts w:ascii="宋体" w:hAnsi="宋体" w:cs="Arial" w:hint="eastAsia"/>
          <w:kern w:val="0"/>
          <w:sz w:val="20"/>
          <w:szCs w:val="20"/>
        </w:rPr>
        <w:t xml:space="preserve"> 单位：元/吨</w:t>
      </w:r>
    </w:p>
    <w:p w:rsidR="00FD6021" w:rsidRDefault="00FD6021">
      <w:pPr>
        <w:rPr>
          <w:rFonts w:ascii="宋体" w:hAnsi="宋体" w:cs="Arial"/>
          <w:kern w:val="0"/>
          <w:sz w:val="20"/>
          <w:szCs w:val="20"/>
        </w:rPr>
      </w:pP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AB0E0A">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rsidP="00AB4BD8">
            <w:pPr>
              <w:jc w:val="center"/>
              <w:rPr>
                <w:rFonts w:ascii="华文仿宋" w:eastAsia="华文仿宋" w:hAnsi="华文仿宋" w:cs="宋体"/>
                <w:sz w:val="28"/>
                <w:szCs w:val="28"/>
              </w:rPr>
            </w:pPr>
            <w:r w:rsidRPr="00AB0E0A">
              <w:rPr>
                <w:rFonts w:ascii="华文仿宋" w:eastAsia="华文仿宋" w:hAnsi="华文仿宋" w:hint="eastAsia"/>
                <w:sz w:val="28"/>
                <w:szCs w:val="28"/>
              </w:rPr>
              <w:t>2019/3/</w:t>
            </w:r>
            <w:r w:rsidR="00AB4BD8">
              <w:rPr>
                <w:rFonts w:ascii="华文仿宋" w:eastAsia="华文仿宋" w:hAnsi="华文仿宋" w:hint="eastAsia"/>
                <w:sz w:val="28"/>
                <w:szCs w:val="28"/>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rsidP="00AB4BD8">
            <w:pPr>
              <w:jc w:val="center"/>
              <w:rPr>
                <w:rFonts w:ascii="华文仿宋" w:eastAsia="华文仿宋" w:hAnsi="华文仿宋" w:cs="宋体"/>
                <w:sz w:val="28"/>
                <w:szCs w:val="28"/>
              </w:rPr>
            </w:pPr>
            <w:r w:rsidRPr="00AB0E0A">
              <w:rPr>
                <w:rFonts w:ascii="华文仿宋" w:eastAsia="华文仿宋" w:hAnsi="华文仿宋" w:hint="eastAsia"/>
                <w:sz w:val="28"/>
                <w:szCs w:val="28"/>
              </w:rPr>
              <w:t>2019/</w:t>
            </w:r>
            <w:r w:rsidR="00AB4BD8">
              <w:rPr>
                <w:rFonts w:ascii="华文仿宋" w:eastAsia="华文仿宋" w:hAnsi="华文仿宋" w:hint="eastAsia"/>
                <w:sz w:val="28"/>
                <w:szCs w:val="28"/>
              </w:rPr>
              <w:t>3</w:t>
            </w:r>
            <w:r w:rsidRPr="00AB0E0A">
              <w:rPr>
                <w:rFonts w:ascii="华文仿宋" w:eastAsia="华文仿宋" w:hAnsi="华文仿宋" w:hint="eastAsia"/>
                <w:sz w:val="28"/>
                <w:szCs w:val="28"/>
              </w:rPr>
              <w:t>/</w:t>
            </w:r>
            <w:r w:rsidR="00AB4BD8">
              <w:rPr>
                <w:rFonts w:ascii="华文仿宋" w:eastAsia="华文仿宋" w:hAnsi="华文仿宋" w:hint="eastAsia"/>
                <w:sz w:val="28"/>
                <w:szCs w:val="28"/>
              </w:rPr>
              <w:t>1</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金城石化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恒源石化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5400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4350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东明石化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中海石化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弘润石化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华星石化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海科石化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广饶石化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鑫泰石化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5925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5925</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利津石化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胜华石化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长城石化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安邦石化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日照源丰</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富海石化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京博石化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6204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6204</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昌邑石化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6200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5800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垦利石化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5200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5200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寿光石化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5600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神驰石化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5350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5350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汇丰石化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5730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5730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宝塔石化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滨化石化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48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高青宏远石化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河口实业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bl>
    <w:p w:rsidR="00FD6021" w:rsidRDefault="00FD6021">
      <w:pPr>
        <w:rPr>
          <w:rFonts w:ascii="宋体" w:hAnsi="宋体" w:cs="Arial"/>
          <w:kern w:val="0"/>
          <w:sz w:val="20"/>
          <w:szCs w:val="20"/>
        </w:rPr>
      </w:pPr>
    </w:p>
    <w:p w:rsidR="00FD6021" w:rsidRDefault="0014013A">
      <w:pPr>
        <w:pStyle w:val="2"/>
        <w:spacing w:line="240" w:lineRule="auto"/>
        <w:jc w:val="left"/>
        <w:rPr>
          <w:rFonts w:asciiTheme="minorEastAsia" w:eastAsiaTheme="minorEastAsia" w:hAnsiTheme="minorEastAsia"/>
        </w:rPr>
      </w:pPr>
      <w:bookmarkStart w:id="65" w:name="_Toc296600814"/>
      <w:bookmarkStart w:id="66" w:name="_Toc281568204"/>
      <w:bookmarkStart w:id="67" w:name="_Toc460250407"/>
      <w:bookmarkStart w:id="68" w:name="_Toc505350011"/>
      <w:bookmarkStart w:id="69" w:name="_Toc536797016"/>
      <w:bookmarkStart w:id="70" w:name="_Toc1736587"/>
      <w:bookmarkStart w:id="71" w:name="_Toc158203132"/>
      <w:bookmarkStart w:id="72" w:name="_Toc239847719"/>
      <w:bookmarkStart w:id="73" w:name="_Toc2934029"/>
      <w:bookmarkStart w:id="74" w:name="_Toc2934050"/>
      <w:r>
        <w:rPr>
          <w:rFonts w:asciiTheme="minorEastAsia" w:eastAsiaTheme="minorEastAsia" w:hAnsiTheme="minorEastAsia" w:hint="eastAsia"/>
          <w:szCs w:val="28"/>
        </w:rPr>
        <w:t>2.4山东地炼石脑油价格走势图</w:t>
      </w:r>
      <w:bookmarkEnd w:id="65"/>
      <w:bookmarkEnd w:id="66"/>
      <w:bookmarkEnd w:id="67"/>
      <w:bookmarkEnd w:id="68"/>
      <w:bookmarkEnd w:id="69"/>
      <w:bookmarkEnd w:id="70"/>
      <w:bookmarkEnd w:id="73"/>
      <w:bookmarkEnd w:id="74"/>
    </w:p>
    <w:p w:rsidR="00FD6021" w:rsidRDefault="00AB4BD8">
      <w:pPr>
        <w:widowControl/>
        <w:jc w:val="left"/>
        <w:rPr>
          <w:rFonts w:ascii="宋体" w:hAnsi="宋体" w:cs="宋体"/>
          <w:kern w:val="0"/>
          <w:sz w:val="24"/>
          <w:szCs w:val="24"/>
        </w:rPr>
      </w:pPr>
      <w:r w:rsidRPr="00AB4BD8">
        <w:rPr>
          <w:rFonts w:ascii="宋体" w:hAnsi="宋体" w:cs="宋体"/>
          <w:kern w:val="0"/>
          <w:sz w:val="24"/>
          <w:szCs w:val="24"/>
        </w:rPr>
        <w:drawing>
          <wp:inline distT="0" distB="0" distL="0" distR="0">
            <wp:extent cx="5486400" cy="346329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021" w:rsidRDefault="00FD6021">
      <w:pPr>
        <w:rPr>
          <w:sz w:val="20"/>
          <w:szCs w:val="20"/>
        </w:rPr>
      </w:pPr>
    </w:p>
    <w:p w:rsidR="00FD6021" w:rsidRDefault="00FD6021">
      <w:pPr>
        <w:rPr>
          <w:sz w:val="20"/>
          <w:szCs w:val="20"/>
        </w:rPr>
      </w:pPr>
    </w:p>
    <w:p w:rsidR="00FD6021" w:rsidRDefault="0014013A">
      <w:pPr>
        <w:outlineLvl w:val="0"/>
        <w:rPr>
          <w:rFonts w:ascii="黑体" w:eastAsia="黑体"/>
          <w:b/>
          <w:sz w:val="28"/>
          <w:szCs w:val="28"/>
        </w:rPr>
      </w:pPr>
      <w:bookmarkStart w:id="75" w:name="_Toc237428455"/>
      <w:bookmarkStart w:id="76" w:name="_Toc296600816"/>
      <w:bookmarkStart w:id="77" w:name="_Toc505350012"/>
      <w:bookmarkStart w:id="78" w:name="_Toc281568206"/>
      <w:bookmarkStart w:id="79" w:name="_Toc460250408"/>
      <w:bookmarkStart w:id="80" w:name="_Toc536797017"/>
      <w:bookmarkStart w:id="81" w:name="_Toc1736588"/>
      <w:bookmarkStart w:id="82" w:name="_Toc2934030"/>
      <w:bookmarkStart w:id="83" w:name="_Toc2934051"/>
      <w:bookmarkEnd w:id="71"/>
      <w:bookmarkEnd w:id="72"/>
      <w:r>
        <w:rPr>
          <w:rFonts w:ascii="黑体" w:eastAsia="黑体" w:hint="eastAsia"/>
          <w:b/>
          <w:sz w:val="28"/>
          <w:szCs w:val="28"/>
        </w:rPr>
        <w:t>三、本周国内油品市场分析及预测</w:t>
      </w:r>
      <w:bookmarkStart w:id="84" w:name="_Toc281568207"/>
      <w:bookmarkStart w:id="85" w:name="_Toc460250409"/>
      <w:bookmarkStart w:id="86" w:name="_Toc296600817"/>
      <w:bookmarkStart w:id="87" w:name="_Toc237428456"/>
      <w:bookmarkStart w:id="88" w:name="_Toc176571903"/>
      <w:bookmarkEnd w:id="75"/>
      <w:bookmarkEnd w:id="76"/>
      <w:bookmarkEnd w:id="77"/>
      <w:bookmarkEnd w:id="78"/>
      <w:bookmarkEnd w:id="79"/>
      <w:bookmarkEnd w:id="80"/>
      <w:bookmarkEnd w:id="81"/>
      <w:bookmarkEnd w:id="82"/>
      <w:bookmarkEnd w:id="83"/>
    </w:p>
    <w:p w:rsidR="00FD6021" w:rsidRDefault="0014013A">
      <w:pPr>
        <w:pStyle w:val="1"/>
        <w:spacing w:line="360" w:lineRule="auto"/>
        <w:rPr>
          <w:rFonts w:ascii="华文仿宋" w:eastAsia="华文仿宋" w:hAnsi="华文仿宋" w:cs="华文仿宋"/>
          <w:b w:val="0"/>
          <w:bCs w:val="0"/>
          <w:kern w:val="0"/>
          <w:sz w:val="28"/>
          <w:szCs w:val="28"/>
        </w:rPr>
      </w:pPr>
      <w:bookmarkStart w:id="89" w:name="_Toc505350013"/>
      <w:bookmarkStart w:id="90" w:name="_Toc536797018"/>
      <w:bookmarkStart w:id="91" w:name="_Toc1736589"/>
      <w:bookmarkStart w:id="92" w:name="_Toc2934031"/>
      <w:bookmarkStart w:id="93" w:name="_Toc2934052"/>
      <w:r>
        <w:rPr>
          <w:rFonts w:asciiTheme="minorEastAsia" w:eastAsiaTheme="minorEastAsia" w:hAnsiTheme="minorEastAsia" w:hint="eastAsia"/>
          <w:kern w:val="2"/>
          <w:sz w:val="28"/>
          <w:szCs w:val="28"/>
        </w:rPr>
        <w:t>3．1  成品油市场动态</w:t>
      </w:r>
      <w:bookmarkEnd w:id="84"/>
      <w:bookmarkEnd w:id="85"/>
      <w:bookmarkEnd w:id="86"/>
      <w:bookmarkEnd w:id="89"/>
      <w:bookmarkEnd w:id="90"/>
      <w:bookmarkEnd w:id="91"/>
      <w:bookmarkEnd w:id="92"/>
      <w:bookmarkEnd w:id="93"/>
    </w:p>
    <w:p w:rsidR="00F14AB6" w:rsidRPr="00F14AB6" w:rsidRDefault="004F1799" w:rsidP="00F14AB6">
      <w:pPr>
        <w:rPr>
          <w:rFonts w:ascii="华文仿宋" w:eastAsia="华文仿宋" w:hAnsi="华文仿宋" w:cs="宋体"/>
          <w:kern w:val="0"/>
          <w:sz w:val="28"/>
          <w:szCs w:val="28"/>
        </w:rPr>
      </w:pPr>
      <w:bookmarkStart w:id="94" w:name="_Toc505350014"/>
      <w:bookmarkStart w:id="95" w:name="_Toc369858747"/>
      <w:bookmarkStart w:id="96" w:name="_Toc180485827"/>
      <w:bookmarkStart w:id="97" w:name="_Toc296600818"/>
      <w:bookmarkStart w:id="98" w:name="_Toc460250410"/>
      <w:bookmarkStart w:id="99" w:name="_Toc281568208"/>
      <w:bookmarkStart w:id="100" w:name="_Toc281568211"/>
      <w:bookmarkStart w:id="101" w:name="_Toc296600819"/>
      <w:bookmarkEnd w:id="87"/>
      <w:bookmarkEnd w:id="88"/>
      <w:r w:rsidRPr="004F1799">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w:t>
      </w:r>
      <w:r w:rsidR="00F14AB6" w:rsidRPr="00F14AB6">
        <w:rPr>
          <w:rFonts w:ascii="华文仿宋" w:eastAsia="华文仿宋" w:hAnsi="华文仿宋" w:cs="宋体"/>
          <w:kern w:val="0"/>
          <w:sz w:val="28"/>
          <w:szCs w:val="28"/>
        </w:rPr>
        <w:t>本周，国际原油期货延续震荡走势，与此同时，山东地炼成品油行情弱势下行，各炼厂纷纷降价促销，且成交保持100-200元/吨优惠。具体来看出货方面：经过此前一轮疯狂备货，社会单位库存升至高位，加上目前终端消费能力提升较慢，中下游商家采购意向低迷，因此地炼整体出货表现不佳，市场交投气氛转淡。进入下周，国际原油期价进入震荡区间，一方面OPEC的减产有望延期支撑市场心态，另一方面近期来自中美的经济数据表现不佳，令油价承压。WTI运行区间在55-57（均值56）美元/桶之间。在无实质性利好因素刺激下，山东地区成品油</w:t>
      </w:r>
      <w:r w:rsidR="00F14AB6" w:rsidRPr="00F14AB6">
        <w:rPr>
          <w:rFonts w:ascii="华文仿宋" w:eastAsia="华文仿宋" w:hAnsi="华文仿宋" w:cs="宋体"/>
          <w:kern w:val="0"/>
          <w:sz w:val="28"/>
          <w:szCs w:val="28"/>
        </w:rPr>
        <w:lastRenderedPageBreak/>
        <w:t>行情弱势难改，下游买家购进操作谨慎，而地炼方面缺乏推价动力。综上所述，预计下周山东地炼汽柴油价格继续承压。</w:t>
      </w:r>
      <w:r w:rsidR="00F14AB6" w:rsidRPr="00F14AB6">
        <w:rPr>
          <w:rFonts w:ascii="华文仿宋" w:eastAsia="华文仿宋" w:hAnsi="华文仿宋" w:cs="宋体"/>
          <w:kern w:val="0"/>
          <w:sz w:val="28"/>
          <w:szCs w:val="28"/>
        </w:rPr>
        <w:br/>
        <w:t>华北地区主营成品油行情走弱，交投气氛明显转淡。分析来看，周内国际油价走势趋于震荡，新一轮变化率负向运行，消息面对市场指引略显偏空。与此同时，山东地炼出货受阻，汽柴油价格不断下滑。另外，本月为一季度最后月份，主营单位销售压力普遍较大。受以上因素影响，华北地区主营汽柴油价格先涨势放缓后承压走低。由于成品油行情转弱，且上周业者多已完成备货，故周内业者消化库存为主，入市采购气氛寡淡。后市而言，国际油价或保持震荡，消息面缺乏有效指引，不过随着天气转暖下游库存消耗加快，业者补货需求或随之逐步提升。整体来看，柴油销售步伐有望增速，预计下周华北地区柴油行情获得一定支撑，汽油则需求平平，价格存在续跌空间。</w:t>
      </w:r>
      <w:r w:rsidR="00F14AB6" w:rsidRPr="00F14AB6">
        <w:rPr>
          <w:rFonts w:ascii="华文仿宋" w:eastAsia="华文仿宋" w:hAnsi="华文仿宋" w:cs="宋体"/>
          <w:kern w:val="0"/>
          <w:sz w:val="28"/>
          <w:szCs w:val="28"/>
        </w:rPr>
        <w:br/>
        <w:t>华南地区成品油行情疲软下行，市场交投气氛清淡难改。具体来看，2月28日零售价兑现上调，区内主营单位汽柴油价格小涨。步入新一轮计价周期，变化率以0附近开端后持续负向运行，消息方面难寻支撑。与此同时，山东地炼汽柴油价格下跌，主营外采成本降低。加之，下游需求疲软，业者入市购进意向低迷，主营单位出货不畅，汽柴油价格承压下跌，交投气氛清淡难改。后市来看，原油期货不乏震荡下跌可能，消息方面指引偏空。与此同时，下游需求改善不易，主营单位出货压力犹存。预计下周华南地区汽柴油行情仍存下行压力。</w:t>
      </w:r>
      <w:r w:rsidR="00F14AB6" w:rsidRPr="00F14AB6">
        <w:rPr>
          <w:rFonts w:ascii="华文仿宋" w:eastAsia="华文仿宋" w:hAnsi="华文仿宋" w:cs="宋体"/>
          <w:kern w:val="0"/>
          <w:sz w:val="28"/>
          <w:szCs w:val="28"/>
        </w:rPr>
        <w:br/>
        <w:t>华中地区国际原油走势震荡，新一轮变化率始终维持0附近窄幅波动，消息面指引有限。市场观望气氛渐浓，地炼方面库存压力渐增，价格持续回落。加上区内阴雨天气频繁，终端消耗放缓，下游需求难有提振。主营汽柴行情处于弱势盘整阶段，部分单位暗中增加成交优惠。但市场对后市信心不足，入市采购以刚需小</w:t>
      </w:r>
      <w:r w:rsidR="00F14AB6" w:rsidRPr="00F14AB6">
        <w:rPr>
          <w:rFonts w:ascii="华文仿宋" w:eastAsia="华文仿宋" w:hAnsi="华文仿宋" w:cs="宋体"/>
          <w:kern w:val="0"/>
          <w:sz w:val="28"/>
          <w:szCs w:val="28"/>
        </w:rPr>
        <w:lastRenderedPageBreak/>
        <w:t>单为主，交投气氛十分清淡。后市来看，国际原油或仍处于震荡区间，短期内难有较大波动，零售价搁浅与小跌概率并存，消息面指向偏空，加上下游需求恢复缓慢，主营出货压力有增无减。故预计短期内华中地区汽柴价格或保持弱势运行，主营销售政策或将愈加灵活。</w:t>
      </w:r>
      <w:r w:rsidR="00F14AB6" w:rsidRPr="00F14AB6">
        <w:rPr>
          <w:rFonts w:ascii="华文仿宋" w:eastAsia="华文仿宋" w:hAnsi="华文仿宋" w:cs="宋体"/>
          <w:kern w:val="0"/>
          <w:sz w:val="28"/>
          <w:szCs w:val="28"/>
        </w:rPr>
        <w:br/>
        <w:t>华东地区成品油行情承压下行，市场购销氛围颇为清淡。具体来看，国际油价走势震荡，新一轮变化率负向运行，消息面对市场难有支撑。下游用户前期备货充足，且看跌预期浓郁，入市采购较为有限，仅终端刚需小单采购。加之，华东地区阴雨天气持续，进一步抑制下游库存消耗进度，华东主营本周出货均较为惨淡，故承压之下汽柴价格有所松动，出货优惠力度加大。不过，业者入市操作难有改善，主营成交提升不易，市场购销气氛较冷清。后市而言，国际油价或仍维持震荡走势，本轮零售价搁浅或下跌概率并存，消息面对市场难有明显指引。下游需求难有恢复，预计下周华东主营成品油价格或仍有下跌空间，随着主营销售压力显现，销售政策也将较为灵活。</w:t>
      </w:r>
      <w:r w:rsidR="00F14AB6" w:rsidRPr="00F14AB6">
        <w:rPr>
          <w:rFonts w:ascii="华文仿宋" w:eastAsia="华文仿宋" w:hAnsi="华文仿宋" w:cs="宋体"/>
          <w:kern w:val="0"/>
          <w:sz w:val="28"/>
          <w:szCs w:val="28"/>
        </w:rPr>
        <w:br/>
      </w:r>
      <w:r w:rsidR="00F14AB6" w:rsidRPr="00F14AB6">
        <w:rPr>
          <w:rFonts w:ascii="华文仿宋" w:eastAsia="华文仿宋" w:hAnsi="华文仿宋" w:cs="宋体"/>
          <w:kern w:val="0"/>
          <w:sz w:val="28"/>
          <w:szCs w:val="28"/>
        </w:rPr>
        <w:br/>
        <w:t>西北地炼柴油行情涨后趋稳，汽油行情维持淡稳，市场购销平淡。分析来看：上周四成品油零售价上调兑现，区内柴油行情略有跟涨，汽油行情保持稳定。本周内，国际油价转为区间震荡为主，新一轮变化率负向区间波动，消息面对市场难有提振。虽然柴油需求将逐步好转，但业者前期积极补货，近期消库为主，市场成交气氛清淡。汽油方面，近期暂无节假日提振，整体需求仍显平淡，业者低库存运作为主，市场成交亦难向好。进入下周，国际油价或维持区间震荡，变化率调价红线附近波动，本轮调价小跌及搁浅概率并存，市场观望气氛浓厚。业者操作心态谨慎，消库之余按需采购为主，市场成交波动不大。预计西北地炼汽柴行</w:t>
      </w:r>
      <w:r w:rsidR="00F14AB6" w:rsidRPr="00F14AB6">
        <w:rPr>
          <w:rFonts w:ascii="华文仿宋" w:eastAsia="华文仿宋" w:hAnsi="华文仿宋" w:cs="宋体"/>
          <w:kern w:val="0"/>
          <w:sz w:val="28"/>
          <w:szCs w:val="28"/>
        </w:rPr>
        <w:lastRenderedPageBreak/>
        <w:t>情淡稳运行为主。</w:t>
      </w:r>
      <w:r w:rsidR="00F14AB6" w:rsidRPr="00F14AB6">
        <w:rPr>
          <w:rFonts w:ascii="华文仿宋" w:eastAsia="华文仿宋" w:hAnsi="华文仿宋" w:cs="宋体"/>
          <w:kern w:val="0"/>
          <w:sz w:val="28"/>
          <w:szCs w:val="28"/>
        </w:rPr>
        <w:br/>
        <w:t>西南地区汽柴行情涨后回落，市场成交气氛清淡。分析来看：上周四成品油零售价上调兑现，区内部分主营单位价格略有跟涨。进入本周，国际油价区间震荡为主，变化率转为负向区间运行，消息面对市场指引有限。同时，下游需求提升有限，社会库存消耗缓慢。业者操作意向持低，消库之余谨慎观望为主，市场成交气氛低迷。主营单位销售不畅，为缓解后期销售压力，汽柴价格多有下调，且优惠幅度放宽。进入下周，国际油价或维持弱势震荡，变化率下调红线附近波动，本轮调价仍存变数，市场观望气氛难以消除。业者操作心态谨慎，大单补货有限，市场成交难有提升。主营单位销售压力渐增，成交价格或仍有所回落。</w:t>
      </w:r>
    </w:p>
    <w:p w:rsidR="004F1799" w:rsidRPr="00F14AB6" w:rsidRDefault="004F1799" w:rsidP="00F14AB6">
      <w:pPr>
        <w:pStyle w:val="aa"/>
        <w:rPr>
          <w:rFonts w:ascii="华文仿宋" w:eastAsia="华文仿宋" w:hAnsi="华文仿宋"/>
          <w:sz w:val="28"/>
          <w:szCs w:val="28"/>
        </w:rPr>
      </w:pP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华中地区本周，利好因素提振主营价格推涨，柴油涨势强于汽油。具体分析如下，周内，国际原油震荡上涨，变化率维持正向宽幅波动，零售价上调预期提振明显。加上地炼价格不断拉升，带动主营报价推涨，但受阴雨天气影响，下游需求提升不及预期，故价格推涨力度有限，其中柴油出货尚可，价格涨幅较大。下游按需采购为主，交投气氛一般。后市来看，国际原油或较为震荡，零售价今日兑现上调，新一轮变化率或以0附近窄幅开端，消息面或支撑减弱，但周边地炼及主营单位近期拉涨幅度较大，且进入新一周期，主营出货压力暂缓。故预计短期内华中地区汽柴价格或维持坚挺，部分主营价格仍有推涨空间，实盘则保持宽松优惠。</w:t>
      </w: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华东地区成品油有所上涨，尤其柴油涨幅明显。具体来看，国际油价震荡上涨，零售价于本周四如期兑现上调，消息面对华东市场提振明显。此外，上周末开始，山东地炼成品油尤其柴油价格出现大幅推涨，外采成本提升下，华东主营柴油价</w:t>
      </w:r>
      <w:r w:rsidRPr="004F1799">
        <w:rPr>
          <w:rFonts w:ascii="华文仿宋" w:eastAsia="华文仿宋" w:hAnsi="华文仿宋" w:hint="eastAsia"/>
          <w:sz w:val="28"/>
          <w:szCs w:val="28"/>
        </w:rPr>
        <w:lastRenderedPageBreak/>
        <w:t>格亦有明显走高，汽油涨幅则相对有限。随着区内成品油行情涨至高位，下游用户抵触心态升温，且阴雨天气频繁抑制需求回升，故业者多退市消化库存，主营出货量转淡，不过主营月度销售任务均提前完成，故汽柴行情维持坚挺。后市而言，国际油价或仍维持震荡走势，不过消息面或难以再现强势提振，而且下游仍将消库为主，故预计下周华东汽柴行情或适度推涨后走稳整理，市场购销行情难有明显好转。</w:t>
      </w: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西北地炼柴油行情略有提升，汽油行情维持淡稳，市场成交提升有限。分析来看：周内国际油价震荡走高，变化率正向较大幅度波动，零售价“四连涨”提前锁定，且预计上调幅度较大，消息面利好提振市场心态。同时，工矿基建等行业开工增多，柴油需求面将逐步好转，区内柴油价格略有推涨。而汽油需求转入平淡，整体行情维持平稳。业者补货陆续到位，市场成交难以持续向好。本周四，成品油零售价上调兑现，预计区内汽柴行情将随之走高。进入下周，国际油价或维持区间震荡，消息面对市场心态支撑有限。业者消库之余按需采购，市场成交气氛清淡。预计下周西北地炼汽柴行情涨后趋稳。</w:t>
      </w:r>
    </w:p>
    <w:p w:rsidR="00FD6021"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西南地区汽柴行情维持上行，市场成交氛围平淡。分析来看：周内国际油价保持震荡上行，变化率正向较大幅度波动，上调预期表现强烈，消息面利好对市场提振明显。此外，主营本月销售任务无压，汽柴价格不断推涨，其中柴油涨幅较为明显。不过，区内汽柴行情涨至高位，且下游需求提升有限，业者补货到位之后，再度退市消库，市场成交逐步转淡。本周四成品油零售价上调窗口如期开启，主营价格或继续走高。进入下周，国际油价或维持区间震荡，消息面对市场指引有限。此外，业者前期备货充足，后市消库存为主，入市补货稀少。不过，进入月</w:t>
      </w:r>
      <w:r w:rsidRPr="004F1799">
        <w:rPr>
          <w:rFonts w:ascii="华文仿宋" w:eastAsia="华文仿宋" w:hAnsi="华文仿宋" w:hint="eastAsia"/>
          <w:sz w:val="28"/>
          <w:szCs w:val="28"/>
        </w:rPr>
        <w:lastRenderedPageBreak/>
        <w:t>初主营单位挺价意愿强烈，因此预计西南地区汽柴行情维持高位运行，部分单位或继续推价，但涨幅有限。</w:t>
      </w:r>
    </w:p>
    <w:p w:rsidR="00FD6021" w:rsidRDefault="0014013A">
      <w:pPr>
        <w:pStyle w:val="1"/>
        <w:spacing w:line="360" w:lineRule="auto"/>
        <w:rPr>
          <w:rFonts w:asciiTheme="minorEastAsia" w:eastAsiaTheme="minorEastAsia" w:hAnsiTheme="minorEastAsia"/>
          <w:kern w:val="2"/>
          <w:sz w:val="28"/>
          <w:szCs w:val="28"/>
        </w:rPr>
      </w:pPr>
      <w:bookmarkStart w:id="102" w:name="_Toc536797019"/>
      <w:bookmarkStart w:id="103" w:name="_Toc1736590"/>
      <w:bookmarkStart w:id="104" w:name="_Toc2934032"/>
      <w:bookmarkStart w:id="105" w:name="_Toc2934053"/>
      <w:r>
        <w:rPr>
          <w:rFonts w:asciiTheme="minorEastAsia" w:eastAsiaTheme="minorEastAsia" w:hAnsiTheme="minorEastAsia" w:hint="eastAsia"/>
          <w:kern w:val="2"/>
          <w:sz w:val="28"/>
          <w:szCs w:val="28"/>
        </w:rPr>
        <w:t>四、国内溶剂油市场综述</w:t>
      </w:r>
      <w:bookmarkEnd w:id="94"/>
      <w:bookmarkEnd w:id="102"/>
      <w:bookmarkEnd w:id="103"/>
      <w:bookmarkEnd w:id="104"/>
      <w:bookmarkEnd w:id="105"/>
    </w:p>
    <w:p w:rsidR="00F14AB6" w:rsidRPr="00F14AB6" w:rsidRDefault="0014013A" w:rsidP="00F14AB6">
      <w:pPr>
        <w:pStyle w:val="aa"/>
        <w:rPr>
          <w:rFonts w:ascii="华文仿宋" w:eastAsia="华文仿宋" w:hAnsi="华文仿宋"/>
          <w:sz w:val="28"/>
          <w:szCs w:val="28"/>
        </w:rPr>
      </w:pPr>
      <w:bookmarkStart w:id="106" w:name="_Toc505350015"/>
      <w:bookmarkStart w:id="107" w:name="_Toc460250411"/>
      <w:bookmarkEnd w:id="95"/>
      <w:bookmarkEnd w:id="96"/>
      <w:bookmarkEnd w:id="97"/>
      <w:bookmarkEnd w:id="98"/>
      <w:bookmarkEnd w:id="99"/>
      <w:r>
        <w:rPr>
          <w:sz w:val="21"/>
          <w:szCs w:val="21"/>
        </w:rPr>
        <w:t xml:space="preserve">　</w:t>
      </w:r>
      <w:r>
        <w:rPr>
          <w:rFonts w:ascii="华文仿宋" w:eastAsia="华文仿宋" w:hAnsi="华文仿宋" w:cs="华文仿宋" w:hint="eastAsia"/>
          <w:sz w:val="28"/>
          <w:szCs w:val="28"/>
        </w:rPr>
        <w:t xml:space="preserve">　</w:t>
      </w:r>
      <w:r w:rsidR="00791D07">
        <w:rPr>
          <w:rFonts w:ascii="华文仿宋" w:eastAsia="华文仿宋" w:hAnsi="华文仿宋" w:cs="华文仿宋" w:hint="eastAsia"/>
          <w:sz w:val="28"/>
          <w:szCs w:val="28"/>
        </w:rPr>
        <w:t>本</w:t>
      </w:r>
      <w:r w:rsidR="00791D07" w:rsidRPr="00F14AB6">
        <w:rPr>
          <w:rFonts w:ascii="华文仿宋" w:eastAsia="华文仿宋" w:hAnsi="华文仿宋" w:hint="eastAsia"/>
          <w:sz w:val="28"/>
          <w:szCs w:val="28"/>
        </w:rPr>
        <w:t>周</w:t>
      </w:r>
      <w:r w:rsidR="00F14AB6" w:rsidRPr="00F14AB6">
        <w:rPr>
          <w:rFonts w:ascii="华文仿宋" w:eastAsia="华文仿宋" w:hAnsi="华文仿宋"/>
          <w:sz w:val="28"/>
          <w:szCs w:val="28"/>
        </w:rPr>
        <w:t>国际原油布兰特原油期货收高0.31美元，或0.47%，报每桶66.30美元。美国原油期货上涨0.44美元，或0.78%，收于每桶56.66美元。油价周四小幅走高，受石油输出国组织(OPEC)主导的减产和美国对委内瑞拉和伊朗出口制裁的支撑，但股市下跌和对需求增长的担忧重燃，限制了油价涨势。成品油调价本轮第6个工作日，中宇原油估价66.01较基准价跌0.617或-0.93%，暂预计3月14日24时成品油零限价下调50元/吨。溶剂油早评虽原油反弹，但汽柴连日下行整理，走量一般，抄底行情不多，非标溶剂油商谈继续松动，国标溶剂油需求暂无起色，贸易商分销压力较大。预计市场走稳，局部调整，非标适当让利刺激走货。截至3月7日，数据显示，两大集团国标6#溶剂油均价5705元/吨，国标120#溶剂油均价6265元/吨，国标200#溶剂油均价7775元/吨。山东地区国标6#溶剂油均价4970元/吨，国标120#溶剂油均价4850元/吨，国标200#溶剂油5550元/吨。非标120#溶剂油均价4825元/吨;非标200#溶剂油均价4900元/吨。市场评述及后市预测原油期货周三涨跌互现，此前美国政府数据显示，上周原油库存意外大幅增加，不过汽油库存连续第三个月下降支撑油价。国标溶剂油市场整体保持盘稳运行，非标溶剂油因汽柴转疲商谈适度回调。非标溶剂油方面，地炼成品油延续回调趋势，汽油料、柴油料交投不甚理想，MTBE商谈回落，非标溶剂油出货转疲，轻油与非标200#表现一般，但原料成本目前保持高位坚挺，厂家倚靠成本支撑继续与买方斡旋，短期内非标溶剂油走跌幅度受限。国标溶剂油方面，主</w:t>
      </w:r>
      <w:r w:rsidR="00F14AB6" w:rsidRPr="00F14AB6">
        <w:rPr>
          <w:rFonts w:ascii="华文仿宋" w:eastAsia="华文仿宋" w:hAnsi="华文仿宋"/>
          <w:sz w:val="28"/>
          <w:szCs w:val="28"/>
        </w:rPr>
        <w:lastRenderedPageBreak/>
        <w:t>营国标溶剂油市场依旧盘稳观望，两大集团产量不高，暂无较大销售压力。而山东地区民营炼厂方面表现一般，炼厂方面表示成交重心有所偏低，高成本的压力下，生产企业无足够空间继续向下调整，故短线民营炼厂方面的国标溶剂油价格维持稳定。</w:t>
      </w:r>
    </w:p>
    <w:p w:rsidR="004F1799" w:rsidRPr="00F14AB6" w:rsidRDefault="004F1799" w:rsidP="004F1799">
      <w:pPr>
        <w:pStyle w:val="aa"/>
        <w:rPr>
          <w:rFonts w:ascii="华文仿宋" w:eastAsia="华文仿宋" w:hAnsi="华文仿宋" w:cs="华文仿宋"/>
          <w:sz w:val="28"/>
          <w:szCs w:val="28"/>
        </w:rPr>
      </w:pPr>
    </w:p>
    <w:p w:rsidR="00791D07" w:rsidRPr="004F1799" w:rsidRDefault="00791D07" w:rsidP="00791D07">
      <w:pPr>
        <w:pStyle w:val="aa"/>
        <w:rPr>
          <w:rFonts w:ascii="华文仿宋" w:eastAsia="华文仿宋" w:hAnsi="华文仿宋" w:cs="华文仿宋"/>
          <w:sz w:val="28"/>
          <w:szCs w:val="28"/>
        </w:rPr>
      </w:pPr>
    </w:p>
    <w:p w:rsidR="00FD6021" w:rsidRPr="00B949E5" w:rsidRDefault="00FD6021">
      <w:pPr>
        <w:pStyle w:val="aa"/>
        <w:rPr>
          <w:rFonts w:ascii="华文仿宋" w:eastAsia="华文仿宋" w:hAnsi="华文仿宋"/>
          <w:sz w:val="28"/>
          <w:szCs w:val="28"/>
        </w:rPr>
      </w:pPr>
    </w:p>
    <w:p w:rsidR="00FD6021" w:rsidRDefault="0014013A">
      <w:pPr>
        <w:pStyle w:val="aa"/>
        <w:rPr>
          <w:rFonts w:ascii="黑体"/>
          <w:b/>
          <w:bCs/>
          <w:sz w:val="28"/>
          <w:szCs w:val="28"/>
        </w:rPr>
      </w:pPr>
      <w:r>
        <w:rPr>
          <w:rFonts w:ascii="黑体" w:hint="eastAsia"/>
          <w:b/>
          <w:bCs/>
          <w:sz w:val="28"/>
          <w:szCs w:val="28"/>
        </w:rPr>
        <w:t>五、本周国内炼厂溶剂油产品价格对比</w:t>
      </w:r>
      <w:bookmarkEnd w:id="100"/>
      <w:bookmarkEnd w:id="101"/>
      <w:bookmarkEnd w:id="106"/>
      <w:bookmarkEnd w:id="107"/>
    </w:p>
    <w:p w:rsidR="00FD6021" w:rsidRDefault="0014013A">
      <w:pPr>
        <w:rPr>
          <w:rFonts w:ascii="宋体" w:hAnsi="宋体"/>
          <w:sz w:val="20"/>
          <w:szCs w:val="20"/>
        </w:rPr>
      </w:pPr>
      <w:r>
        <w:rPr>
          <w:rFonts w:ascii="宋体" w:hAnsi="宋体" w:hint="eastAsia"/>
          <w:sz w:val="20"/>
          <w:szCs w:val="20"/>
        </w:rPr>
        <w:t>单位：元/吨</w:t>
      </w:r>
    </w:p>
    <w:p w:rsidR="00FD6021" w:rsidRDefault="00FD6021">
      <w:pPr>
        <w:rPr>
          <w:rFonts w:ascii="宋体" w:hAnsi="宋体"/>
          <w:sz w:val="20"/>
          <w:szCs w:val="20"/>
        </w:rPr>
      </w:pPr>
    </w:p>
    <w:tbl>
      <w:tblPr>
        <w:tblW w:w="9938" w:type="dxa"/>
        <w:tblLayout w:type="fixed"/>
        <w:tblCellMar>
          <w:top w:w="15" w:type="dxa"/>
          <w:left w:w="15" w:type="dxa"/>
          <w:bottom w:w="15" w:type="dxa"/>
          <w:right w:w="15" w:type="dxa"/>
        </w:tblCellMar>
        <w:tblLook w:val="04A0"/>
      </w:tblPr>
      <w:tblGrid>
        <w:gridCol w:w="1089"/>
        <w:gridCol w:w="1953"/>
        <w:gridCol w:w="1226"/>
        <w:gridCol w:w="955"/>
        <w:gridCol w:w="1171"/>
        <w:gridCol w:w="1011"/>
        <w:gridCol w:w="1245"/>
        <w:gridCol w:w="1288"/>
      </w:tblGrid>
      <w:tr w:rsidR="00AB0E0A" w:rsidRPr="00791D07" w:rsidTr="00334BA1">
        <w:trPr>
          <w:trHeight w:val="286"/>
        </w:trPr>
        <w:tc>
          <w:tcPr>
            <w:tcW w:w="1089"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地区</w:t>
            </w:r>
          </w:p>
        </w:tc>
        <w:tc>
          <w:tcPr>
            <w:tcW w:w="1953"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生产厂家</w:t>
            </w:r>
          </w:p>
        </w:tc>
        <w:tc>
          <w:tcPr>
            <w:tcW w:w="122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产品名称</w:t>
            </w:r>
          </w:p>
        </w:tc>
        <w:tc>
          <w:tcPr>
            <w:tcW w:w="955"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型号</w:t>
            </w:r>
          </w:p>
        </w:tc>
        <w:tc>
          <w:tcPr>
            <w:tcW w:w="117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价格类型</w:t>
            </w:r>
          </w:p>
        </w:tc>
        <w:tc>
          <w:tcPr>
            <w:tcW w:w="101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涨跌</w:t>
            </w:r>
          </w:p>
        </w:tc>
        <w:tc>
          <w:tcPr>
            <w:tcW w:w="124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F14AB6" w:rsidRDefault="00AB0E0A" w:rsidP="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2019/3/</w:t>
            </w:r>
            <w:r w:rsidR="00F14AB6" w:rsidRPr="00F14AB6">
              <w:rPr>
                <w:rFonts w:ascii="华文仿宋" w:eastAsia="华文仿宋" w:hAnsi="华文仿宋" w:hint="eastAsia"/>
                <w:sz w:val="28"/>
                <w:szCs w:val="28"/>
              </w:rPr>
              <w:t>8</w:t>
            </w:r>
          </w:p>
        </w:tc>
        <w:tc>
          <w:tcPr>
            <w:tcW w:w="128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F14AB6" w:rsidRDefault="00AB0E0A" w:rsidP="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2019/</w:t>
            </w:r>
            <w:r w:rsidR="00F14AB6" w:rsidRPr="00F14AB6">
              <w:rPr>
                <w:rFonts w:ascii="华文仿宋" w:eastAsia="华文仿宋" w:hAnsi="华文仿宋" w:hint="eastAsia"/>
                <w:sz w:val="28"/>
                <w:szCs w:val="28"/>
              </w:rPr>
              <w:t>3</w:t>
            </w:r>
            <w:r w:rsidRPr="00F14AB6">
              <w:rPr>
                <w:rFonts w:ascii="华文仿宋" w:eastAsia="华文仿宋" w:hAnsi="华文仿宋" w:hint="eastAsia"/>
                <w:sz w:val="28"/>
                <w:szCs w:val="28"/>
              </w:rPr>
              <w:t>/</w:t>
            </w:r>
            <w:r w:rsidR="00F14AB6" w:rsidRPr="00F14AB6">
              <w:rPr>
                <w:rFonts w:ascii="华文仿宋" w:eastAsia="华文仿宋" w:hAnsi="华文仿宋" w:hint="eastAsia"/>
                <w:sz w:val="28"/>
                <w:szCs w:val="28"/>
              </w:rPr>
              <w:t>1</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4700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新疆康佳投资</w:t>
            </w:r>
            <w:r w:rsidRPr="00AB0E0A">
              <w:rPr>
                <w:rFonts w:ascii="华文仿宋" w:eastAsia="华文仿宋" w:hAnsi="华文仿宋" w:cs="Tahoma"/>
                <w:color w:val="000000"/>
                <w:sz w:val="28"/>
                <w:szCs w:val="28"/>
              </w:rPr>
              <w:t>(</w:t>
            </w:r>
            <w:r w:rsidRPr="00AB0E0A">
              <w:rPr>
                <w:rFonts w:ascii="华文仿宋" w:eastAsia="华文仿宋" w:hAnsi="华文仿宋" w:hint="eastAsia"/>
                <w:color w:val="000000"/>
                <w:sz w:val="28"/>
                <w:szCs w:val="28"/>
              </w:rPr>
              <w:t>集团</w:t>
            </w:r>
            <w:r w:rsidRPr="00AB0E0A">
              <w:rPr>
                <w:rFonts w:ascii="华文仿宋" w:eastAsia="华文仿宋" w:hAnsi="华文仿宋" w:cs="Tahoma"/>
                <w:color w:val="000000"/>
                <w:sz w:val="28"/>
                <w:szCs w:val="28"/>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新疆康佳投资(集团)</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南充炼厂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沧州炼厂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140#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150#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6100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6100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青岛石化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济南炼厂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东明石化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7150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7500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7750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6300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6300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清江石化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杭州炼厂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泰州石化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8050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8050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金陵烷基苯厂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扬州石化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福建联合</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5660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5660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5130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5130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110#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6800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bl>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108" w:name="_Toc460250412"/>
      <w:bookmarkStart w:id="109" w:name="_Toc281568213"/>
      <w:bookmarkStart w:id="110" w:name="_Toc296600821"/>
      <w:bookmarkStart w:id="111" w:name="_Toc505350016"/>
      <w:bookmarkStart w:id="112" w:name="_Toc536797020"/>
      <w:bookmarkStart w:id="113" w:name="_Toc1736591"/>
      <w:bookmarkStart w:id="114" w:name="_Toc2934033"/>
      <w:bookmarkStart w:id="115" w:name="_Toc2934054"/>
      <w:r>
        <w:rPr>
          <w:rFonts w:ascii="黑体" w:hAnsi="宋体" w:hint="eastAsia"/>
          <w:sz w:val="28"/>
          <w:szCs w:val="28"/>
        </w:rPr>
        <w:t>六、D系列特种溶剂油</w:t>
      </w:r>
      <w:bookmarkEnd w:id="108"/>
      <w:bookmarkEnd w:id="109"/>
      <w:bookmarkEnd w:id="110"/>
      <w:bookmarkEnd w:id="111"/>
      <w:bookmarkEnd w:id="112"/>
      <w:bookmarkEnd w:id="113"/>
      <w:bookmarkEnd w:id="114"/>
      <w:bookmarkEnd w:id="115"/>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822" w:type="dxa"/>
        <w:tblLayout w:type="fixed"/>
        <w:tblCellMar>
          <w:top w:w="15" w:type="dxa"/>
          <w:left w:w="15" w:type="dxa"/>
          <w:bottom w:w="15" w:type="dxa"/>
          <w:right w:w="15" w:type="dxa"/>
        </w:tblCellMar>
        <w:tblLook w:val="04A0"/>
      </w:tblPr>
      <w:tblGrid>
        <w:gridCol w:w="1008"/>
        <w:gridCol w:w="1559"/>
        <w:gridCol w:w="1276"/>
        <w:gridCol w:w="850"/>
        <w:gridCol w:w="1418"/>
        <w:gridCol w:w="992"/>
        <w:gridCol w:w="1276"/>
        <w:gridCol w:w="1338"/>
        <w:gridCol w:w="105"/>
      </w:tblGrid>
      <w:tr w:rsidR="00FD2BBF" w:rsidTr="00505881">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地区</w:t>
            </w:r>
          </w:p>
        </w:tc>
        <w:tc>
          <w:tcPr>
            <w:tcW w:w="155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产品名称</w:t>
            </w:r>
          </w:p>
        </w:tc>
        <w:tc>
          <w:tcPr>
            <w:tcW w:w="85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型号</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价格类型</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涨跌</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rsidP="00F14AB6">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2019/3/</w:t>
            </w:r>
            <w:r w:rsidR="00F14AB6">
              <w:rPr>
                <w:rFonts w:ascii="华文仿宋" w:eastAsia="华文仿宋" w:hAnsi="华文仿宋" w:hint="eastAsia"/>
                <w:sz w:val="28"/>
                <w:szCs w:val="28"/>
              </w:rPr>
              <w:t>8</w:t>
            </w:r>
          </w:p>
        </w:tc>
        <w:tc>
          <w:tcPr>
            <w:tcW w:w="1443" w:type="dxa"/>
            <w:gridSpan w:val="2"/>
            <w:tcBorders>
              <w:top w:val="single" w:sz="4" w:space="0" w:color="auto"/>
              <w:bottom w:val="single" w:sz="4" w:space="0" w:color="auto"/>
              <w:right w:val="single" w:sz="4" w:space="0" w:color="auto"/>
            </w:tcBorders>
            <w:shd w:val="clear" w:color="auto" w:fill="auto"/>
            <w:vAlign w:val="bottom"/>
          </w:tcPr>
          <w:p w:rsidR="00FD2BBF" w:rsidRPr="00FD2BBF" w:rsidRDefault="00F14AB6" w:rsidP="00F14AB6">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2019/3/</w:t>
            </w:r>
            <w:r>
              <w:rPr>
                <w:rFonts w:ascii="华文仿宋" w:eastAsia="华文仿宋" w:hAnsi="华文仿宋" w:hint="eastAsia"/>
                <w:sz w:val="28"/>
                <w:szCs w:val="28"/>
              </w:rPr>
              <w:t>1</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6250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6250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w:t>
            </w:r>
            <w:r w:rsidRPr="00FD2BBF">
              <w:rPr>
                <w:rFonts w:ascii="华文仿宋" w:eastAsia="华文仿宋" w:hAnsi="华文仿宋" w:cs="Tahoma"/>
                <w:sz w:val="28"/>
                <w:szCs w:val="28"/>
              </w:rPr>
              <w:lastRenderedPageBreak/>
              <w:t>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lastRenderedPageBreak/>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6900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7400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7400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8000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8000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6300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16" w:name="_Toc281568214"/>
      <w:bookmarkStart w:id="117" w:name="_Toc505350017"/>
      <w:bookmarkStart w:id="118" w:name="_Toc460250413"/>
      <w:bookmarkStart w:id="119" w:name="_Toc296600822"/>
      <w:bookmarkStart w:id="120" w:name="_Toc536797021"/>
      <w:bookmarkStart w:id="121" w:name="_Toc1736592"/>
      <w:bookmarkStart w:id="122" w:name="_Toc2934034"/>
      <w:bookmarkStart w:id="123" w:name="_Toc2934055"/>
      <w:r>
        <w:rPr>
          <w:rFonts w:ascii="华文仿宋" w:eastAsia="华文仿宋" w:hAnsi="华文仿宋" w:hint="eastAsia"/>
          <w:bCs w:val="0"/>
          <w:kern w:val="2"/>
          <w:sz w:val="28"/>
          <w:szCs w:val="28"/>
        </w:rPr>
        <w:t>七、重芳烃溶剂油</w:t>
      </w:r>
      <w:bookmarkEnd w:id="116"/>
      <w:bookmarkEnd w:id="117"/>
      <w:bookmarkEnd w:id="118"/>
      <w:bookmarkEnd w:id="119"/>
      <w:bookmarkEnd w:id="120"/>
      <w:bookmarkEnd w:id="121"/>
      <w:bookmarkEnd w:id="122"/>
      <w:bookmarkEnd w:id="123"/>
    </w:p>
    <w:p w:rsidR="00FD6021" w:rsidRDefault="0014013A">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938" w:type="dxa"/>
        <w:tblLayout w:type="fixed"/>
        <w:tblCellMar>
          <w:top w:w="15" w:type="dxa"/>
          <w:left w:w="15" w:type="dxa"/>
          <w:bottom w:w="15" w:type="dxa"/>
          <w:right w:w="15" w:type="dxa"/>
        </w:tblCellMar>
        <w:tblLook w:val="04A0"/>
      </w:tblPr>
      <w:tblGrid>
        <w:gridCol w:w="1149"/>
        <w:gridCol w:w="1701"/>
        <w:gridCol w:w="1418"/>
        <w:gridCol w:w="992"/>
        <w:gridCol w:w="1276"/>
        <w:gridCol w:w="992"/>
        <w:gridCol w:w="1123"/>
        <w:gridCol w:w="1287"/>
      </w:tblGrid>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地区</w:t>
            </w:r>
          </w:p>
        </w:tc>
        <w:tc>
          <w:tcPr>
            <w:tcW w:w="1701"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生产厂家</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产品名称</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型号</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价格类型</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涨跌</w:t>
            </w:r>
          </w:p>
        </w:tc>
        <w:tc>
          <w:tcPr>
            <w:tcW w:w="112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D2BBF" w:rsidRDefault="00F14AB6" w:rsidP="003437AA">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2019/3/</w:t>
            </w:r>
            <w:r>
              <w:rPr>
                <w:rFonts w:ascii="华文仿宋" w:eastAsia="华文仿宋" w:hAnsi="华文仿宋" w:hint="eastAsia"/>
                <w:sz w:val="28"/>
                <w:szCs w:val="28"/>
              </w:rPr>
              <w:t>8</w:t>
            </w:r>
          </w:p>
        </w:tc>
        <w:tc>
          <w:tcPr>
            <w:tcW w:w="1287"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14AB6" w:rsidRPr="00FD2BBF" w:rsidRDefault="00F14AB6" w:rsidP="003437AA">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2019/3/</w:t>
            </w:r>
            <w:r>
              <w:rPr>
                <w:rFonts w:ascii="华文仿宋" w:eastAsia="华文仿宋" w:hAnsi="华文仿宋" w:hint="eastAsia"/>
                <w:sz w:val="28"/>
                <w:szCs w:val="28"/>
              </w:rPr>
              <w:t>1</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丹阳联东化</w:t>
            </w:r>
            <w:r w:rsidRPr="00F14AB6">
              <w:rPr>
                <w:rFonts w:ascii="华文仿宋" w:eastAsia="华文仿宋" w:hAnsi="华文仿宋" w:cs="Tahoma"/>
                <w:sz w:val="28"/>
                <w:szCs w:val="28"/>
              </w:rPr>
              <w:lastRenderedPageBreak/>
              <w:t>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lastRenderedPageBreak/>
              <w:t>芳烃溶剂</w:t>
            </w:r>
            <w:r w:rsidRPr="00F14AB6">
              <w:rPr>
                <w:rFonts w:ascii="华文仿宋" w:eastAsia="华文仿宋" w:hAnsi="华文仿宋" w:hint="eastAsia"/>
                <w:sz w:val="28"/>
                <w:szCs w:val="28"/>
              </w:rPr>
              <w:lastRenderedPageBreak/>
              <w:t>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混三甲</w:t>
            </w:r>
            <w:r w:rsidRPr="00F14AB6">
              <w:rPr>
                <w:rFonts w:ascii="华文仿宋" w:eastAsia="华文仿宋" w:hAnsi="华文仿宋" w:cs="Tahoma"/>
                <w:sz w:val="28"/>
                <w:szCs w:val="28"/>
              </w:rPr>
              <w:lastRenderedPageBreak/>
              <w:t>苯-1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lastRenderedPageBreak/>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混三甲苯-3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混四甲苯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S-2300#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5800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5800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5600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5600</w:t>
            </w:r>
          </w:p>
        </w:tc>
      </w:tr>
      <w:tr w:rsidR="00F14AB6" w:rsidTr="00F14AB6">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5000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5600</w:t>
            </w:r>
          </w:p>
        </w:tc>
      </w:tr>
      <w:tr w:rsidR="00F14AB6" w:rsidTr="00F14AB6">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S1501#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S1800A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S1800B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6850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6850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6850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6850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6850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6850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7300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7300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w:t>
            </w:r>
            <w:r w:rsidRPr="00F14AB6">
              <w:rPr>
                <w:rFonts w:ascii="华文仿宋" w:eastAsia="华文仿宋" w:hAnsi="华文仿宋" w:cs="Tahoma"/>
                <w:sz w:val="28"/>
                <w:szCs w:val="28"/>
              </w:rPr>
              <w:lastRenderedPageBreak/>
              <w:t>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lastRenderedPageBreak/>
              <w:t>芳烃溶剂</w:t>
            </w:r>
            <w:r w:rsidRPr="00F14AB6">
              <w:rPr>
                <w:rFonts w:ascii="华文仿宋" w:eastAsia="华文仿宋" w:hAnsi="华文仿宋" w:hint="eastAsia"/>
                <w:sz w:val="28"/>
                <w:szCs w:val="28"/>
              </w:rPr>
              <w:lastRenderedPageBreak/>
              <w:t>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6100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6100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lastRenderedPageBreak/>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燕化高新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燕化高新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淄博锐博化工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5500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5500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淄博锐博化工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5400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5400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5200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5200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4400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4400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混合芳烃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加氢白C9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C9馏分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C5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长岭炼化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混合甲乙苯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长岭炼化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混合三甲苯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洛阳宇晶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洛阳宇晶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w:t>
            </w:r>
            <w:r w:rsidRPr="00F14AB6">
              <w:rPr>
                <w:rFonts w:ascii="华文仿宋" w:eastAsia="华文仿宋" w:hAnsi="华文仿宋" w:hint="eastAsia"/>
                <w:sz w:val="28"/>
                <w:szCs w:val="28"/>
              </w:rPr>
              <w:lastRenderedPageBreak/>
              <w:t>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r w:rsidR="00F14AB6" w:rsidTr="00F14AB6">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B6" w:rsidRPr="00F14AB6" w:rsidRDefault="00F14AB6">
            <w:pPr>
              <w:jc w:val="center"/>
              <w:rPr>
                <w:rFonts w:ascii="华文仿宋" w:eastAsia="华文仿宋" w:hAnsi="华文仿宋" w:cs="Tahoma"/>
                <w:sz w:val="28"/>
                <w:szCs w:val="28"/>
              </w:rPr>
            </w:pPr>
            <w:r w:rsidRPr="00F14AB6">
              <w:rPr>
                <w:rFonts w:ascii="华文仿宋" w:eastAsia="华文仿宋" w:hAnsi="华文仿宋" w:cs="Tahoma"/>
                <w:sz w:val="28"/>
                <w:szCs w:val="2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hint="eastAsia"/>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AB6" w:rsidRPr="00F14AB6" w:rsidRDefault="00F14AB6">
            <w:pPr>
              <w:jc w:val="center"/>
              <w:rPr>
                <w:rFonts w:ascii="华文仿宋" w:eastAsia="华文仿宋" w:hAnsi="华文仿宋" w:cs="宋体"/>
                <w:sz w:val="28"/>
                <w:szCs w:val="28"/>
              </w:rPr>
            </w:pPr>
            <w:r w:rsidRPr="00F14AB6">
              <w:rPr>
                <w:rFonts w:ascii="华文仿宋" w:eastAsia="华文仿宋" w:hAnsi="华文仿宋"/>
                <w:sz w:val="28"/>
                <w:szCs w:val="28"/>
              </w:rPr>
              <w:t>0</w:t>
            </w:r>
          </w:p>
        </w:tc>
      </w:tr>
    </w:tbl>
    <w:p w:rsidR="00FD6021" w:rsidRDefault="00FD6021">
      <w:pPr>
        <w:autoSpaceDE w:val="0"/>
        <w:autoSpaceDN w:val="0"/>
        <w:adjustRightInd w:val="0"/>
        <w:ind w:firstLineChars="50" w:firstLine="14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24" w:name="_Toc296600823"/>
      <w:bookmarkStart w:id="125" w:name="_Toc505350018"/>
      <w:bookmarkStart w:id="126" w:name="_Toc281568215"/>
      <w:bookmarkStart w:id="127" w:name="_Toc460250414"/>
      <w:bookmarkStart w:id="128" w:name="_Toc180485835"/>
      <w:bookmarkStart w:id="129" w:name="_Toc536797022"/>
      <w:bookmarkStart w:id="130" w:name="_Toc1736593"/>
      <w:bookmarkStart w:id="131" w:name="_Toc2934035"/>
      <w:bookmarkStart w:id="132" w:name="_Toc2934056"/>
      <w:r>
        <w:rPr>
          <w:rFonts w:ascii="华文仿宋" w:eastAsia="华文仿宋" w:hAnsi="华文仿宋" w:hint="eastAsia"/>
          <w:bCs w:val="0"/>
          <w:kern w:val="2"/>
          <w:sz w:val="28"/>
          <w:szCs w:val="28"/>
        </w:rPr>
        <w:t>八、正己烷</w:t>
      </w:r>
      <w:bookmarkEnd w:id="124"/>
      <w:bookmarkEnd w:id="125"/>
      <w:bookmarkEnd w:id="126"/>
      <w:bookmarkEnd w:id="127"/>
      <w:bookmarkEnd w:id="128"/>
      <w:bookmarkEnd w:id="129"/>
      <w:bookmarkEnd w:id="130"/>
      <w:bookmarkEnd w:id="131"/>
      <w:bookmarkEnd w:id="132"/>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FD2BBF">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bookmarkStart w:id="133" w:name="_GoBack"/>
            <w:r w:rsidRPr="00FD2BBF">
              <w:rPr>
                <w:rFonts w:ascii="华文仿宋" w:eastAsia="华文仿宋" w:hAnsi="华文仿宋" w:hint="eastAsia"/>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rsidP="00F14AB6">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w:t>
            </w:r>
            <w:r w:rsidR="00F14AB6">
              <w:rPr>
                <w:rFonts w:ascii="华文仿宋" w:eastAsia="华文仿宋" w:hAnsi="华文仿宋" w:hint="eastAsia"/>
                <w:sz w:val="28"/>
                <w:szCs w:val="28"/>
              </w:rPr>
              <w:t>3</w:t>
            </w:r>
            <w:r w:rsidRPr="00FD2BBF">
              <w:rPr>
                <w:rFonts w:ascii="华文仿宋" w:eastAsia="华文仿宋" w:hAnsi="华文仿宋" w:hint="eastAsia"/>
                <w:sz w:val="28"/>
                <w:szCs w:val="28"/>
              </w:rPr>
              <w:t>/</w:t>
            </w:r>
            <w:r w:rsidR="00F14AB6">
              <w:rPr>
                <w:rFonts w:ascii="华文仿宋" w:eastAsia="华文仿宋" w:hAnsi="华文仿宋" w:hint="eastAsia"/>
                <w:sz w:val="28"/>
                <w:szCs w:val="28"/>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rsidP="00F14AB6">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w:t>
            </w:r>
            <w:r w:rsidR="00F14AB6">
              <w:rPr>
                <w:rFonts w:ascii="华文仿宋" w:eastAsia="华文仿宋" w:hAnsi="华文仿宋" w:hint="eastAsia"/>
                <w:sz w:val="28"/>
                <w:szCs w:val="28"/>
              </w:rPr>
              <w:t>3</w:t>
            </w:r>
            <w:r w:rsidRPr="00FD2BBF">
              <w:rPr>
                <w:rFonts w:ascii="华文仿宋" w:eastAsia="华文仿宋" w:hAnsi="华文仿宋" w:hint="eastAsia"/>
                <w:sz w:val="28"/>
                <w:szCs w:val="28"/>
              </w:rPr>
              <w:t>/</w:t>
            </w:r>
            <w:r w:rsidR="00F14AB6">
              <w:rPr>
                <w:rFonts w:ascii="华文仿宋" w:eastAsia="华文仿宋" w:hAnsi="华文仿宋" w:hint="eastAsia"/>
                <w:sz w:val="28"/>
                <w:szCs w:val="28"/>
              </w:rPr>
              <w:t>1</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燕山石化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燕山集联</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大连石化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辽阳裕丰</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辽阳亿鑫</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岳阳金瀚</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7000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7000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扬子石化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7250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广州赫尔</w:t>
            </w:r>
            <w:r w:rsidRPr="00FD2BBF">
              <w:rPr>
                <w:rFonts w:ascii="华文仿宋" w:eastAsia="华文仿宋" w:hAnsi="华文仿宋" w:cs="Tahoma"/>
                <w:sz w:val="28"/>
                <w:szCs w:val="28"/>
              </w:rPr>
              <w:lastRenderedPageBreak/>
              <w:t>普</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lastRenderedPageBreak/>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兰州石化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8300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8300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克拉玛依</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bookmarkEnd w:id="133"/>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34" w:name="_Toc296600824"/>
      <w:bookmarkStart w:id="135" w:name="_Toc281568216"/>
      <w:bookmarkStart w:id="136" w:name="_Toc460250415"/>
      <w:bookmarkStart w:id="137" w:name="_Toc505350019"/>
      <w:bookmarkStart w:id="138" w:name="_Toc536797023"/>
      <w:bookmarkStart w:id="139" w:name="_Toc1736594"/>
      <w:bookmarkStart w:id="140" w:name="_Toc2934036"/>
      <w:bookmarkStart w:id="141" w:name="_Toc2934057"/>
      <w:r>
        <w:rPr>
          <w:rFonts w:ascii="华文仿宋" w:eastAsia="华文仿宋" w:hAnsi="华文仿宋" w:hint="eastAsia"/>
          <w:bCs w:val="0"/>
          <w:kern w:val="2"/>
          <w:sz w:val="28"/>
          <w:szCs w:val="28"/>
        </w:rPr>
        <w:t>九、2018年11月中国溶剂油进出口数据统计</w:t>
      </w:r>
      <w:bookmarkEnd w:id="134"/>
      <w:bookmarkEnd w:id="135"/>
      <w:bookmarkEnd w:id="136"/>
      <w:bookmarkEnd w:id="137"/>
      <w:bookmarkEnd w:id="138"/>
      <w:bookmarkEnd w:id="139"/>
      <w:bookmarkEnd w:id="140"/>
      <w:bookmarkEnd w:id="141"/>
    </w:p>
    <w:p w:rsidR="00FD6021" w:rsidRDefault="00FD6021"/>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FD6021">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出口金额</w:t>
            </w:r>
          </w:p>
        </w:tc>
      </w:tr>
      <w:tr w:rsidR="00FD6021">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橡胶溶剂油、油漆溶剂油、抽提溶剂油、不含有生物柴油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FD6021">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108,175</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sectPr w:rsidR="00FD6021" w:rsidSect="00FD6021">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FD6" w:rsidRDefault="00335FD6" w:rsidP="00FD6021">
      <w:r>
        <w:separator/>
      </w:r>
    </w:p>
  </w:endnote>
  <w:endnote w:type="continuationSeparator" w:id="1">
    <w:p w:rsidR="00335FD6" w:rsidRDefault="00335FD6" w:rsidP="00FD6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D8" w:rsidRDefault="00AB4BD8">
    <w:pPr>
      <w:pStyle w:val="a7"/>
      <w:jc w:val="center"/>
    </w:pPr>
    <w:r>
      <w:rPr>
        <w:b/>
        <w:bCs/>
        <w:sz w:val="24"/>
        <w:szCs w:val="24"/>
      </w:rPr>
      <w:fldChar w:fldCharType="begin"/>
    </w:r>
    <w:r>
      <w:rPr>
        <w:b/>
        <w:bCs/>
      </w:rPr>
      <w:instrText>PAGE</w:instrText>
    </w:r>
    <w:r>
      <w:rPr>
        <w:b/>
        <w:bCs/>
        <w:sz w:val="24"/>
        <w:szCs w:val="24"/>
      </w:rPr>
      <w:fldChar w:fldCharType="separate"/>
    </w:r>
    <w:r w:rsidR="00C2458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24580">
      <w:rPr>
        <w:b/>
        <w:bCs/>
        <w:noProof/>
      </w:rPr>
      <w:t>44</w:t>
    </w:r>
    <w:r>
      <w:rPr>
        <w:b/>
        <w:bCs/>
        <w:sz w:val="24"/>
        <w:szCs w:val="24"/>
      </w:rPr>
      <w:fldChar w:fldCharType="end"/>
    </w:r>
  </w:p>
  <w:p w:rsidR="00AB4BD8" w:rsidRDefault="00AB4B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FD6" w:rsidRDefault="00335FD6" w:rsidP="00FD6021">
      <w:r>
        <w:separator/>
      </w:r>
    </w:p>
  </w:footnote>
  <w:footnote w:type="continuationSeparator" w:id="1">
    <w:p w:rsidR="00335FD6" w:rsidRDefault="00335FD6" w:rsidP="00FD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D8" w:rsidRDefault="00AB4BD8">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AB4BD8" w:rsidRDefault="00AB4BD8" w:rsidP="00B93322">
    <w:pPr>
      <w:pStyle w:val="a8"/>
      <w:pBdr>
        <w:bottom w:val="none" w:sz="0" w:space="0" w:color="auto"/>
      </w:pBdr>
      <w:tabs>
        <w:tab w:val="clear" w:pos="8306"/>
        <w:tab w:val="left" w:pos="4200"/>
        <w:tab w:val="left" w:pos="4620"/>
      </w:tabs>
      <w:jc w:val="left"/>
    </w:pPr>
    <w:r>
      <w:tab/>
    </w:r>
    <w:r>
      <w:tab/>
    </w:r>
    <w:r>
      <w:tab/>
    </w:r>
    <w:r>
      <w:tab/>
    </w:r>
  </w:p>
  <w:p w:rsidR="00AB4BD8" w:rsidRDefault="00AB4BD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num" w:pos="312"/>
        </w:tabs>
      </w:pPr>
    </w:lvl>
  </w:abstractNum>
  <w:abstractNum w:abstractNumId="1">
    <w:nsid w:val="2E66BECC"/>
    <w:multiLevelType w:val="singleLevel"/>
    <w:tmpl w:val="2E66BECC"/>
    <w:lvl w:ilvl="0">
      <w:start w:val="1"/>
      <w:numFmt w:val="decimal"/>
      <w:suff w:val="nothing"/>
      <w:lvlText w:val="%1、"/>
      <w:lvlJc w:val="left"/>
    </w:lvl>
  </w:abstractNum>
  <w:abstractNum w:abstractNumId="2">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3010"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4CFF"/>
    <w:rsid w:val="000071C7"/>
    <w:rsid w:val="00007808"/>
    <w:rsid w:val="000121DE"/>
    <w:rsid w:val="000130B9"/>
    <w:rsid w:val="00013FDF"/>
    <w:rsid w:val="00020192"/>
    <w:rsid w:val="0003360D"/>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5ADA"/>
    <w:rsid w:val="000862A0"/>
    <w:rsid w:val="00087B10"/>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4FD"/>
    <w:rsid w:val="000E3ED3"/>
    <w:rsid w:val="000E4486"/>
    <w:rsid w:val="000F4930"/>
    <w:rsid w:val="000F6AFC"/>
    <w:rsid w:val="00100B41"/>
    <w:rsid w:val="001028D9"/>
    <w:rsid w:val="00103D77"/>
    <w:rsid w:val="001045A7"/>
    <w:rsid w:val="00111DD8"/>
    <w:rsid w:val="00111F37"/>
    <w:rsid w:val="00113D3C"/>
    <w:rsid w:val="00114C42"/>
    <w:rsid w:val="00114D13"/>
    <w:rsid w:val="0011778E"/>
    <w:rsid w:val="00123276"/>
    <w:rsid w:val="00130438"/>
    <w:rsid w:val="001316A0"/>
    <w:rsid w:val="001351B0"/>
    <w:rsid w:val="00137FFE"/>
    <w:rsid w:val="0014013A"/>
    <w:rsid w:val="00147D86"/>
    <w:rsid w:val="00150B7B"/>
    <w:rsid w:val="001546FC"/>
    <w:rsid w:val="00167025"/>
    <w:rsid w:val="00174197"/>
    <w:rsid w:val="00183F2A"/>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C6F15"/>
    <w:rsid w:val="001D1279"/>
    <w:rsid w:val="001D2FA8"/>
    <w:rsid w:val="001D35A4"/>
    <w:rsid w:val="001D3943"/>
    <w:rsid w:val="001D408B"/>
    <w:rsid w:val="001D48F1"/>
    <w:rsid w:val="001D4DC7"/>
    <w:rsid w:val="001E2FF2"/>
    <w:rsid w:val="001E7175"/>
    <w:rsid w:val="001F0235"/>
    <w:rsid w:val="001F24AD"/>
    <w:rsid w:val="001F325D"/>
    <w:rsid w:val="001F3557"/>
    <w:rsid w:val="00200758"/>
    <w:rsid w:val="00212A13"/>
    <w:rsid w:val="00214955"/>
    <w:rsid w:val="0021517F"/>
    <w:rsid w:val="00216D04"/>
    <w:rsid w:val="00224DAB"/>
    <w:rsid w:val="00225CE6"/>
    <w:rsid w:val="00227F5A"/>
    <w:rsid w:val="00231BFF"/>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8779B"/>
    <w:rsid w:val="00290A13"/>
    <w:rsid w:val="0029167F"/>
    <w:rsid w:val="0029698F"/>
    <w:rsid w:val="002A0B34"/>
    <w:rsid w:val="002A1698"/>
    <w:rsid w:val="002A4F6D"/>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34BA1"/>
    <w:rsid w:val="00335FD6"/>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4B51"/>
    <w:rsid w:val="00396825"/>
    <w:rsid w:val="00396ACE"/>
    <w:rsid w:val="00397D27"/>
    <w:rsid w:val="003A05B5"/>
    <w:rsid w:val="003A177D"/>
    <w:rsid w:val="003A4492"/>
    <w:rsid w:val="003B2552"/>
    <w:rsid w:val="003B4A5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2A7"/>
    <w:rsid w:val="004B078A"/>
    <w:rsid w:val="004B2762"/>
    <w:rsid w:val="004B37AA"/>
    <w:rsid w:val="004B4629"/>
    <w:rsid w:val="004B5ABD"/>
    <w:rsid w:val="004B72B2"/>
    <w:rsid w:val="004C0320"/>
    <w:rsid w:val="004C1F94"/>
    <w:rsid w:val="004C2578"/>
    <w:rsid w:val="004C515D"/>
    <w:rsid w:val="004D1EB5"/>
    <w:rsid w:val="004D3C9D"/>
    <w:rsid w:val="004D6F1B"/>
    <w:rsid w:val="004E0D9B"/>
    <w:rsid w:val="004E2F19"/>
    <w:rsid w:val="004F1799"/>
    <w:rsid w:val="004F3817"/>
    <w:rsid w:val="004F491D"/>
    <w:rsid w:val="004F57CD"/>
    <w:rsid w:val="004F7B37"/>
    <w:rsid w:val="0050120B"/>
    <w:rsid w:val="00501686"/>
    <w:rsid w:val="00501DD8"/>
    <w:rsid w:val="00504E0E"/>
    <w:rsid w:val="00505881"/>
    <w:rsid w:val="00510901"/>
    <w:rsid w:val="0051359C"/>
    <w:rsid w:val="00515CF7"/>
    <w:rsid w:val="00517918"/>
    <w:rsid w:val="0052375A"/>
    <w:rsid w:val="00524DE5"/>
    <w:rsid w:val="00527E80"/>
    <w:rsid w:val="00530810"/>
    <w:rsid w:val="0053224A"/>
    <w:rsid w:val="00533757"/>
    <w:rsid w:val="005351E4"/>
    <w:rsid w:val="005429EE"/>
    <w:rsid w:val="00542C07"/>
    <w:rsid w:val="00547632"/>
    <w:rsid w:val="00547B9C"/>
    <w:rsid w:val="005579EC"/>
    <w:rsid w:val="00565438"/>
    <w:rsid w:val="005666EC"/>
    <w:rsid w:val="005670E7"/>
    <w:rsid w:val="005673DC"/>
    <w:rsid w:val="005734C8"/>
    <w:rsid w:val="00581114"/>
    <w:rsid w:val="00581F9C"/>
    <w:rsid w:val="00585C56"/>
    <w:rsid w:val="00586698"/>
    <w:rsid w:val="00587D98"/>
    <w:rsid w:val="00595E1A"/>
    <w:rsid w:val="0059652E"/>
    <w:rsid w:val="005965F5"/>
    <w:rsid w:val="00597091"/>
    <w:rsid w:val="00597232"/>
    <w:rsid w:val="005A244F"/>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5E5619"/>
    <w:rsid w:val="00603412"/>
    <w:rsid w:val="00612F43"/>
    <w:rsid w:val="006145D2"/>
    <w:rsid w:val="00616239"/>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C7D15"/>
    <w:rsid w:val="006D0372"/>
    <w:rsid w:val="006D0B7F"/>
    <w:rsid w:val="006D0C94"/>
    <w:rsid w:val="006D23A3"/>
    <w:rsid w:val="006D6ABD"/>
    <w:rsid w:val="006E172C"/>
    <w:rsid w:val="006E195D"/>
    <w:rsid w:val="006E58D9"/>
    <w:rsid w:val="006E7999"/>
    <w:rsid w:val="006F2697"/>
    <w:rsid w:val="006F7170"/>
    <w:rsid w:val="00707732"/>
    <w:rsid w:val="00715AEB"/>
    <w:rsid w:val="00720A30"/>
    <w:rsid w:val="00721AE4"/>
    <w:rsid w:val="00723454"/>
    <w:rsid w:val="007271CA"/>
    <w:rsid w:val="00730BB5"/>
    <w:rsid w:val="007314A0"/>
    <w:rsid w:val="00731F5F"/>
    <w:rsid w:val="007326DF"/>
    <w:rsid w:val="00742A37"/>
    <w:rsid w:val="00754B00"/>
    <w:rsid w:val="00763F6F"/>
    <w:rsid w:val="00765F8B"/>
    <w:rsid w:val="00767C71"/>
    <w:rsid w:val="00774217"/>
    <w:rsid w:val="007752FF"/>
    <w:rsid w:val="00776D2B"/>
    <w:rsid w:val="007812FC"/>
    <w:rsid w:val="007815C0"/>
    <w:rsid w:val="00782BC6"/>
    <w:rsid w:val="00783A4E"/>
    <w:rsid w:val="007849B1"/>
    <w:rsid w:val="00785313"/>
    <w:rsid w:val="00785EE7"/>
    <w:rsid w:val="007873C3"/>
    <w:rsid w:val="00791D07"/>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177D"/>
    <w:rsid w:val="007E52C7"/>
    <w:rsid w:val="007E6808"/>
    <w:rsid w:val="007E6FF7"/>
    <w:rsid w:val="007F0394"/>
    <w:rsid w:val="007F1029"/>
    <w:rsid w:val="007F4B19"/>
    <w:rsid w:val="00806040"/>
    <w:rsid w:val="008156F9"/>
    <w:rsid w:val="008161B2"/>
    <w:rsid w:val="00823808"/>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0326"/>
    <w:rsid w:val="00881178"/>
    <w:rsid w:val="00881E5D"/>
    <w:rsid w:val="00884F2A"/>
    <w:rsid w:val="0088710F"/>
    <w:rsid w:val="00887728"/>
    <w:rsid w:val="00887BB7"/>
    <w:rsid w:val="00890FEA"/>
    <w:rsid w:val="00894685"/>
    <w:rsid w:val="00897839"/>
    <w:rsid w:val="008A0EA8"/>
    <w:rsid w:val="008A551C"/>
    <w:rsid w:val="008A71DE"/>
    <w:rsid w:val="008D3798"/>
    <w:rsid w:val="008D4C33"/>
    <w:rsid w:val="008D6398"/>
    <w:rsid w:val="008E2155"/>
    <w:rsid w:val="008E2C6F"/>
    <w:rsid w:val="008E6CAE"/>
    <w:rsid w:val="008F047D"/>
    <w:rsid w:val="008F309D"/>
    <w:rsid w:val="008F4D12"/>
    <w:rsid w:val="009136FA"/>
    <w:rsid w:val="009166B6"/>
    <w:rsid w:val="00916884"/>
    <w:rsid w:val="00917A6A"/>
    <w:rsid w:val="00920F2D"/>
    <w:rsid w:val="00921A1B"/>
    <w:rsid w:val="00922FF4"/>
    <w:rsid w:val="009347F0"/>
    <w:rsid w:val="00935F33"/>
    <w:rsid w:val="0093638A"/>
    <w:rsid w:val="009378FF"/>
    <w:rsid w:val="00940506"/>
    <w:rsid w:val="00940754"/>
    <w:rsid w:val="00944A63"/>
    <w:rsid w:val="00945B4E"/>
    <w:rsid w:val="00947B06"/>
    <w:rsid w:val="00947B15"/>
    <w:rsid w:val="00952E08"/>
    <w:rsid w:val="0095496E"/>
    <w:rsid w:val="00954B41"/>
    <w:rsid w:val="00956005"/>
    <w:rsid w:val="00956999"/>
    <w:rsid w:val="00964933"/>
    <w:rsid w:val="009717D1"/>
    <w:rsid w:val="00974DF6"/>
    <w:rsid w:val="00974FDE"/>
    <w:rsid w:val="00975BF1"/>
    <w:rsid w:val="00980E9A"/>
    <w:rsid w:val="00987DE6"/>
    <w:rsid w:val="00993180"/>
    <w:rsid w:val="009A3031"/>
    <w:rsid w:val="009A6AB7"/>
    <w:rsid w:val="009B11C6"/>
    <w:rsid w:val="009C5E0B"/>
    <w:rsid w:val="009D30D0"/>
    <w:rsid w:val="009D3DF0"/>
    <w:rsid w:val="009D4EB3"/>
    <w:rsid w:val="009E4F67"/>
    <w:rsid w:val="009F05BF"/>
    <w:rsid w:val="009F1D70"/>
    <w:rsid w:val="009F5944"/>
    <w:rsid w:val="00A0021E"/>
    <w:rsid w:val="00A0658F"/>
    <w:rsid w:val="00A13F55"/>
    <w:rsid w:val="00A140B5"/>
    <w:rsid w:val="00A154A5"/>
    <w:rsid w:val="00A2031A"/>
    <w:rsid w:val="00A20C84"/>
    <w:rsid w:val="00A26CD6"/>
    <w:rsid w:val="00A31F3B"/>
    <w:rsid w:val="00A33138"/>
    <w:rsid w:val="00A36CBA"/>
    <w:rsid w:val="00A40391"/>
    <w:rsid w:val="00A42D38"/>
    <w:rsid w:val="00A4389F"/>
    <w:rsid w:val="00A4409F"/>
    <w:rsid w:val="00A44808"/>
    <w:rsid w:val="00A504C2"/>
    <w:rsid w:val="00A5136B"/>
    <w:rsid w:val="00A51A65"/>
    <w:rsid w:val="00A53FC4"/>
    <w:rsid w:val="00A563EE"/>
    <w:rsid w:val="00A6075D"/>
    <w:rsid w:val="00A63181"/>
    <w:rsid w:val="00A66B7D"/>
    <w:rsid w:val="00A74C7D"/>
    <w:rsid w:val="00A773DA"/>
    <w:rsid w:val="00A77796"/>
    <w:rsid w:val="00A77E3A"/>
    <w:rsid w:val="00A81F35"/>
    <w:rsid w:val="00A8382F"/>
    <w:rsid w:val="00A8579A"/>
    <w:rsid w:val="00A85912"/>
    <w:rsid w:val="00A93708"/>
    <w:rsid w:val="00AA2A31"/>
    <w:rsid w:val="00AA4211"/>
    <w:rsid w:val="00AA5F39"/>
    <w:rsid w:val="00AB0E0A"/>
    <w:rsid w:val="00AB0F41"/>
    <w:rsid w:val="00AB4BB0"/>
    <w:rsid w:val="00AB4BD8"/>
    <w:rsid w:val="00AB5344"/>
    <w:rsid w:val="00AC0BBE"/>
    <w:rsid w:val="00AC2EAE"/>
    <w:rsid w:val="00AC5E29"/>
    <w:rsid w:val="00AD1F63"/>
    <w:rsid w:val="00AE6B0A"/>
    <w:rsid w:val="00AF044A"/>
    <w:rsid w:val="00AF2497"/>
    <w:rsid w:val="00AF6EDC"/>
    <w:rsid w:val="00B002B8"/>
    <w:rsid w:val="00B049AB"/>
    <w:rsid w:val="00B079E9"/>
    <w:rsid w:val="00B14D22"/>
    <w:rsid w:val="00B16FDE"/>
    <w:rsid w:val="00B1736E"/>
    <w:rsid w:val="00B2427E"/>
    <w:rsid w:val="00B26353"/>
    <w:rsid w:val="00B26CF4"/>
    <w:rsid w:val="00B32F59"/>
    <w:rsid w:val="00B330CE"/>
    <w:rsid w:val="00B34DB9"/>
    <w:rsid w:val="00B3655C"/>
    <w:rsid w:val="00B36918"/>
    <w:rsid w:val="00B37BD5"/>
    <w:rsid w:val="00B4089B"/>
    <w:rsid w:val="00B41501"/>
    <w:rsid w:val="00B4225A"/>
    <w:rsid w:val="00B4252A"/>
    <w:rsid w:val="00B43FD3"/>
    <w:rsid w:val="00B46280"/>
    <w:rsid w:val="00B54753"/>
    <w:rsid w:val="00B56DAC"/>
    <w:rsid w:val="00B65C66"/>
    <w:rsid w:val="00B66525"/>
    <w:rsid w:val="00B7201D"/>
    <w:rsid w:val="00B72D56"/>
    <w:rsid w:val="00B73385"/>
    <w:rsid w:val="00B7660A"/>
    <w:rsid w:val="00B80D78"/>
    <w:rsid w:val="00B80F1F"/>
    <w:rsid w:val="00B81D14"/>
    <w:rsid w:val="00B85715"/>
    <w:rsid w:val="00B86CFA"/>
    <w:rsid w:val="00B87EBA"/>
    <w:rsid w:val="00B92B61"/>
    <w:rsid w:val="00B93322"/>
    <w:rsid w:val="00B949E5"/>
    <w:rsid w:val="00B94A66"/>
    <w:rsid w:val="00B969D4"/>
    <w:rsid w:val="00BA230A"/>
    <w:rsid w:val="00BA7BA1"/>
    <w:rsid w:val="00BB2229"/>
    <w:rsid w:val="00BC087F"/>
    <w:rsid w:val="00BC0A29"/>
    <w:rsid w:val="00BC23E1"/>
    <w:rsid w:val="00BC2882"/>
    <w:rsid w:val="00BC31D3"/>
    <w:rsid w:val="00BC3AF2"/>
    <w:rsid w:val="00BC4513"/>
    <w:rsid w:val="00BC476E"/>
    <w:rsid w:val="00BC6912"/>
    <w:rsid w:val="00BD1EE5"/>
    <w:rsid w:val="00BD3E25"/>
    <w:rsid w:val="00BD4147"/>
    <w:rsid w:val="00BE0143"/>
    <w:rsid w:val="00BE088D"/>
    <w:rsid w:val="00BE60C2"/>
    <w:rsid w:val="00BF4005"/>
    <w:rsid w:val="00BF56EB"/>
    <w:rsid w:val="00BF5FDD"/>
    <w:rsid w:val="00C010CC"/>
    <w:rsid w:val="00C04234"/>
    <w:rsid w:val="00C143F0"/>
    <w:rsid w:val="00C15280"/>
    <w:rsid w:val="00C16649"/>
    <w:rsid w:val="00C21042"/>
    <w:rsid w:val="00C22F47"/>
    <w:rsid w:val="00C24580"/>
    <w:rsid w:val="00C25298"/>
    <w:rsid w:val="00C263DA"/>
    <w:rsid w:val="00C30738"/>
    <w:rsid w:val="00C5471C"/>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C3660"/>
    <w:rsid w:val="00CD06D5"/>
    <w:rsid w:val="00CD5F66"/>
    <w:rsid w:val="00CE2915"/>
    <w:rsid w:val="00CE48BB"/>
    <w:rsid w:val="00CF1CB7"/>
    <w:rsid w:val="00CF30C9"/>
    <w:rsid w:val="00CF7DD5"/>
    <w:rsid w:val="00D00BB2"/>
    <w:rsid w:val="00D013C8"/>
    <w:rsid w:val="00D03E8B"/>
    <w:rsid w:val="00D06BE0"/>
    <w:rsid w:val="00D07006"/>
    <w:rsid w:val="00D13DC7"/>
    <w:rsid w:val="00D167DD"/>
    <w:rsid w:val="00D16B1B"/>
    <w:rsid w:val="00D30499"/>
    <w:rsid w:val="00D340ED"/>
    <w:rsid w:val="00D414AB"/>
    <w:rsid w:val="00D56268"/>
    <w:rsid w:val="00D57F76"/>
    <w:rsid w:val="00D766DC"/>
    <w:rsid w:val="00D84ADA"/>
    <w:rsid w:val="00D853F5"/>
    <w:rsid w:val="00D859DE"/>
    <w:rsid w:val="00D87D5F"/>
    <w:rsid w:val="00D919D9"/>
    <w:rsid w:val="00D9238E"/>
    <w:rsid w:val="00D9776A"/>
    <w:rsid w:val="00DA4501"/>
    <w:rsid w:val="00DA4F2B"/>
    <w:rsid w:val="00DA5FEE"/>
    <w:rsid w:val="00DA6C7F"/>
    <w:rsid w:val="00DB1006"/>
    <w:rsid w:val="00DB57C9"/>
    <w:rsid w:val="00DB5F48"/>
    <w:rsid w:val="00DB79D6"/>
    <w:rsid w:val="00DC59D6"/>
    <w:rsid w:val="00DC60AC"/>
    <w:rsid w:val="00DD364C"/>
    <w:rsid w:val="00DD4A91"/>
    <w:rsid w:val="00DD4EB3"/>
    <w:rsid w:val="00DD7167"/>
    <w:rsid w:val="00DD7E7D"/>
    <w:rsid w:val="00DE139B"/>
    <w:rsid w:val="00DE34F1"/>
    <w:rsid w:val="00DE40FB"/>
    <w:rsid w:val="00DF65D2"/>
    <w:rsid w:val="00E0381A"/>
    <w:rsid w:val="00E05707"/>
    <w:rsid w:val="00E141C3"/>
    <w:rsid w:val="00E2087D"/>
    <w:rsid w:val="00E222B8"/>
    <w:rsid w:val="00E230E3"/>
    <w:rsid w:val="00E25E6A"/>
    <w:rsid w:val="00E30A09"/>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8370B"/>
    <w:rsid w:val="00E83EC9"/>
    <w:rsid w:val="00E87184"/>
    <w:rsid w:val="00E87533"/>
    <w:rsid w:val="00E94089"/>
    <w:rsid w:val="00E944D7"/>
    <w:rsid w:val="00E94998"/>
    <w:rsid w:val="00EA5E30"/>
    <w:rsid w:val="00EA7391"/>
    <w:rsid w:val="00EC014D"/>
    <w:rsid w:val="00EC02F1"/>
    <w:rsid w:val="00EE47B0"/>
    <w:rsid w:val="00EE7555"/>
    <w:rsid w:val="00EE78E5"/>
    <w:rsid w:val="00EF05B9"/>
    <w:rsid w:val="00EF59C3"/>
    <w:rsid w:val="00EF749C"/>
    <w:rsid w:val="00F0222D"/>
    <w:rsid w:val="00F036AB"/>
    <w:rsid w:val="00F051D9"/>
    <w:rsid w:val="00F07784"/>
    <w:rsid w:val="00F137E6"/>
    <w:rsid w:val="00F13D15"/>
    <w:rsid w:val="00F14617"/>
    <w:rsid w:val="00F14661"/>
    <w:rsid w:val="00F14AB6"/>
    <w:rsid w:val="00F22426"/>
    <w:rsid w:val="00F2698F"/>
    <w:rsid w:val="00F27FE7"/>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A0050"/>
    <w:rsid w:val="00FA0D01"/>
    <w:rsid w:val="00FC29B1"/>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C55"/>
    <w:rsid w:val="00FF269E"/>
    <w:rsid w:val="00FF3251"/>
    <w:rsid w:val="00FF3578"/>
    <w:rsid w:val="00FF4B1C"/>
    <w:rsid w:val="034215CC"/>
    <w:rsid w:val="034D1875"/>
    <w:rsid w:val="03A810DA"/>
    <w:rsid w:val="04793982"/>
    <w:rsid w:val="0914216F"/>
    <w:rsid w:val="09263EDE"/>
    <w:rsid w:val="099F699F"/>
    <w:rsid w:val="0BB90B94"/>
    <w:rsid w:val="0BF558B0"/>
    <w:rsid w:val="0C6F4F00"/>
    <w:rsid w:val="0CBA42B6"/>
    <w:rsid w:val="0CD07931"/>
    <w:rsid w:val="0E220EFD"/>
    <w:rsid w:val="0E300DF1"/>
    <w:rsid w:val="106000A3"/>
    <w:rsid w:val="106D2E5F"/>
    <w:rsid w:val="10C92BDE"/>
    <w:rsid w:val="11E06D1D"/>
    <w:rsid w:val="14BD6DE9"/>
    <w:rsid w:val="151B0610"/>
    <w:rsid w:val="153967D9"/>
    <w:rsid w:val="15A51265"/>
    <w:rsid w:val="1602563E"/>
    <w:rsid w:val="172042BD"/>
    <w:rsid w:val="17DF730A"/>
    <w:rsid w:val="182037F9"/>
    <w:rsid w:val="1871150E"/>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F3F3674"/>
    <w:rsid w:val="2F6F6534"/>
    <w:rsid w:val="2FB62CD5"/>
    <w:rsid w:val="3166404B"/>
    <w:rsid w:val="316E4BCF"/>
    <w:rsid w:val="32FB3069"/>
    <w:rsid w:val="332831C8"/>
    <w:rsid w:val="359C2633"/>
    <w:rsid w:val="35C82541"/>
    <w:rsid w:val="360A4426"/>
    <w:rsid w:val="37623BD0"/>
    <w:rsid w:val="378A2746"/>
    <w:rsid w:val="382035D9"/>
    <w:rsid w:val="390E2AE7"/>
    <w:rsid w:val="39B12B9E"/>
    <w:rsid w:val="3A2A6D06"/>
    <w:rsid w:val="3AAD4D2B"/>
    <w:rsid w:val="3BA17D0E"/>
    <w:rsid w:val="3C7F4653"/>
    <w:rsid w:val="3D5C793D"/>
    <w:rsid w:val="3DFD6225"/>
    <w:rsid w:val="3E0B15BA"/>
    <w:rsid w:val="3EC639AA"/>
    <w:rsid w:val="3FE24704"/>
    <w:rsid w:val="40C10AD3"/>
    <w:rsid w:val="427631AB"/>
    <w:rsid w:val="43A8211E"/>
    <w:rsid w:val="4464587F"/>
    <w:rsid w:val="45455C37"/>
    <w:rsid w:val="47C07043"/>
    <w:rsid w:val="4B3A5EC6"/>
    <w:rsid w:val="4D722D5E"/>
    <w:rsid w:val="4DEE463E"/>
    <w:rsid w:val="50A4483B"/>
    <w:rsid w:val="50D54E3C"/>
    <w:rsid w:val="51AF26D5"/>
    <w:rsid w:val="532F052B"/>
    <w:rsid w:val="53CB1533"/>
    <w:rsid w:val="54A90501"/>
    <w:rsid w:val="552402CA"/>
    <w:rsid w:val="55434855"/>
    <w:rsid w:val="55882EFC"/>
    <w:rsid w:val="56490C7C"/>
    <w:rsid w:val="58343EAC"/>
    <w:rsid w:val="58F33E0F"/>
    <w:rsid w:val="597E6C17"/>
    <w:rsid w:val="5B920EBC"/>
    <w:rsid w:val="5BFA6CAE"/>
    <w:rsid w:val="5D0D24D3"/>
    <w:rsid w:val="5D2B5A03"/>
    <w:rsid w:val="5D654113"/>
    <w:rsid w:val="5D676170"/>
    <w:rsid w:val="5DB45A4D"/>
    <w:rsid w:val="5E2A7A6D"/>
    <w:rsid w:val="5E3D22F6"/>
    <w:rsid w:val="5E9E5CF6"/>
    <w:rsid w:val="5F5A3274"/>
    <w:rsid w:val="5F5C54EB"/>
    <w:rsid w:val="5FB62CE4"/>
    <w:rsid w:val="5FDC66AB"/>
    <w:rsid w:val="60886E86"/>
    <w:rsid w:val="61426FC7"/>
    <w:rsid w:val="635A6060"/>
    <w:rsid w:val="64440A64"/>
    <w:rsid w:val="659D1EC8"/>
    <w:rsid w:val="65C42961"/>
    <w:rsid w:val="66AD6F06"/>
    <w:rsid w:val="67F355EF"/>
    <w:rsid w:val="68727AEB"/>
    <w:rsid w:val="68CB2404"/>
    <w:rsid w:val="6AE57802"/>
    <w:rsid w:val="6B353E8E"/>
    <w:rsid w:val="6B7A4196"/>
    <w:rsid w:val="6BC94628"/>
    <w:rsid w:val="6D082DCE"/>
    <w:rsid w:val="6DD964A3"/>
    <w:rsid w:val="6F514B5B"/>
    <w:rsid w:val="6FE46FB1"/>
    <w:rsid w:val="70071414"/>
    <w:rsid w:val="712C720C"/>
    <w:rsid w:val="74605603"/>
    <w:rsid w:val="74EA6BF5"/>
    <w:rsid w:val="75903C84"/>
    <w:rsid w:val="766E0138"/>
    <w:rsid w:val="76DA4E14"/>
    <w:rsid w:val="78C05101"/>
    <w:rsid w:val="79273F04"/>
    <w:rsid w:val="7A0850E0"/>
    <w:rsid w:val="7BAB2825"/>
    <w:rsid w:val="7C4A2B81"/>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21"/>
    <w:pPr>
      <w:widowControl w:val="0"/>
      <w:jc w:val="both"/>
    </w:pPr>
    <w:rPr>
      <w:kern w:val="2"/>
      <w:sz w:val="21"/>
      <w:szCs w:val="22"/>
    </w:rPr>
  </w:style>
  <w:style w:type="paragraph" w:styleId="1">
    <w:name w:val="heading 1"/>
    <w:basedOn w:val="a"/>
    <w:next w:val="a"/>
    <w:link w:val="1Char"/>
    <w:uiPriority w:val="9"/>
    <w:qFormat/>
    <w:rsid w:val="00FD6021"/>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FD6021"/>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FD6021"/>
    <w:pPr>
      <w:keepNext/>
      <w:keepLines/>
      <w:spacing w:before="260" w:after="260" w:line="416" w:lineRule="auto"/>
      <w:outlineLvl w:val="2"/>
    </w:pPr>
    <w:rPr>
      <w:bCs/>
      <w:sz w:val="24"/>
      <w:szCs w:val="32"/>
    </w:rPr>
  </w:style>
  <w:style w:type="paragraph" w:styleId="4">
    <w:name w:val="heading 4"/>
    <w:basedOn w:val="a"/>
    <w:next w:val="a"/>
    <w:qFormat/>
    <w:rsid w:val="00FD602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D6021"/>
    <w:rPr>
      <w:rFonts w:ascii="宋体"/>
      <w:sz w:val="18"/>
      <w:szCs w:val="18"/>
    </w:rPr>
  </w:style>
  <w:style w:type="paragraph" w:styleId="a4">
    <w:name w:val="Body Text Indent"/>
    <w:basedOn w:val="a"/>
    <w:qFormat/>
    <w:rsid w:val="00FD6021"/>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FD6021"/>
    <w:pPr>
      <w:ind w:leftChars="400" w:left="840"/>
    </w:pPr>
  </w:style>
  <w:style w:type="paragraph" w:styleId="a5">
    <w:name w:val="Date"/>
    <w:basedOn w:val="a"/>
    <w:next w:val="a"/>
    <w:qFormat/>
    <w:rsid w:val="00FD6021"/>
    <w:pPr>
      <w:ind w:leftChars="2500" w:left="100"/>
    </w:pPr>
    <w:rPr>
      <w:rFonts w:ascii="宋体"/>
      <w:kern w:val="0"/>
      <w:sz w:val="20"/>
      <w:szCs w:val="20"/>
      <w:lang w:val="zh-CN"/>
    </w:rPr>
  </w:style>
  <w:style w:type="paragraph" w:styleId="20">
    <w:name w:val="Body Text Indent 2"/>
    <w:basedOn w:val="a"/>
    <w:qFormat/>
    <w:rsid w:val="00FD6021"/>
    <w:pPr>
      <w:tabs>
        <w:tab w:val="left" w:pos="2520"/>
      </w:tabs>
      <w:ind w:firstLine="435"/>
    </w:pPr>
    <w:rPr>
      <w:szCs w:val="24"/>
    </w:rPr>
  </w:style>
  <w:style w:type="paragraph" w:styleId="a6">
    <w:name w:val="Balloon Text"/>
    <w:basedOn w:val="a"/>
    <w:link w:val="Char0"/>
    <w:uiPriority w:val="99"/>
    <w:unhideWhenUsed/>
    <w:qFormat/>
    <w:rsid w:val="00FD6021"/>
    <w:rPr>
      <w:kern w:val="0"/>
      <w:sz w:val="18"/>
      <w:szCs w:val="18"/>
    </w:rPr>
  </w:style>
  <w:style w:type="paragraph" w:styleId="a7">
    <w:name w:val="footer"/>
    <w:basedOn w:val="a"/>
    <w:link w:val="Char1"/>
    <w:uiPriority w:val="99"/>
    <w:unhideWhenUsed/>
    <w:qFormat/>
    <w:rsid w:val="00FD6021"/>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FD602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FD6021"/>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FD6021"/>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rsid w:val="00FD6021"/>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FD6021"/>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FD6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uiPriority w:val="99"/>
    <w:qFormat/>
    <w:rsid w:val="00FD6021"/>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FD6021"/>
    <w:rPr>
      <w:b/>
      <w:bCs/>
    </w:rPr>
  </w:style>
  <w:style w:type="character" w:styleId="ac">
    <w:name w:val="page number"/>
    <w:basedOn w:val="a0"/>
    <w:qFormat/>
    <w:rsid w:val="00FD6021"/>
  </w:style>
  <w:style w:type="character" w:styleId="ad">
    <w:name w:val="FollowedHyperlink"/>
    <w:uiPriority w:val="99"/>
    <w:qFormat/>
    <w:rsid w:val="00FD6021"/>
    <w:rPr>
      <w:color w:val="800080"/>
      <w:u w:val="single"/>
    </w:rPr>
  </w:style>
  <w:style w:type="character" w:styleId="ae">
    <w:name w:val="Hyperlink"/>
    <w:uiPriority w:val="99"/>
    <w:qFormat/>
    <w:rsid w:val="00FD6021"/>
    <w:rPr>
      <w:color w:val="0000FF"/>
      <w:u w:val="single"/>
    </w:rPr>
  </w:style>
  <w:style w:type="table" w:styleId="af">
    <w:name w:val="Table Grid"/>
    <w:basedOn w:val="a1"/>
    <w:uiPriority w:val="59"/>
    <w:qFormat/>
    <w:rsid w:val="00FD60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1"/>
    <w:qFormat/>
    <w:rsid w:val="00FD60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qFormat/>
    <w:rsid w:val="00FD6021"/>
    <w:rPr>
      <w:rFonts w:eastAsia="宋体"/>
      <w:b/>
      <w:bCs/>
      <w:kern w:val="2"/>
      <w:sz w:val="32"/>
      <w:szCs w:val="32"/>
      <w:lang w:val="en-US" w:eastAsia="zh-CN" w:bidi="ar-SA"/>
    </w:rPr>
  </w:style>
  <w:style w:type="character" w:customStyle="1" w:styleId="Char2">
    <w:name w:val="页眉 Char"/>
    <w:link w:val="a8"/>
    <w:uiPriority w:val="99"/>
    <w:qFormat/>
    <w:rsid w:val="00FD6021"/>
    <w:rPr>
      <w:sz w:val="18"/>
      <w:szCs w:val="18"/>
    </w:rPr>
  </w:style>
  <w:style w:type="character" w:customStyle="1" w:styleId="showtext">
    <w:name w:val="showtext"/>
    <w:basedOn w:val="a0"/>
    <w:qFormat/>
    <w:rsid w:val="00FD6021"/>
  </w:style>
  <w:style w:type="character" w:customStyle="1" w:styleId="2Char1">
    <w:name w:val="标题 2 Char1"/>
    <w:link w:val="2"/>
    <w:uiPriority w:val="9"/>
    <w:qFormat/>
    <w:rsid w:val="00FD6021"/>
    <w:rPr>
      <w:rFonts w:ascii="Cambria" w:hAnsi="Cambria"/>
      <w:b/>
      <w:bCs/>
      <w:kern w:val="2"/>
      <w:sz w:val="28"/>
      <w:szCs w:val="32"/>
    </w:rPr>
  </w:style>
  <w:style w:type="character" w:customStyle="1" w:styleId="WebCharChar2">
    <w:name w:val="普通 (Web) Char Char2"/>
    <w:qFormat/>
    <w:locked/>
    <w:rsid w:val="00FD6021"/>
    <w:rPr>
      <w:rFonts w:ascii="宋体" w:eastAsia="宋体" w:hAnsi="宋体" w:cs="宋体"/>
      <w:sz w:val="24"/>
      <w:szCs w:val="24"/>
      <w:lang w:val="en-US" w:eastAsia="zh-CN" w:bidi="ar-SA"/>
    </w:rPr>
  </w:style>
  <w:style w:type="character" w:customStyle="1" w:styleId="apple-converted-space">
    <w:name w:val="apple-converted-space"/>
    <w:basedOn w:val="a0"/>
    <w:qFormat/>
    <w:rsid w:val="00FD6021"/>
  </w:style>
  <w:style w:type="character" w:customStyle="1" w:styleId="1Char">
    <w:name w:val="标题 1 Char"/>
    <w:link w:val="1"/>
    <w:uiPriority w:val="9"/>
    <w:qFormat/>
    <w:rsid w:val="00FD6021"/>
    <w:rPr>
      <w:rFonts w:eastAsia="黑体"/>
      <w:b/>
      <w:bCs/>
      <w:kern w:val="44"/>
      <w:sz w:val="32"/>
      <w:szCs w:val="44"/>
    </w:rPr>
  </w:style>
  <w:style w:type="character" w:customStyle="1" w:styleId="Char1">
    <w:name w:val="页脚 Char"/>
    <w:link w:val="a7"/>
    <w:uiPriority w:val="99"/>
    <w:qFormat/>
    <w:rsid w:val="00FD6021"/>
    <w:rPr>
      <w:sz w:val="18"/>
      <w:szCs w:val="18"/>
    </w:rPr>
  </w:style>
  <w:style w:type="character" w:customStyle="1" w:styleId="f21">
    <w:name w:val="f21"/>
    <w:qFormat/>
    <w:rsid w:val="00FD6021"/>
    <w:rPr>
      <w:rFonts w:ascii="宋体" w:eastAsia="宋体" w:hAnsi="宋体" w:hint="eastAsia"/>
      <w:sz w:val="21"/>
      <w:szCs w:val="21"/>
    </w:rPr>
  </w:style>
  <w:style w:type="character" w:customStyle="1" w:styleId="Char0">
    <w:name w:val="批注框文本 Char"/>
    <w:link w:val="a6"/>
    <w:uiPriority w:val="99"/>
    <w:semiHidden/>
    <w:qFormat/>
    <w:rsid w:val="00FD6021"/>
    <w:rPr>
      <w:sz w:val="18"/>
      <w:szCs w:val="18"/>
    </w:rPr>
  </w:style>
  <w:style w:type="character" w:customStyle="1" w:styleId="style11">
    <w:name w:val="style11"/>
    <w:qFormat/>
    <w:rsid w:val="00FD6021"/>
    <w:rPr>
      <w:color w:val="999999"/>
      <w:sz w:val="18"/>
      <w:szCs w:val="18"/>
    </w:rPr>
  </w:style>
  <w:style w:type="character" w:customStyle="1" w:styleId="Char3">
    <w:name w:val="副标题 Char"/>
    <w:link w:val="a9"/>
    <w:uiPriority w:val="11"/>
    <w:qFormat/>
    <w:rsid w:val="00FD6021"/>
    <w:rPr>
      <w:rFonts w:ascii="Cambria" w:hAnsi="Cambria" w:cs="Times New Roman"/>
      <w:b/>
      <w:bCs/>
      <w:kern w:val="28"/>
      <w:sz w:val="32"/>
      <w:szCs w:val="32"/>
    </w:rPr>
  </w:style>
  <w:style w:type="character" w:customStyle="1" w:styleId="2Char">
    <w:name w:val="标题 2 Char"/>
    <w:qFormat/>
    <w:rsid w:val="00FD6021"/>
    <w:rPr>
      <w:rFonts w:ascii="Arial" w:eastAsia="黑体" w:hAnsi="Arial"/>
      <w:b/>
      <w:bCs/>
      <w:kern w:val="2"/>
      <w:sz w:val="32"/>
      <w:szCs w:val="32"/>
      <w:lang w:val="en-US" w:eastAsia="zh-CN" w:bidi="ar-SA"/>
    </w:rPr>
  </w:style>
  <w:style w:type="character" w:customStyle="1" w:styleId="style171">
    <w:name w:val="style171"/>
    <w:qFormat/>
    <w:rsid w:val="00FD6021"/>
    <w:rPr>
      <w:sz w:val="21"/>
      <w:szCs w:val="21"/>
    </w:rPr>
  </w:style>
  <w:style w:type="character" w:customStyle="1" w:styleId="WebCharChar">
    <w:name w:val="普通 (Web) Char Char"/>
    <w:qFormat/>
    <w:locked/>
    <w:rsid w:val="00FD6021"/>
    <w:rPr>
      <w:rFonts w:ascii="宋体" w:eastAsia="宋体" w:hAnsi="宋体" w:cs="宋体"/>
      <w:sz w:val="24"/>
      <w:szCs w:val="24"/>
      <w:lang w:val="en-US" w:eastAsia="zh-CN" w:bidi="ar-SA"/>
    </w:rPr>
  </w:style>
  <w:style w:type="character" w:customStyle="1" w:styleId="style61">
    <w:name w:val="style61"/>
    <w:qFormat/>
    <w:rsid w:val="00FD6021"/>
    <w:rPr>
      <w:b/>
      <w:bCs/>
      <w:color w:val="3399FF"/>
      <w:sz w:val="24"/>
      <w:szCs w:val="24"/>
    </w:rPr>
  </w:style>
  <w:style w:type="character" w:customStyle="1" w:styleId="f41">
    <w:name w:val="f41"/>
    <w:qFormat/>
    <w:rsid w:val="00FD6021"/>
    <w:rPr>
      <w:rFonts w:ascii="宋体" w:eastAsia="宋体" w:hAnsi="宋体" w:hint="eastAsia"/>
      <w:sz w:val="18"/>
      <w:szCs w:val="18"/>
    </w:rPr>
  </w:style>
  <w:style w:type="character" w:customStyle="1" w:styleId="3Char1">
    <w:name w:val="标题 3 Char1"/>
    <w:qFormat/>
    <w:rsid w:val="00FD6021"/>
    <w:rPr>
      <w:rFonts w:eastAsia="宋体"/>
      <w:b/>
      <w:bCs/>
      <w:kern w:val="2"/>
      <w:sz w:val="32"/>
      <w:szCs w:val="32"/>
      <w:lang w:val="en-US" w:eastAsia="zh-CN" w:bidi="ar-SA"/>
    </w:rPr>
  </w:style>
  <w:style w:type="character" w:customStyle="1" w:styleId="style161">
    <w:name w:val="style161"/>
    <w:qFormat/>
    <w:rsid w:val="00FD6021"/>
    <w:rPr>
      <w:sz w:val="24"/>
      <w:szCs w:val="24"/>
    </w:rPr>
  </w:style>
  <w:style w:type="character" w:customStyle="1" w:styleId="f31">
    <w:name w:val="f31"/>
    <w:qFormat/>
    <w:rsid w:val="00FD6021"/>
    <w:rPr>
      <w:rFonts w:ascii="ˎ̥" w:hAnsi="ˎ̥" w:hint="default"/>
      <w:color w:val="999999"/>
      <w:sz w:val="16"/>
      <w:szCs w:val="16"/>
    </w:rPr>
  </w:style>
  <w:style w:type="paragraph" w:customStyle="1" w:styleId="xl91">
    <w:name w:val="xl9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FD6021"/>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FD6021"/>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FD6021"/>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FD6021"/>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FD6021"/>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FD6021"/>
    <w:pPr>
      <w:adjustRightInd w:val="0"/>
      <w:spacing w:line="360" w:lineRule="atLeast"/>
      <w:jc w:val="left"/>
      <w:textAlignment w:val="baseline"/>
    </w:pPr>
    <w:rPr>
      <w:kern w:val="0"/>
      <w:sz w:val="24"/>
      <w:szCs w:val="20"/>
    </w:rPr>
  </w:style>
  <w:style w:type="paragraph" w:customStyle="1" w:styleId="xl39">
    <w:name w:val="xl3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FD6021"/>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FD6021"/>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FD6021"/>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FD6021"/>
    <w:pPr>
      <w:widowControl/>
      <w:spacing w:before="100" w:beforeAutospacing="1" w:after="100" w:afterAutospacing="1"/>
      <w:jc w:val="left"/>
    </w:pPr>
    <w:rPr>
      <w:kern w:val="0"/>
      <w:sz w:val="20"/>
      <w:szCs w:val="20"/>
    </w:rPr>
  </w:style>
  <w:style w:type="paragraph" w:customStyle="1" w:styleId="xl110">
    <w:name w:val="xl110"/>
    <w:basedOn w:val="a"/>
    <w:qFormat/>
    <w:rsid w:val="00FD6021"/>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FD6021"/>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FD6021"/>
    <w:pPr>
      <w:widowControl/>
      <w:spacing w:line="330" w:lineRule="atLeast"/>
      <w:jc w:val="left"/>
    </w:pPr>
    <w:rPr>
      <w:rFonts w:ascii="宋体" w:hAnsi="宋体" w:cs="宋体"/>
      <w:kern w:val="0"/>
      <w:szCs w:val="21"/>
    </w:rPr>
  </w:style>
  <w:style w:type="paragraph" w:customStyle="1" w:styleId="f0">
    <w:name w:val="f0"/>
    <w:basedOn w:val="a"/>
    <w:qFormat/>
    <w:rsid w:val="00FD6021"/>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FD6021"/>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FD6021"/>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FD6021"/>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FD6021"/>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4">
    <w:name w:val="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FD602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FD6021"/>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FD6021"/>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FD6021"/>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FD6021"/>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FD6021"/>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FD6021"/>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FD6021"/>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FD6021"/>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FD6021"/>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FD6021"/>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FD6021"/>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FD6021"/>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FD6021"/>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FD6021"/>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FD6021"/>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FD6021"/>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FD6021"/>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FD6021"/>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FD6021"/>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FD6021"/>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FD6021"/>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FD6021"/>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FD6021"/>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FD6021"/>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FD6021"/>
    <w:pPr>
      <w:widowControl w:val="0"/>
      <w:autoSpaceDE w:val="0"/>
      <w:autoSpaceDN w:val="0"/>
      <w:adjustRightInd w:val="0"/>
    </w:pPr>
    <w:rPr>
      <w:rFonts w:ascii="微软雅黑" w:hAnsi="微软雅黑" w:cs="微软雅黑"/>
      <w:color w:val="000000"/>
      <w:sz w:val="24"/>
      <w:szCs w:val="24"/>
    </w:rPr>
  </w:style>
  <w:style w:type="character" w:customStyle="1" w:styleId="Char">
    <w:name w:val="文档结构图 Char"/>
    <w:basedOn w:val="a0"/>
    <w:link w:val="a3"/>
    <w:uiPriority w:val="99"/>
    <w:semiHidden/>
    <w:qFormat/>
    <w:rsid w:val="00FD6021"/>
    <w:rPr>
      <w:rFonts w:ascii="宋体"/>
      <w:kern w:val="2"/>
      <w:sz w:val="18"/>
      <w:szCs w:val="18"/>
    </w:rPr>
  </w:style>
  <w:style w:type="paragraph" w:styleId="af1">
    <w:name w:val="List Paragraph"/>
    <w:basedOn w:val="a"/>
    <w:uiPriority w:val="99"/>
    <w:qFormat/>
    <w:rsid w:val="00FD6021"/>
    <w:pPr>
      <w:ind w:firstLineChars="200" w:firstLine="420"/>
    </w:pPr>
  </w:style>
  <w:style w:type="character" w:customStyle="1" w:styleId="font41">
    <w:name w:val="font41"/>
    <w:basedOn w:val="a0"/>
    <w:qFormat/>
    <w:rsid w:val="00FD6021"/>
    <w:rPr>
      <w:rFonts w:ascii="MS Gothic" w:eastAsia="MS Gothic" w:hAnsi="MS Gothic" w:cs="MS Gothic"/>
      <w:color w:val="000000"/>
      <w:sz w:val="20"/>
      <w:szCs w:val="20"/>
      <w:u w:val="none"/>
    </w:rPr>
  </w:style>
  <w:style w:type="character" w:customStyle="1" w:styleId="font31">
    <w:name w:val="font31"/>
    <w:basedOn w:val="a0"/>
    <w:qFormat/>
    <w:rsid w:val="00FD6021"/>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423284">
      <w:bodyDiv w:val="1"/>
      <w:marLeft w:val="0"/>
      <w:marRight w:val="0"/>
      <w:marTop w:val="0"/>
      <w:marBottom w:val="0"/>
      <w:divBdr>
        <w:top w:val="none" w:sz="0" w:space="0" w:color="auto"/>
        <w:left w:val="none" w:sz="0" w:space="0" w:color="auto"/>
        <w:bottom w:val="none" w:sz="0" w:space="0" w:color="auto"/>
        <w:right w:val="none" w:sz="0" w:space="0" w:color="auto"/>
      </w:divBdr>
    </w:div>
    <w:div w:id="200439999">
      <w:bodyDiv w:val="1"/>
      <w:marLeft w:val="0"/>
      <w:marRight w:val="0"/>
      <w:marTop w:val="0"/>
      <w:marBottom w:val="0"/>
      <w:divBdr>
        <w:top w:val="none" w:sz="0" w:space="0" w:color="auto"/>
        <w:left w:val="none" w:sz="0" w:space="0" w:color="auto"/>
        <w:bottom w:val="none" w:sz="0" w:space="0" w:color="auto"/>
        <w:right w:val="none" w:sz="0" w:space="0" w:color="auto"/>
      </w:divBdr>
    </w:div>
    <w:div w:id="322660203">
      <w:bodyDiv w:val="1"/>
      <w:marLeft w:val="0"/>
      <w:marRight w:val="0"/>
      <w:marTop w:val="0"/>
      <w:marBottom w:val="0"/>
      <w:divBdr>
        <w:top w:val="none" w:sz="0" w:space="0" w:color="auto"/>
        <w:left w:val="none" w:sz="0" w:space="0" w:color="auto"/>
        <w:bottom w:val="none" w:sz="0" w:space="0" w:color="auto"/>
        <w:right w:val="none" w:sz="0" w:space="0" w:color="auto"/>
      </w:divBdr>
      <w:divsChild>
        <w:div w:id="1756516915">
          <w:marLeft w:val="0"/>
          <w:marRight w:val="0"/>
          <w:marTop w:val="0"/>
          <w:marBottom w:val="0"/>
          <w:divBdr>
            <w:top w:val="none" w:sz="0" w:space="0" w:color="auto"/>
            <w:left w:val="none" w:sz="0" w:space="0" w:color="auto"/>
            <w:bottom w:val="none" w:sz="0" w:space="0" w:color="auto"/>
            <w:right w:val="none" w:sz="0" w:space="0" w:color="auto"/>
          </w:divBdr>
        </w:div>
      </w:divsChild>
    </w:div>
    <w:div w:id="428235627">
      <w:bodyDiv w:val="1"/>
      <w:marLeft w:val="0"/>
      <w:marRight w:val="0"/>
      <w:marTop w:val="0"/>
      <w:marBottom w:val="0"/>
      <w:divBdr>
        <w:top w:val="none" w:sz="0" w:space="0" w:color="auto"/>
        <w:left w:val="none" w:sz="0" w:space="0" w:color="auto"/>
        <w:bottom w:val="none" w:sz="0" w:space="0" w:color="auto"/>
        <w:right w:val="none" w:sz="0" w:space="0" w:color="auto"/>
      </w:divBdr>
    </w:div>
    <w:div w:id="433668851">
      <w:bodyDiv w:val="1"/>
      <w:marLeft w:val="0"/>
      <w:marRight w:val="0"/>
      <w:marTop w:val="0"/>
      <w:marBottom w:val="0"/>
      <w:divBdr>
        <w:top w:val="none" w:sz="0" w:space="0" w:color="auto"/>
        <w:left w:val="none" w:sz="0" w:space="0" w:color="auto"/>
        <w:bottom w:val="none" w:sz="0" w:space="0" w:color="auto"/>
        <w:right w:val="none" w:sz="0" w:space="0" w:color="auto"/>
      </w:divBdr>
    </w:div>
    <w:div w:id="529879556">
      <w:bodyDiv w:val="1"/>
      <w:marLeft w:val="0"/>
      <w:marRight w:val="0"/>
      <w:marTop w:val="0"/>
      <w:marBottom w:val="0"/>
      <w:divBdr>
        <w:top w:val="none" w:sz="0" w:space="0" w:color="auto"/>
        <w:left w:val="none" w:sz="0" w:space="0" w:color="auto"/>
        <w:bottom w:val="none" w:sz="0" w:space="0" w:color="auto"/>
        <w:right w:val="none" w:sz="0" w:space="0" w:color="auto"/>
      </w:divBdr>
    </w:div>
    <w:div w:id="554463578">
      <w:bodyDiv w:val="1"/>
      <w:marLeft w:val="0"/>
      <w:marRight w:val="0"/>
      <w:marTop w:val="0"/>
      <w:marBottom w:val="0"/>
      <w:divBdr>
        <w:top w:val="none" w:sz="0" w:space="0" w:color="auto"/>
        <w:left w:val="none" w:sz="0" w:space="0" w:color="auto"/>
        <w:bottom w:val="none" w:sz="0" w:space="0" w:color="auto"/>
        <w:right w:val="none" w:sz="0" w:space="0" w:color="auto"/>
      </w:divBdr>
    </w:div>
    <w:div w:id="554850158">
      <w:bodyDiv w:val="1"/>
      <w:marLeft w:val="0"/>
      <w:marRight w:val="0"/>
      <w:marTop w:val="0"/>
      <w:marBottom w:val="0"/>
      <w:divBdr>
        <w:top w:val="none" w:sz="0" w:space="0" w:color="auto"/>
        <w:left w:val="none" w:sz="0" w:space="0" w:color="auto"/>
        <w:bottom w:val="none" w:sz="0" w:space="0" w:color="auto"/>
        <w:right w:val="none" w:sz="0" w:space="0" w:color="auto"/>
      </w:divBdr>
    </w:div>
    <w:div w:id="589582953">
      <w:bodyDiv w:val="1"/>
      <w:marLeft w:val="0"/>
      <w:marRight w:val="0"/>
      <w:marTop w:val="0"/>
      <w:marBottom w:val="0"/>
      <w:divBdr>
        <w:top w:val="none" w:sz="0" w:space="0" w:color="auto"/>
        <w:left w:val="none" w:sz="0" w:space="0" w:color="auto"/>
        <w:bottom w:val="none" w:sz="0" w:space="0" w:color="auto"/>
        <w:right w:val="none" w:sz="0" w:space="0" w:color="auto"/>
      </w:divBdr>
    </w:div>
    <w:div w:id="660080779">
      <w:bodyDiv w:val="1"/>
      <w:marLeft w:val="0"/>
      <w:marRight w:val="0"/>
      <w:marTop w:val="0"/>
      <w:marBottom w:val="0"/>
      <w:divBdr>
        <w:top w:val="none" w:sz="0" w:space="0" w:color="auto"/>
        <w:left w:val="none" w:sz="0" w:space="0" w:color="auto"/>
        <w:bottom w:val="none" w:sz="0" w:space="0" w:color="auto"/>
        <w:right w:val="none" w:sz="0" w:space="0" w:color="auto"/>
      </w:divBdr>
    </w:div>
    <w:div w:id="797378494">
      <w:bodyDiv w:val="1"/>
      <w:marLeft w:val="0"/>
      <w:marRight w:val="0"/>
      <w:marTop w:val="0"/>
      <w:marBottom w:val="0"/>
      <w:divBdr>
        <w:top w:val="none" w:sz="0" w:space="0" w:color="auto"/>
        <w:left w:val="none" w:sz="0" w:space="0" w:color="auto"/>
        <w:bottom w:val="none" w:sz="0" w:space="0" w:color="auto"/>
        <w:right w:val="none" w:sz="0" w:space="0" w:color="auto"/>
      </w:divBdr>
    </w:div>
    <w:div w:id="828250159">
      <w:bodyDiv w:val="1"/>
      <w:marLeft w:val="0"/>
      <w:marRight w:val="0"/>
      <w:marTop w:val="0"/>
      <w:marBottom w:val="0"/>
      <w:divBdr>
        <w:top w:val="none" w:sz="0" w:space="0" w:color="auto"/>
        <w:left w:val="none" w:sz="0" w:space="0" w:color="auto"/>
        <w:bottom w:val="none" w:sz="0" w:space="0" w:color="auto"/>
        <w:right w:val="none" w:sz="0" w:space="0" w:color="auto"/>
      </w:divBdr>
      <w:divsChild>
        <w:div w:id="86657611">
          <w:marLeft w:val="0"/>
          <w:marRight w:val="0"/>
          <w:marTop w:val="0"/>
          <w:marBottom w:val="0"/>
          <w:divBdr>
            <w:top w:val="none" w:sz="0" w:space="0" w:color="auto"/>
            <w:left w:val="none" w:sz="0" w:space="0" w:color="auto"/>
            <w:bottom w:val="none" w:sz="0" w:space="0" w:color="auto"/>
            <w:right w:val="none" w:sz="0" w:space="0" w:color="auto"/>
          </w:divBdr>
        </w:div>
      </w:divsChild>
    </w:div>
    <w:div w:id="912935972">
      <w:bodyDiv w:val="1"/>
      <w:marLeft w:val="0"/>
      <w:marRight w:val="0"/>
      <w:marTop w:val="0"/>
      <w:marBottom w:val="0"/>
      <w:divBdr>
        <w:top w:val="none" w:sz="0" w:space="0" w:color="auto"/>
        <w:left w:val="none" w:sz="0" w:space="0" w:color="auto"/>
        <w:bottom w:val="none" w:sz="0" w:space="0" w:color="auto"/>
        <w:right w:val="none" w:sz="0" w:space="0" w:color="auto"/>
      </w:divBdr>
    </w:div>
    <w:div w:id="1011025670">
      <w:bodyDiv w:val="1"/>
      <w:marLeft w:val="0"/>
      <w:marRight w:val="0"/>
      <w:marTop w:val="0"/>
      <w:marBottom w:val="0"/>
      <w:divBdr>
        <w:top w:val="none" w:sz="0" w:space="0" w:color="auto"/>
        <w:left w:val="none" w:sz="0" w:space="0" w:color="auto"/>
        <w:bottom w:val="none" w:sz="0" w:space="0" w:color="auto"/>
        <w:right w:val="none" w:sz="0" w:space="0" w:color="auto"/>
      </w:divBdr>
    </w:div>
    <w:div w:id="1014067656">
      <w:bodyDiv w:val="1"/>
      <w:marLeft w:val="0"/>
      <w:marRight w:val="0"/>
      <w:marTop w:val="0"/>
      <w:marBottom w:val="0"/>
      <w:divBdr>
        <w:top w:val="none" w:sz="0" w:space="0" w:color="auto"/>
        <w:left w:val="none" w:sz="0" w:space="0" w:color="auto"/>
        <w:bottom w:val="none" w:sz="0" w:space="0" w:color="auto"/>
        <w:right w:val="none" w:sz="0" w:space="0" w:color="auto"/>
      </w:divBdr>
    </w:div>
    <w:div w:id="1146316150">
      <w:bodyDiv w:val="1"/>
      <w:marLeft w:val="0"/>
      <w:marRight w:val="0"/>
      <w:marTop w:val="0"/>
      <w:marBottom w:val="0"/>
      <w:divBdr>
        <w:top w:val="none" w:sz="0" w:space="0" w:color="auto"/>
        <w:left w:val="none" w:sz="0" w:space="0" w:color="auto"/>
        <w:bottom w:val="none" w:sz="0" w:space="0" w:color="auto"/>
        <w:right w:val="none" w:sz="0" w:space="0" w:color="auto"/>
      </w:divBdr>
    </w:div>
    <w:div w:id="1291863677">
      <w:bodyDiv w:val="1"/>
      <w:marLeft w:val="0"/>
      <w:marRight w:val="0"/>
      <w:marTop w:val="0"/>
      <w:marBottom w:val="0"/>
      <w:divBdr>
        <w:top w:val="none" w:sz="0" w:space="0" w:color="auto"/>
        <w:left w:val="none" w:sz="0" w:space="0" w:color="auto"/>
        <w:bottom w:val="none" w:sz="0" w:space="0" w:color="auto"/>
        <w:right w:val="none" w:sz="0" w:space="0" w:color="auto"/>
      </w:divBdr>
    </w:div>
    <w:div w:id="1308587149">
      <w:bodyDiv w:val="1"/>
      <w:marLeft w:val="0"/>
      <w:marRight w:val="0"/>
      <w:marTop w:val="0"/>
      <w:marBottom w:val="0"/>
      <w:divBdr>
        <w:top w:val="none" w:sz="0" w:space="0" w:color="auto"/>
        <w:left w:val="none" w:sz="0" w:space="0" w:color="auto"/>
        <w:bottom w:val="none" w:sz="0" w:space="0" w:color="auto"/>
        <w:right w:val="none" w:sz="0" w:space="0" w:color="auto"/>
      </w:divBdr>
    </w:div>
    <w:div w:id="1396198952">
      <w:bodyDiv w:val="1"/>
      <w:marLeft w:val="0"/>
      <w:marRight w:val="0"/>
      <w:marTop w:val="0"/>
      <w:marBottom w:val="0"/>
      <w:divBdr>
        <w:top w:val="none" w:sz="0" w:space="0" w:color="auto"/>
        <w:left w:val="none" w:sz="0" w:space="0" w:color="auto"/>
        <w:bottom w:val="none" w:sz="0" w:space="0" w:color="auto"/>
        <w:right w:val="none" w:sz="0" w:space="0" w:color="auto"/>
      </w:divBdr>
    </w:div>
    <w:div w:id="1465348789">
      <w:bodyDiv w:val="1"/>
      <w:marLeft w:val="0"/>
      <w:marRight w:val="0"/>
      <w:marTop w:val="0"/>
      <w:marBottom w:val="0"/>
      <w:divBdr>
        <w:top w:val="none" w:sz="0" w:space="0" w:color="auto"/>
        <w:left w:val="none" w:sz="0" w:space="0" w:color="auto"/>
        <w:bottom w:val="none" w:sz="0" w:space="0" w:color="auto"/>
        <w:right w:val="none" w:sz="0" w:space="0" w:color="auto"/>
      </w:divBdr>
    </w:div>
    <w:div w:id="1809932077">
      <w:bodyDiv w:val="1"/>
      <w:marLeft w:val="0"/>
      <w:marRight w:val="0"/>
      <w:marTop w:val="0"/>
      <w:marBottom w:val="0"/>
      <w:divBdr>
        <w:top w:val="none" w:sz="0" w:space="0" w:color="auto"/>
        <w:left w:val="none" w:sz="0" w:space="0" w:color="auto"/>
        <w:bottom w:val="none" w:sz="0" w:space="0" w:color="auto"/>
        <w:right w:val="none" w:sz="0" w:space="0" w:color="auto"/>
      </w:divBdr>
    </w:div>
    <w:div w:id="213281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dministrator.USER-20170424GR\Desktop\&#26647;&#20029;\&#30707;&#27833;%20&#21407;&#27833;\&#30707;&#27833;\&#30707;&#27833;&#34920;&#26684;\29&#21608;&#20116;\&#28342;&#21058;&#27833;&#65288;&#30707;&#33041;&#27833;&#65289;&#21608;&#25253;2019-3-1%20-%2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6647;&#20029;\&#30707;&#27833;%20&#21407;&#27833;\&#30707;&#27833;\&#30707;&#27833;&#34920;&#26684;\&#22269;&#38469;&#21407;&#27833;&#20215;&#26684;&#21450;&#36208;&#21183;&#22270;2019.1.2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70424GR\Desktop\&#26647;&#20029;\&#30707;&#27833;%20&#21407;&#27833;\&#30707;&#27833;\&#30707;&#27833;&#34920;&#26684;\29&#21608;&#20116;\&#26368;&#26032;&#28342;&#21058;&#27833;&#21608;&#25253;&#65306;&#23665;&#19996;&#22320;&#28860;&#30707;&#33041;&#27833;&#20215;&#26684;&#36208;&#21183;&#22270;2019.1.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a:t>世界原油期货走势图</a:t>
            </a:r>
          </a:p>
        </c:rich>
      </c:tx>
      <c:layout>
        <c:manualLayout>
          <c:xMode val="edge"/>
          <c:yMode val="edge"/>
          <c:x val="0.35019019629588582"/>
          <c:y val="2.508843070365524E-2"/>
        </c:manualLayout>
      </c:layout>
    </c:title>
    <c:plotArea>
      <c:layout>
        <c:manualLayout>
          <c:layoutTarget val="inner"/>
          <c:xMode val="edge"/>
          <c:yMode val="edge"/>
          <c:x val="0.12058722413219475"/>
          <c:y val="0.10956281690946668"/>
          <c:w val="0.79055189529880254"/>
          <c:h val="0.76060367454068356"/>
        </c:manualLayout>
      </c:layout>
      <c:lineChart>
        <c:grouping val="standard"/>
        <c:ser>
          <c:idx val="0"/>
          <c:order val="0"/>
          <c:tx>
            <c:strRef>
              <c:f>'世界-走势图'!$B$1</c:f>
              <c:strCache>
                <c:ptCount val="1"/>
                <c:pt idx="0">
                  <c:v>WTI</c:v>
                </c:pt>
              </c:strCache>
            </c:strRef>
          </c:tx>
          <c:spPr>
            <a:ln w="25400" cap="rnd" cmpd="sng" algn="ctr">
              <a:solidFill>
                <a:srgbClr val="0000FF">
                  <a:alpha val="100000"/>
                </a:srgbClr>
              </a:solidFill>
              <a:prstDash val="solid"/>
              <a:round/>
            </a:ln>
          </c:spPr>
          <c:marker>
            <c:symbol val="none"/>
          </c:marker>
          <c:cat>
            <c:numRef>
              <c:f>'世界-走势图'!$A$2:$A$686</c:f>
              <c:numCache>
                <c:formatCode>yyyy/m/d;@</c:formatCode>
                <c:ptCount val="685"/>
                <c:pt idx="0">
                  <c:v>43530</c:v>
                </c:pt>
                <c:pt idx="1">
                  <c:v>43529</c:v>
                </c:pt>
                <c:pt idx="2">
                  <c:v>43528</c:v>
                </c:pt>
                <c:pt idx="3">
                  <c:v>43525</c:v>
                </c:pt>
                <c:pt idx="4">
                  <c:v>43524</c:v>
                </c:pt>
                <c:pt idx="5">
                  <c:v>43523</c:v>
                </c:pt>
                <c:pt idx="6">
                  <c:v>43522</c:v>
                </c:pt>
                <c:pt idx="7">
                  <c:v>43521</c:v>
                </c:pt>
                <c:pt idx="8">
                  <c:v>43518</c:v>
                </c:pt>
                <c:pt idx="9">
                  <c:v>43517</c:v>
                </c:pt>
                <c:pt idx="10">
                  <c:v>43516</c:v>
                </c:pt>
                <c:pt idx="11">
                  <c:v>43515</c:v>
                </c:pt>
                <c:pt idx="12">
                  <c:v>43514</c:v>
                </c:pt>
                <c:pt idx="13">
                  <c:v>43511</c:v>
                </c:pt>
                <c:pt idx="14">
                  <c:v>43510</c:v>
                </c:pt>
                <c:pt idx="15">
                  <c:v>43509</c:v>
                </c:pt>
                <c:pt idx="16">
                  <c:v>43508</c:v>
                </c:pt>
                <c:pt idx="17">
                  <c:v>43507</c:v>
                </c:pt>
                <c:pt idx="18">
                  <c:v>43504</c:v>
                </c:pt>
                <c:pt idx="19">
                  <c:v>43503</c:v>
                </c:pt>
                <c:pt idx="20">
                  <c:v>43502</c:v>
                </c:pt>
                <c:pt idx="21">
                  <c:v>43501</c:v>
                </c:pt>
                <c:pt idx="22">
                  <c:v>43500</c:v>
                </c:pt>
                <c:pt idx="23">
                  <c:v>43497</c:v>
                </c:pt>
                <c:pt idx="24">
                  <c:v>43496</c:v>
                </c:pt>
                <c:pt idx="25">
                  <c:v>43495</c:v>
                </c:pt>
                <c:pt idx="26">
                  <c:v>43494</c:v>
                </c:pt>
                <c:pt idx="27">
                  <c:v>43493</c:v>
                </c:pt>
                <c:pt idx="28">
                  <c:v>43490</c:v>
                </c:pt>
                <c:pt idx="29">
                  <c:v>43489</c:v>
                </c:pt>
                <c:pt idx="30">
                  <c:v>43488</c:v>
                </c:pt>
                <c:pt idx="31">
                  <c:v>43487</c:v>
                </c:pt>
                <c:pt idx="32">
                  <c:v>43486</c:v>
                </c:pt>
                <c:pt idx="33">
                  <c:v>43483</c:v>
                </c:pt>
                <c:pt idx="34">
                  <c:v>43482</c:v>
                </c:pt>
                <c:pt idx="35">
                  <c:v>43481</c:v>
                </c:pt>
                <c:pt idx="36">
                  <c:v>43480</c:v>
                </c:pt>
                <c:pt idx="37">
                  <c:v>43479</c:v>
                </c:pt>
                <c:pt idx="38">
                  <c:v>43476</c:v>
                </c:pt>
                <c:pt idx="39">
                  <c:v>43475</c:v>
                </c:pt>
                <c:pt idx="40">
                  <c:v>43474</c:v>
                </c:pt>
                <c:pt idx="41">
                  <c:v>43473</c:v>
                </c:pt>
                <c:pt idx="42">
                  <c:v>43472</c:v>
                </c:pt>
                <c:pt idx="43">
                  <c:v>43469</c:v>
                </c:pt>
                <c:pt idx="44">
                  <c:v>43468</c:v>
                </c:pt>
                <c:pt idx="45">
                  <c:v>43467</c:v>
                </c:pt>
                <c:pt idx="46">
                  <c:v>43466</c:v>
                </c:pt>
                <c:pt idx="47">
                  <c:v>43465</c:v>
                </c:pt>
                <c:pt idx="48">
                  <c:v>43462</c:v>
                </c:pt>
                <c:pt idx="49">
                  <c:v>43461</c:v>
                </c:pt>
                <c:pt idx="50">
                  <c:v>43460</c:v>
                </c:pt>
                <c:pt idx="51">
                  <c:v>43459</c:v>
                </c:pt>
                <c:pt idx="52">
                  <c:v>43458</c:v>
                </c:pt>
                <c:pt idx="53">
                  <c:v>43455</c:v>
                </c:pt>
                <c:pt idx="54">
                  <c:v>43454</c:v>
                </c:pt>
                <c:pt idx="55">
                  <c:v>43453</c:v>
                </c:pt>
                <c:pt idx="56">
                  <c:v>43452</c:v>
                </c:pt>
                <c:pt idx="57">
                  <c:v>43451</c:v>
                </c:pt>
                <c:pt idx="58">
                  <c:v>43448</c:v>
                </c:pt>
                <c:pt idx="59">
                  <c:v>43447</c:v>
                </c:pt>
                <c:pt idx="60">
                  <c:v>43446</c:v>
                </c:pt>
                <c:pt idx="61">
                  <c:v>43445</c:v>
                </c:pt>
                <c:pt idx="62">
                  <c:v>43444</c:v>
                </c:pt>
                <c:pt idx="63">
                  <c:v>43441</c:v>
                </c:pt>
                <c:pt idx="64">
                  <c:v>43440</c:v>
                </c:pt>
                <c:pt idx="65">
                  <c:v>43439</c:v>
                </c:pt>
                <c:pt idx="66">
                  <c:v>43438</c:v>
                </c:pt>
                <c:pt idx="67">
                  <c:v>43437</c:v>
                </c:pt>
                <c:pt idx="68">
                  <c:v>43434</c:v>
                </c:pt>
                <c:pt idx="69">
                  <c:v>43433</c:v>
                </c:pt>
                <c:pt idx="70">
                  <c:v>43432</c:v>
                </c:pt>
                <c:pt idx="71">
                  <c:v>43431</c:v>
                </c:pt>
                <c:pt idx="72">
                  <c:v>43430</c:v>
                </c:pt>
                <c:pt idx="73">
                  <c:v>43427</c:v>
                </c:pt>
                <c:pt idx="74">
                  <c:v>43426</c:v>
                </c:pt>
                <c:pt idx="75">
                  <c:v>43425</c:v>
                </c:pt>
                <c:pt idx="76">
                  <c:v>43424</c:v>
                </c:pt>
                <c:pt idx="77">
                  <c:v>43423</c:v>
                </c:pt>
                <c:pt idx="78">
                  <c:v>43420</c:v>
                </c:pt>
                <c:pt idx="79">
                  <c:v>43419</c:v>
                </c:pt>
                <c:pt idx="80">
                  <c:v>43418</c:v>
                </c:pt>
                <c:pt idx="81">
                  <c:v>43417</c:v>
                </c:pt>
                <c:pt idx="82">
                  <c:v>43416</c:v>
                </c:pt>
                <c:pt idx="83">
                  <c:v>43413</c:v>
                </c:pt>
                <c:pt idx="84">
                  <c:v>43412</c:v>
                </c:pt>
                <c:pt idx="85">
                  <c:v>43411</c:v>
                </c:pt>
                <c:pt idx="86">
                  <c:v>43410</c:v>
                </c:pt>
                <c:pt idx="87">
                  <c:v>43409</c:v>
                </c:pt>
                <c:pt idx="88">
                  <c:v>43406</c:v>
                </c:pt>
                <c:pt idx="89">
                  <c:v>43405</c:v>
                </c:pt>
                <c:pt idx="90">
                  <c:v>43404</c:v>
                </c:pt>
                <c:pt idx="91">
                  <c:v>43403</c:v>
                </c:pt>
                <c:pt idx="92">
                  <c:v>43402</c:v>
                </c:pt>
                <c:pt idx="93">
                  <c:v>43399</c:v>
                </c:pt>
                <c:pt idx="94">
                  <c:v>43398</c:v>
                </c:pt>
                <c:pt idx="95">
                  <c:v>43397</c:v>
                </c:pt>
                <c:pt idx="96">
                  <c:v>43396</c:v>
                </c:pt>
                <c:pt idx="97">
                  <c:v>43395</c:v>
                </c:pt>
                <c:pt idx="98">
                  <c:v>43392</c:v>
                </c:pt>
                <c:pt idx="99">
                  <c:v>43391</c:v>
                </c:pt>
                <c:pt idx="100">
                  <c:v>43390</c:v>
                </c:pt>
                <c:pt idx="101">
                  <c:v>43389</c:v>
                </c:pt>
                <c:pt idx="102">
                  <c:v>43388</c:v>
                </c:pt>
                <c:pt idx="103">
                  <c:v>43385</c:v>
                </c:pt>
                <c:pt idx="104">
                  <c:v>43384</c:v>
                </c:pt>
                <c:pt idx="105">
                  <c:v>43383</c:v>
                </c:pt>
                <c:pt idx="106">
                  <c:v>43382</c:v>
                </c:pt>
                <c:pt idx="107">
                  <c:v>43381</c:v>
                </c:pt>
                <c:pt idx="108">
                  <c:v>43378</c:v>
                </c:pt>
                <c:pt idx="109">
                  <c:v>43377</c:v>
                </c:pt>
                <c:pt idx="110">
                  <c:v>43376</c:v>
                </c:pt>
                <c:pt idx="111">
                  <c:v>43375</c:v>
                </c:pt>
                <c:pt idx="112">
                  <c:v>43374</c:v>
                </c:pt>
                <c:pt idx="113">
                  <c:v>43371</c:v>
                </c:pt>
                <c:pt idx="114">
                  <c:v>43370</c:v>
                </c:pt>
                <c:pt idx="115">
                  <c:v>43369</c:v>
                </c:pt>
                <c:pt idx="116">
                  <c:v>43368</c:v>
                </c:pt>
                <c:pt idx="117">
                  <c:v>43367</c:v>
                </c:pt>
                <c:pt idx="118">
                  <c:v>43364</c:v>
                </c:pt>
                <c:pt idx="119">
                  <c:v>43363</c:v>
                </c:pt>
                <c:pt idx="120">
                  <c:v>43362</c:v>
                </c:pt>
                <c:pt idx="121">
                  <c:v>43361</c:v>
                </c:pt>
                <c:pt idx="122">
                  <c:v>43360</c:v>
                </c:pt>
                <c:pt idx="123">
                  <c:v>43357</c:v>
                </c:pt>
                <c:pt idx="124">
                  <c:v>43356</c:v>
                </c:pt>
                <c:pt idx="125">
                  <c:v>43355</c:v>
                </c:pt>
                <c:pt idx="126">
                  <c:v>43354</c:v>
                </c:pt>
                <c:pt idx="127">
                  <c:v>43353</c:v>
                </c:pt>
                <c:pt idx="128">
                  <c:v>43350</c:v>
                </c:pt>
                <c:pt idx="129">
                  <c:v>43349</c:v>
                </c:pt>
                <c:pt idx="130">
                  <c:v>43348</c:v>
                </c:pt>
                <c:pt idx="131">
                  <c:v>43347</c:v>
                </c:pt>
                <c:pt idx="132">
                  <c:v>43346</c:v>
                </c:pt>
                <c:pt idx="133">
                  <c:v>43343</c:v>
                </c:pt>
                <c:pt idx="134">
                  <c:v>43342</c:v>
                </c:pt>
                <c:pt idx="135">
                  <c:v>43341</c:v>
                </c:pt>
                <c:pt idx="136">
                  <c:v>43340</c:v>
                </c:pt>
                <c:pt idx="137">
                  <c:v>43339</c:v>
                </c:pt>
                <c:pt idx="138">
                  <c:v>43336</c:v>
                </c:pt>
                <c:pt idx="139">
                  <c:v>43335</c:v>
                </c:pt>
                <c:pt idx="140">
                  <c:v>43334</c:v>
                </c:pt>
                <c:pt idx="141">
                  <c:v>43333</c:v>
                </c:pt>
                <c:pt idx="142">
                  <c:v>43332</c:v>
                </c:pt>
                <c:pt idx="143">
                  <c:v>43329</c:v>
                </c:pt>
                <c:pt idx="144">
                  <c:v>43328</c:v>
                </c:pt>
                <c:pt idx="145">
                  <c:v>43327</c:v>
                </c:pt>
                <c:pt idx="146">
                  <c:v>43326</c:v>
                </c:pt>
                <c:pt idx="147">
                  <c:v>43325</c:v>
                </c:pt>
                <c:pt idx="148">
                  <c:v>43322</c:v>
                </c:pt>
                <c:pt idx="149">
                  <c:v>43321</c:v>
                </c:pt>
                <c:pt idx="150">
                  <c:v>43320</c:v>
                </c:pt>
                <c:pt idx="151">
                  <c:v>43319</c:v>
                </c:pt>
                <c:pt idx="152">
                  <c:v>43318</c:v>
                </c:pt>
                <c:pt idx="153">
                  <c:v>43315</c:v>
                </c:pt>
                <c:pt idx="154">
                  <c:v>43314</c:v>
                </c:pt>
                <c:pt idx="155">
                  <c:v>43313</c:v>
                </c:pt>
                <c:pt idx="156">
                  <c:v>43312</c:v>
                </c:pt>
                <c:pt idx="157">
                  <c:v>43311</c:v>
                </c:pt>
                <c:pt idx="158">
                  <c:v>43308</c:v>
                </c:pt>
                <c:pt idx="159">
                  <c:v>43307</c:v>
                </c:pt>
                <c:pt idx="160">
                  <c:v>43306</c:v>
                </c:pt>
                <c:pt idx="161">
                  <c:v>43305</c:v>
                </c:pt>
                <c:pt idx="162">
                  <c:v>43304</c:v>
                </c:pt>
                <c:pt idx="163">
                  <c:v>43301</c:v>
                </c:pt>
                <c:pt idx="164">
                  <c:v>43300</c:v>
                </c:pt>
                <c:pt idx="165">
                  <c:v>43299</c:v>
                </c:pt>
                <c:pt idx="166">
                  <c:v>43298</c:v>
                </c:pt>
                <c:pt idx="167">
                  <c:v>43297</c:v>
                </c:pt>
                <c:pt idx="168">
                  <c:v>43294</c:v>
                </c:pt>
                <c:pt idx="169">
                  <c:v>43293</c:v>
                </c:pt>
                <c:pt idx="170">
                  <c:v>43292</c:v>
                </c:pt>
                <c:pt idx="171">
                  <c:v>43291</c:v>
                </c:pt>
                <c:pt idx="172">
                  <c:v>43290</c:v>
                </c:pt>
                <c:pt idx="173">
                  <c:v>43287</c:v>
                </c:pt>
                <c:pt idx="174">
                  <c:v>43286</c:v>
                </c:pt>
                <c:pt idx="175">
                  <c:v>43285</c:v>
                </c:pt>
                <c:pt idx="176">
                  <c:v>43284</c:v>
                </c:pt>
                <c:pt idx="177">
                  <c:v>43283</c:v>
                </c:pt>
                <c:pt idx="178">
                  <c:v>43280</c:v>
                </c:pt>
                <c:pt idx="179">
                  <c:v>43279</c:v>
                </c:pt>
                <c:pt idx="180">
                  <c:v>43278</c:v>
                </c:pt>
                <c:pt idx="181">
                  <c:v>43277</c:v>
                </c:pt>
                <c:pt idx="182">
                  <c:v>43276</c:v>
                </c:pt>
                <c:pt idx="183">
                  <c:v>43273</c:v>
                </c:pt>
                <c:pt idx="184">
                  <c:v>43272</c:v>
                </c:pt>
                <c:pt idx="185">
                  <c:v>43271</c:v>
                </c:pt>
                <c:pt idx="186">
                  <c:v>43270</c:v>
                </c:pt>
                <c:pt idx="187">
                  <c:v>43269</c:v>
                </c:pt>
                <c:pt idx="188">
                  <c:v>43266</c:v>
                </c:pt>
                <c:pt idx="189">
                  <c:v>43265</c:v>
                </c:pt>
                <c:pt idx="190">
                  <c:v>43264</c:v>
                </c:pt>
                <c:pt idx="191">
                  <c:v>43263</c:v>
                </c:pt>
                <c:pt idx="192">
                  <c:v>43262</c:v>
                </c:pt>
                <c:pt idx="193">
                  <c:v>43259</c:v>
                </c:pt>
                <c:pt idx="194">
                  <c:v>43258</c:v>
                </c:pt>
                <c:pt idx="195">
                  <c:v>43257</c:v>
                </c:pt>
                <c:pt idx="196">
                  <c:v>43256</c:v>
                </c:pt>
                <c:pt idx="197">
                  <c:v>43255</c:v>
                </c:pt>
                <c:pt idx="198">
                  <c:v>43252</c:v>
                </c:pt>
                <c:pt idx="199">
                  <c:v>43251</c:v>
                </c:pt>
                <c:pt idx="200">
                  <c:v>43250</c:v>
                </c:pt>
                <c:pt idx="201">
                  <c:v>43249</c:v>
                </c:pt>
                <c:pt idx="202">
                  <c:v>43248</c:v>
                </c:pt>
                <c:pt idx="203">
                  <c:v>43245</c:v>
                </c:pt>
                <c:pt idx="204">
                  <c:v>43244</c:v>
                </c:pt>
                <c:pt idx="205">
                  <c:v>43243</c:v>
                </c:pt>
                <c:pt idx="206">
                  <c:v>43242</c:v>
                </c:pt>
                <c:pt idx="207">
                  <c:v>43241</c:v>
                </c:pt>
                <c:pt idx="208">
                  <c:v>43238</c:v>
                </c:pt>
                <c:pt idx="209">
                  <c:v>43237</c:v>
                </c:pt>
                <c:pt idx="210">
                  <c:v>43236</c:v>
                </c:pt>
                <c:pt idx="211">
                  <c:v>43235</c:v>
                </c:pt>
                <c:pt idx="212">
                  <c:v>43234</c:v>
                </c:pt>
                <c:pt idx="213">
                  <c:v>43231</c:v>
                </c:pt>
                <c:pt idx="214">
                  <c:v>43230</c:v>
                </c:pt>
                <c:pt idx="215">
                  <c:v>43229</c:v>
                </c:pt>
                <c:pt idx="216">
                  <c:v>43228</c:v>
                </c:pt>
                <c:pt idx="217">
                  <c:v>43227</c:v>
                </c:pt>
                <c:pt idx="218">
                  <c:v>43224</c:v>
                </c:pt>
                <c:pt idx="219">
                  <c:v>43223</c:v>
                </c:pt>
                <c:pt idx="220">
                  <c:v>43222</c:v>
                </c:pt>
                <c:pt idx="221">
                  <c:v>43221</c:v>
                </c:pt>
                <c:pt idx="222">
                  <c:v>43220</c:v>
                </c:pt>
                <c:pt idx="223">
                  <c:v>43217</c:v>
                </c:pt>
                <c:pt idx="224">
                  <c:v>43216</c:v>
                </c:pt>
                <c:pt idx="225">
                  <c:v>43215</c:v>
                </c:pt>
                <c:pt idx="226">
                  <c:v>43214</c:v>
                </c:pt>
                <c:pt idx="227">
                  <c:v>43213</c:v>
                </c:pt>
                <c:pt idx="228">
                  <c:v>43210</c:v>
                </c:pt>
                <c:pt idx="229">
                  <c:v>43209</c:v>
                </c:pt>
                <c:pt idx="230">
                  <c:v>43208</c:v>
                </c:pt>
                <c:pt idx="231">
                  <c:v>43207</c:v>
                </c:pt>
                <c:pt idx="232">
                  <c:v>43206</c:v>
                </c:pt>
                <c:pt idx="233">
                  <c:v>43203</c:v>
                </c:pt>
                <c:pt idx="234">
                  <c:v>43202</c:v>
                </c:pt>
                <c:pt idx="235">
                  <c:v>43201</c:v>
                </c:pt>
                <c:pt idx="236">
                  <c:v>43200</c:v>
                </c:pt>
                <c:pt idx="237">
                  <c:v>43199</c:v>
                </c:pt>
                <c:pt idx="238">
                  <c:v>43196</c:v>
                </c:pt>
                <c:pt idx="239">
                  <c:v>43195</c:v>
                </c:pt>
                <c:pt idx="240">
                  <c:v>43194</c:v>
                </c:pt>
                <c:pt idx="241">
                  <c:v>43193</c:v>
                </c:pt>
                <c:pt idx="242">
                  <c:v>43192</c:v>
                </c:pt>
                <c:pt idx="243">
                  <c:v>43189</c:v>
                </c:pt>
                <c:pt idx="244">
                  <c:v>43188</c:v>
                </c:pt>
                <c:pt idx="245">
                  <c:v>43187</c:v>
                </c:pt>
                <c:pt idx="246">
                  <c:v>43186</c:v>
                </c:pt>
                <c:pt idx="247">
                  <c:v>43185</c:v>
                </c:pt>
                <c:pt idx="248">
                  <c:v>43182</c:v>
                </c:pt>
                <c:pt idx="249">
                  <c:v>43181</c:v>
                </c:pt>
                <c:pt idx="250">
                  <c:v>43180</c:v>
                </c:pt>
                <c:pt idx="251">
                  <c:v>43179</c:v>
                </c:pt>
                <c:pt idx="252">
                  <c:v>43178</c:v>
                </c:pt>
                <c:pt idx="253">
                  <c:v>43175</c:v>
                </c:pt>
                <c:pt idx="254">
                  <c:v>43174</c:v>
                </c:pt>
                <c:pt idx="255">
                  <c:v>43173</c:v>
                </c:pt>
                <c:pt idx="256">
                  <c:v>43172</c:v>
                </c:pt>
                <c:pt idx="257">
                  <c:v>43171</c:v>
                </c:pt>
                <c:pt idx="258">
                  <c:v>43168</c:v>
                </c:pt>
                <c:pt idx="259">
                  <c:v>43167</c:v>
                </c:pt>
                <c:pt idx="260">
                  <c:v>43166</c:v>
                </c:pt>
                <c:pt idx="261">
                  <c:v>43165</c:v>
                </c:pt>
                <c:pt idx="262">
                  <c:v>43164</c:v>
                </c:pt>
                <c:pt idx="263">
                  <c:v>43161</c:v>
                </c:pt>
                <c:pt idx="264">
                  <c:v>43160</c:v>
                </c:pt>
                <c:pt idx="265">
                  <c:v>43159</c:v>
                </c:pt>
                <c:pt idx="266">
                  <c:v>43158</c:v>
                </c:pt>
                <c:pt idx="267">
                  <c:v>43157</c:v>
                </c:pt>
                <c:pt idx="268">
                  <c:v>43154</c:v>
                </c:pt>
                <c:pt idx="269">
                  <c:v>43153</c:v>
                </c:pt>
                <c:pt idx="270">
                  <c:v>43152</c:v>
                </c:pt>
                <c:pt idx="271">
                  <c:v>43143</c:v>
                </c:pt>
                <c:pt idx="272">
                  <c:v>43140</c:v>
                </c:pt>
                <c:pt idx="273">
                  <c:v>43139</c:v>
                </c:pt>
                <c:pt idx="274">
                  <c:v>43138</c:v>
                </c:pt>
                <c:pt idx="275">
                  <c:v>43137</c:v>
                </c:pt>
                <c:pt idx="276">
                  <c:v>43136</c:v>
                </c:pt>
                <c:pt idx="277">
                  <c:v>43133</c:v>
                </c:pt>
                <c:pt idx="278">
                  <c:v>43132</c:v>
                </c:pt>
                <c:pt idx="279">
                  <c:v>43131</c:v>
                </c:pt>
                <c:pt idx="280">
                  <c:v>43130</c:v>
                </c:pt>
                <c:pt idx="281">
                  <c:v>43129</c:v>
                </c:pt>
                <c:pt idx="282">
                  <c:v>43126</c:v>
                </c:pt>
                <c:pt idx="283">
                  <c:v>43125</c:v>
                </c:pt>
                <c:pt idx="284">
                  <c:v>43124</c:v>
                </c:pt>
                <c:pt idx="285">
                  <c:v>43123</c:v>
                </c:pt>
                <c:pt idx="286">
                  <c:v>43122</c:v>
                </c:pt>
                <c:pt idx="287">
                  <c:v>43119</c:v>
                </c:pt>
                <c:pt idx="288">
                  <c:v>43118</c:v>
                </c:pt>
                <c:pt idx="289">
                  <c:v>43117</c:v>
                </c:pt>
                <c:pt idx="290">
                  <c:v>43116</c:v>
                </c:pt>
                <c:pt idx="291">
                  <c:v>43115</c:v>
                </c:pt>
                <c:pt idx="292">
                  <c:v>43112</c:v>
                </c:pt>
                <c:pt idx="293">
                  <c:v>43111</c:v>
                </c:pt>
                <c:pt idx="294">
                  <c:v>43110</c:v>
                </c:pt>
                <c:pt idx="295">
                  <c:v>43109</c:v>
                </c:pt>
                <c:pt idx="296">
                  <c:v>43108</c:v>
                </c:pt>
                <c:pt idx="297">
                  <c:v>43105</c:v>
                </c:pt>
                <c:pt idx="298">
                  <c:v>43104</c:v>
                </c:pt>
                <c:pt idx="299">
                  <c:v>43103</c:v>
                </c:pt>
                <c:pt idx="300">
                  <c:v>43102</c:v>
                </c:pt>
                <c:pt idx="301">
                  <c:v>43101</c:v>
                </c:pt>
                <c:pt idx="302">
                  <c:v>43098</c:v>
                </c:pt>
                <c:pt idx="303">
                  <c:v>43097</c:v>
                </c:pt>
                <c:pt idx="304">
                  <c:v>43096</c:v>
                </c:pt>
                <c:pt idx="305">
                  <c:v>43095</c:v>
                </c:pt>
                <c:pt idx="306">
                  <c:v>43094</c:v>
                </c:pt>
                <c:pt idx="307">
                  <c:v>43091</c:v>
                </c:pt>
                <c:pt idx="308">
                  <c:v>43090</c:v>
                </c:pt>
                <c:pt idx="309">
                  <c:v>43089</c:v>
                </c:pt>
                <c:pt idx="310">
                  <c:v>43088</c:v>
                </c:pt>
                <c:pt idx="311">
                  <c:v>43087</c:v>
                </c:pt>
                <c:pt idx="312">
                  <c:v>43084</c:v>
                </c:pt>
                <c:pt idx="313">
                  <c:v>43083</c:v>
                </c:pt>
                <c:pt idx="314">
                  <c:v>43082</c:v>
                </c:pt>
                <c:pt idx="315">
                  <c:v>43081</c:v>
                </c:pt>
                <c:pt idx="316">
                  <c:v>43080</c:v>
                </c:pt>
                <c:pt idx="317">
                  <c:v>43077</c:v>
                </c:pt>
                <c:pt idx="318">
                  <c:v>43076</c:v>
                </c:pt>
                <c:pt idx="319">
                  <c:v>43075</c:v>
                </c:pt>
                <c:pt idx="320">
                  <c:v>43074</c:v>
                </c:pt>
                <c:pt idx="321">
                  <c:v>43073</c:v>
                </c:pt>
                <c:pt idx="322">
                  <c:v>43070</c:v>
                </c:pt>
                <c:pt idx="323">
                  <c:v>43069</c:v>
                </c:pt>
                <c:pt idx="324">
                  <c:v>43068</c:v>
                </c:pt>
                <c:pt idx="325">
                  <c:v>43067</c:v>
                </c:pt>
                <c:pt idx="326">
                  <c:v>43066</c:v>
                </c:pt>
                <c:pt idx="327">
                  <c:v>43063</c:v>
                </c:pt>
                <c:pt idx="328">
                  <c:v>43062</c:v>
                </c:pt>
                <c:pt idx="329">
                  <c:v>43061</c:v>
                </c:pt>
                <c:pt idx="330">
                  <c:v>43060</c:v>
                </c:pt>
                <c:pt idx="331">
                  <c:v>43059</c:v>
                </c:pt>
                <c:pt idx="332">
                  <c:v>43056</c:v>
                </c:pt>
                <c:pt idx="333">
                  <c:v>43055</c:v>
                </c:pt>
                <c:pt idx="334">
                  <c:v>43054</c:v>
                </c:pt>
                <c:pt idx="335">
                  <c:v>43053</c:v>
                </c:pt>
                <c:pt idx="336">
                  <c:v>43052</c:v>
                </c:pt>
                <c:pt idx="337">
                  <c:v>43049</c:v>
                </c:pt>
                <c:pt idx="338">
                  <c:v>43048</c:v>
                </c:pt>
                <c:pt idx="339">
                  <c:v>43047</c:v>
                </c:pt>
                <c:pt idx="340">
                  <c:v>43046</c:v>
                </c:pt>
                <c:pt idx="341">
                  <c:v>43045</c:v>
                </c:pt>
                <c:pt idx="342">
                  <c:v>43042</c:v>
                </c:pt>
                <c:pt idx="343">
                  <c:v>43041</c:v>
                </c:pt>
                <c:pt idx="344">
                  <c:v>43040</c:v>
                </c:pt>
                <c:pt idx="345">
                  <c:v>43039</c:v>
                </c:pt>
                <c:pt idx="346">
                  <c:v>43038</c:v>
                </c:pt>
                <c:pt idx="347">
                  <c:v>43035</c:v>
                </c:pt>
                <c:pt idx="348">
                  <c:v>43034</c:v>
                </c:pt>
                <c:pt idx="349">
                  <c:v>43033</c:v>
                </c:pt>
                <c:pt idx="350">
                  <c:v>43032</c:v>
                </c:pt>
                <c:pt idx="351">
                  <c:v>43031</c:v>
                </c:pt>
                <c:pt idx="352">
                  <c:v>43028</c:v>
                </c:pt>
                <c:pt idx="353">
                  <c:v>43027</c:v>
                </c:pt>
                <c:pt idx="354">
                  <c:v>43026</c:v>
                </c:pt>
                <c:pt idx="355">
                  <c:v>43025</c:v>
                </c:pt>
                <c:pt idx="356">
                  <c:v>43024</c:v>
                </c:pt>
                <c:pt idx="357">
                  <c:v>43021</c:v>
                </c:pt>
                <c:pt idx="358">
                  <c:v>43020</c:v>
                </c:pt>
                <c:pt idx="359">
                  <c:v>43019</c:v>
                </c:pt>
                <c:pt idx="360">
                  <c:v>43018</c:v>
                </c:pt>
                <c:pt idx="361">
                  <c:v>43017</c:v>
                </c:pt>
                <c:pt idx="362">
                  <c:v>43014</c:v>
                </c:pt>
                <c:pt idx="363">
                  <c:v>43007</c:v>
                </c:pt>
                <c:pt idx="364">
                  <c:v>43006</c:v>
                </c:pt>
                <c:pt idx="365">
                  <c:v>43005</c:v>
                </c:pt>
                <c:pt idx="366">
                  <c:v>43004</c:v>
                </c:pt>
                <c:pt idx="367">
                  <c:v>43003</c:v>
                </c:pt>
                <c:pt idx="368">
                  <c:v>43000</c:v>
                </c:pt>
                <c:pt idx="369">
                  <c:v>42999</c:v>
                </c:pt>
                <c:pt idx="370">
                  <c:v>42998</c:v>
                </c:pt>
                <c:pt idx="371">
                  <c:v>42997</c:v>
                </c:pt>
                <c:pt idx="372">
                  <c:v>42996</c:v>
                </c:pt>
                <c:pt idx="373">
                  <c:v>42993</c:v>
                </c:pt>
                <c:pt idx="374">
                  <c:v>42992</c:v>
                </c:pt>
                <c:pt idx="375">
                  <c:v>42991</c:v>
                </c:pt>
                <c:pt idx="376">
                  <c:v>42990</c:v>
                </c:pt>
                <c:pt idx="377">
                  <c:v>42989</c:v>
                </c:pt>
                <c:pt idx="378">
                  <c:v>42986</c:v>
                </c:pt>
                <c:pt idx="379">
                  <c:v>42985</c:v>
                </c:pt>
                <c:pt idx="380">
                  <c:v>42984</c:v>
                </c:pt>
                <c:pt idx="381">
                  <c:v>42983</c:v>
                </c:pt>
                <c:pt idx="382">
                  <c:v>42982</c:v>
                </c:pt>
                <c:pt idx="383">
                  <c:v>42979</c:v>
                </c:pt>
                <c:pt idx="384">
                  <c:v>42978</c:v>
                </c:pt>
                <c:pt idx="385">
                  <c:v>42977</c:v>
                </c:pt>
                <c:pt idx="386">
                  <c:v>42976</c:v>
                </c:pt>
                <c:pt idx="387">
                  <c:v>42975</c:v>
                </c:pt>
                <c:pt idx="388">
                  <c:v>42972</c:v>
                </c:pt>
                <c:pt idx="389">
                  <c:v>42971</c:v>
                </c:pt>
                <c:pt idx="390">
                  <c:v>42970</c:v>
                </c:pt>
                <c:pt idx="391">
                  <c:v>42969</c:v>
                </c:pt>
                <c:pt idx="392">
                  <c:v>42968</c:v>
                </c:pt>
                <c:pt idx="393">
                  <c:v>42965</c:v>
                </c:pt>
                <c:pt idx="394">
                  <c:v>42964</c:v>
                </c:pt>
                <c:pt idx="395">
                  <c:v>42963</c:v>
                </c:pt>
                <c:pt idx="396">
                  <c:v>42962</c:v>
                </c:pt>
                <c:pt idx="397">
                  <c:v>42961</c:v>
                </c:pt>
                <c:pt idx="398">
                  <c:v>42958</c:v>
                </c:pt>
                <c:pt idx="399">
                  <c:v>42957</c:v>
                </c:pt>
                <c:pt idx="400">
                  <c:v>42956</c:v>
                </c:pt>
                <c:pt idx="401">
                  <c:v>42955</c:v>
                </c:pt>
                <c:pt idx="402">
                  <c:v>42954</c:v>
                </c:pt>
                <c:pt idx="403">
                  <c:v>42951</c:v>
                </c:pt>
                <c:pt idx="404">
                  <c:v>42950</c:v>
                </c:pt>
                <c:pt idx="405">
                  <c:v>42949</c:v>
                </c:pt>
                <c:pt idx="406">
                  <c:v>42948</c:v>
                </c:pt>
                <c:pt idx="407">
                  <c:v>42947</c:v>
                </c:pt>
                <c:pt idx="408">
                  <c:v>42944</c:v>
                </c:pt>
                <c:pt idx="409">
                  <c:v>42943</c:v>
                </c:pt>
                <c:pt idx="410">
                  <c:v>42942</c:v>
                </c:pt>
                <c:pt idx="411">
                  <c:v>42941</c:v>
                </c:pt>
                <c:pt idx="412">
                  <c:v>42940</c:v>
                </c:pt>
                <c:pt idx="413">
                  <c:v>42937</c:v>
                </c:pt>
                <c:pt idx="414">
                  <c:v>42936</c:v>
                </c:pt>
                <c:pt idx="415">
                  <c:v>42935</c:v>
                </c:pt>
                <c:pt idx="416">
                  <c:v>42934</c:v>
                </c:pt>
                <c:pt idx="417">
                  <c:v>42933</c:v>
                </c:pt>
                <c:pt idx="418">
                  <c:v>42930</c:v>
                </c:pt>
                <c:pt idx="419">
                  <c:v>42929</c:v>
                </c:pt>
                <c:pt idx="420">
                  <c:v>42928</c:v>
                </c:pt>
                <c:pt idx="421">
                  <c:v>42927</c:v>
                </c:pt>
                <c:pt idx="422">
                  <c:v>42926</c:v>
                </c:pt>
                <c:pt idx="423">
                  <c:v>42923</c:v>
                </c:pt>
                <c:pt idx="424">
                  <c:v>42922</c:v>
                </c:pt>
                <c:pt idx="425">
                  <c:v>42921</c:v>
                </c:pt>
                <c:pt idx="426">
                  <c:v>42920</c:v>
                </c:pt>
                <c:pt idx="427">
                  <c:v>42919</c:v>
                </c:pt>
                <c:pt idx="428">
                  <c:v>42916</c:v>
                </c:pt>
                <c:pt idx="429">
                  <c:v>42915</c:v>
                </c:pt>
                <c:pt idx="430">
                  <c:v>42914</c:v>
                </c:pt>
                <c:pt idx="431">
                  <c:v>42913</c:v>
                </c:pt>
                <c:pt idx="432">
                  <c:v>42912</c:v>
                </c:pt>
                <c:pt idx="433">
                  <c:v>42909</c:v>
                </c:pt>
                <c:pt idx="434">
                  <c:v>42908</c:v>
                </c:pt>
                <c:pt idx="435">
                  <c:v>42907</c:v>
                </c:pt>
                <c:pt idx="436">
                  <c:v>42906</c:v>
                </c:pt>
                <c:pt idx="437">
                  <c:v>42905</c:v>
                </c:pt>
                <c:pt idx="438">
                  <c:v>42902</c:v>
                </c:pt>
                <c:pt idx="439">
                  <c:v>42901</c:v>
                </c:pt>
                <c:pt idx="440">
                  <c:v>42900</c:v>
                </c:pt>
                <c:pt idx="441">
                  <c:v>42899</c:v>
                </c:pt>
                <c:pt idx="442">
                  <c:v>42898</c:v>
                </c:pt>
                <c:pt idx="443">
                  <c:v>42895</c:v>
                </c:pt>
                <c:pt idx="444">
                  <c:v>42894</c:v>
                </c:pt>
                <c:pt idx="445">
                  <c:v>42893</c:v>
                </c:pt>
                <c:pt idx="446">
                  <c:v>42892</c:v>
                </c:pt>
                <c:pt idx="447">
                  <c:v>42891</c:v>
                </c:pt>
                <c:pt idx="448">
                  <c:v>42888</c:v>
                </c:pt>
                <c:pt idx="449">
                  <c:v>42887</c:v>
                </c:pt>
                <c:pt idx="450">
                  <c:v>42886</c:v>
                </c:pt>
                <c:pt idx="451">
                  <c:v>42885</c:v>
                </c:pt>
                <c:pt idx="452">
                  <c:v>42884</c:v>
                </c:pt>
                <c:pt idx="453">
                  <c:v>42881</c:v>
                </c:pt>
                <c:pt idx="454">
                  <c:v>42880</c:v>
                </c:pt>
                <c:pt idx="455">
                  <c:v>42879</c:v>
                </c:pt>
                <c:pt idx="456">
                  <c:v>42878</c:v>
                </c:pt>
                <c:pt idx="457">
                  <c:v>42877</c:v>
                </c:pt>
                <c:pt idx="458">
                  <c:v>42874</c:v>
                </c:pt>
                <c:pt idx="459">
                  <c:v>42873</c:v>
                </c:pt>
                <c:pt idx="460">
                  <c:v>42872</c:v>
                </c:pt>
                <c:pt idx="461">
                  <c:v>42871</c:v>
                </c:pt>
                <c:pt idx="462">
                  <c:v>42870</c:v>
                </c:pt>
                <c:pt idx="463">
                  <c:v>42867</c:v>
                </c:pt>
                <c:pt idx="464">
                  <c:v>42866</c:v>
                </c:pt>
                <c:pt idx="465">
                  <c:v>42865</c:v>
                </c:pt>
                <c:pt idx="466">
                  <c:v>42864</c:v>
                </c:pt>
                <c:pt idx="467">
                  <c:v>42863</c:v>
                </c:pt>
                <c:pt idx="468">
                  <c:v>42860</c:v>
                </c:pt>
                <c:pt idx="469">
                  <c:v>42859</c:v>
                </c:pt>
                <c:pt idx="470">
                  <c:v>42858</c:v>
                </c:pt>
                <c:pt idx="471">
                  <c:v>42857</c:v>
                </c:pt>
                <c:pt idx="472">
                  <c:v>42856</c:v>
                </c:pt>
                <c:pt idx="473">
                  <c:v>42853</c:v>
                </c:pt>
                <c:pt idx="474">
                  <c:v>42852</c:v>
                </c:pt>
                <c:pt idx="475">
                  <c:v>42851</c:v>
                </c:pt>
                <c:pt idx="476">
                  <c:v>42850</c:v>
                </c:pt>
                <c:pt idx="477">
                  <c:v>42849</c:v>
                </c:pt>
                <c:pt idx="478">
                  <c:v>42846</c:v>
                </c:pt>
                <c:pt idx="479">
                  <c:v>42845</c:v>
                </c:pt>
                <c:pt idx="480">
                  <c:v>42844</c:v>
                </c:pt>
                <c:pt idx="481">
                  <c:v>42843</c:v>
                </c:pt>
                <c:pt idx="482">
                  <c:v>42842</c:v>
                </c:pt>
                <c:pt idx="483">
                  <c:v>42838</c:v>
                </c:pt>
                <c:pt idx="484">
                  <c:v>42837</c:v>
                </c:pt>
                <c:pt idx="485">
                  <c:v>42836</c:v>
                </c:pt>
                <c:pt idx="486">
                  <c:v>42835</c:v>
                </c:pt>
                <c:pt idx="487">
                  <c:v>42832</c:v>
                </c:pt>
                <c:pt idx="488">
                  <c:v>42831</c:v>
                </c:pt>
                <c:pt idx="489">
                  <c:v>42830</c:v>
                </c:pt>
                <c:pt idx="490">
                  <c:v>42829</c:v>
                </c:pt>
                <c:pt idx="491">
                  <c:v>42828</c:v>
                </c:pt>
                <c:pt idx="492">
                  <c:v>42825</c:v>
                </c:pt>
                <c:pt idx="493">
                  <c:v>42824</c:v>
                </c:pt>
                <c:pt idx="494">
                  <c:v>42823</c:v>
                </c:pt>
                <c:pt idx="495">
                  <c:v>42822</c:v>
                </c:pt>
                <c:pt idx="496">
                  <c:v>42821</c:v>
                </c:pt>
                <c:pt idx="497">
                  <c:v>42818</c:v>
                </c:pt>
                <c:pt idx="498">
                  <c:v>42817</c:v>
                </c:pt>
                <c:pt idx="499">
                  <c:v>42816</c:v>
                </c:pt>
                <c:pt idx="500">
                  <c:v>42815</c:v>
                </c:pt>
                <c:pt idx="501">
                  <c:v>42814</c:v>
                </c:pt>
                <c:pt idx="502">
                  <c:v>42811</c:v>
                </c:pt>
                <c:pt idx="503">
                  <c:v>42810</c:v>
                </c:pt>
                <c:pt idx="504">
                  <c:v>42809</c:v>
                </c:pt>
                <c:pt idx="505">
                  <c:v>42808</c:v>
                </c:pt>
                <c:pt idx="506">
                  <c:v>42807</c:v>
                </c:pt>
                <c:pt idx="507">
                  <c:v>42804</c:v>
                </c:pt>
                <c:pt idx="508">
                  <c:v>42803</c:v>
                </c:pt>
                <c:pt idx="509">
                  <c:v>42802</c:v>
                </c:pt>
                <c:pt idx="510">
                  <c:v>42801</c:v>
                </c:pt>
                <c:pt idx="511">
                  <c:v>42800</c:v>
                </c:pt>
                <c:pt idx="512">
                  <c:v>42797</c:v>
                </c:pt>
                <c:pt idx="513">
                  <c:v>42796</c:v>
                </c:pt>
                <c:pt idx="514">
                  <c:v>42795</c:v>
                </c:pt>
                <c:pt idx="515">
                  <c:v>42794</c:v>
                </c:pt>
                <c:pt idx="516">
                  <c:v>42793</c:v>
                </c:pt>
                <c:pt idx="517">
                  <c:v>42790</c:v>
                </c:pt>
                <c:pt idx="518">
                  <c:v>42789</c:v>
                </c:pt>
                <c:pt idx="519">
                  <c:v>42788</c:v>
                </c:pt>
                <c:pt idx="520">
                  <c:v>42787</c:v>
                </c:pt>
                <c:pt idx="521">
                  <c:v>42786</c:v>
                </c:pt>
                <c:pt idx="522">
                  <c:v>42783</c:v>
                </c:pt>
                <c:pt idx="523">
                  <c:v>42782</c:v>
                </c:pt>
                <c:pt idx="524">
                  <c:v>42781</c:v>
                </c:pt>
                <c:pt idx="525">
                  <c:v>42780</c:v>
                </c:pt>
                <c:pt idx="526">
                  <c:v>42779</c:v>
                </c:pt>
                <c:pt idx="527">
                  <c:v>42776</c:v>
                </c:pt>
                <c:pt idx="528">
                  <c:v>42775</c:v>
                </c:pt>
                <c:pt idx="529">
                  <c:v>42774</c:v>
                </c:pt>
                <c:pt idx="530">
                  <c:v>42773</c:v>
                </c:pt>
                <c:pt idx="531">
                  <c:v>42772</c:v>
                </c:pt>
                <c:pt idx="532">
                  <c:v>42769</c:v>
                </c:pt>
                <c:pt idx="533">
                  <c:v>42768</c:v>
                </c:pt>
                <c:pt idx="534">
                  <c:v>42767</c:v>
                </c:pt>
                <c:pt idx="535">
                  <c:v>42766</c:v>
                </c:pt>
                <c:pt idx="536">
                  <c:v>42765</c:v>
                </c:pt>
                <c:pt idx="537">
                  <c:v>42762</c:v>
                </c:pt>
                <c:pt idx="538">
                  <c:v>42761</c:v>
                </c:pt>
                <c:pt idx="539">
                  <c:v>42760</c:v>
                </c:pt>
                <c:pt idx="540">
                  <c:v>42759</c:v>
                </c:pt>
                <c:pt idx="541">
                  <c:v>42758</c:v>
                </c:pt>
                <c:pt idx="542">
                  <c:v>42755</c:v>
                </c:pt>
                <c:pt idx="543">
                  <c:v>42754</c:v>
                </c:pt>
                <c:pt idx="544">
                  <c:v>42753</c:v>
                </c:pt>
                <c:pt idx="545">
                  <c:v>42752</c:v>
                </c:pt>
                <c:pt idx="546">
                  <c:v>42751</c:v>
                </c:pt>
                <c:pt idx="547">
                  <c:v>42748</c:v>
                </c:pt>
                <c:pt idx="548">
                  <c:v>42747</c:v>
                </c:pt>
                <c:pt idx="549">
                  <c:v>42746</c:v>
                </c:pt>
                <c:pt idx="550">
                  <c:v>42745</c:v>
                </c:pt>
                <c:pt idx="551">
                  <c:v>42744</c:v>
                </c:pt>
                <c:pt idx="552">
                  <c:v>42741</c:v>
                </c:pt>
                <c:pt idx="553">
                  <c:v>42740</c:v>
                </c:pt>
                <c:pt idx="554">
                  <c:v>42739</c:v>
                </c:pt>
                <c:pt idx="555">
                  <c:v>42738</c:v>
                </c:pt>
                <c:pt idx="556">
                  <c:v>42734</c:v>
                </c:pt>
                <c:pt idx="557">
                  <c:v>42733</c:v>
                </c:pt>
                <c:pt idx="558">
                  <c:v>42732</c:v>
                </c:pt>
                <c:pt idx="559">
                  <c:v>42731</c:v>
                </c:pt>
                <c:pt idx="560">
                  <c:v>42727</c:v>
                </c:pt>
                <c:pt idx="561">
                  <c:v>42726</c:v>
                </c:pt>
                <c:pt idx="562">
                  <c:v>42725</c:v>
                </c:pt>
                <c:pt idx="563">
                  <c:v>42724</c:v>
                </c:pt>
                <c:pt idx="564">
                  <c:v>42723</c:v>
                </c:pt>
                <c:pt idx="565">
                  <c:v>42720</c:v>
                </c:pt>
                <c:pt idx="566">
                  <c:v>42719</c:v>
                </c:pt>
                <c:pt idx="567">
                  <c:v>42718</c:v>
                </c:pt>
                <c:pt idx="568">
                  <c:v>42717</c:v>
                </c:pt>
                <c:pt idx="569">
                  <c:v>42716</c:v>
                </c:pt>
                <c:pt idx="570">
                  <c:v>42713</c:v>
                </c:pt>
                <c:pt idx="571">
                  <c:v>42712</c:v>
                </c:pt>
                <c:pt idx="572">
                  <c:v>42711</c:v>
                </c:pt>
                <c:pt idx="573">
                  <c:v>42710</c:v>
                </c:pt>
                <c:pt idx="574">
                  <c:v>42709</c:v>
                </c:pt>
                <c:pt idx="575">
                  <c:v>42706</c:v>
                </c:pt>
                <c:pt idx="576">
                  <c:v>42705</c:v>
                </c:pt>
                <c:pt idx="577">
                  <c:v>42704</c:v>
                </c:pt>
                <c:pt idx="578">
                  <c:v>42703</c:v>
                </c:pt>
                <c:pt idx="579">
                  <c:v>42702</c:v>
                </c:pt>
                <c:pt idx="580">
                  <c:v>42699</c:v>
                </c:pt>
                <c:pt idx="581">
                  <c:v>42698</c:v>
                </c:pt>
                <c:pt idx="582">
                  <c:v>42697</c:v>
                </c:pt>
                <c:pt idx="583">
                  <c:v>42696</c:v>
                </c:pt>
                <c:pt idx="584">
                  <c:v>42695</c:v>
                </c:pt>
                <c:pt idx="585">
                  <c:v>42692</c:v>
                </c:pt>
                <c:pt idx="586">
                  <c:v>42691</c:v>
                </c:pt>
                <c:pt idx="587">
                  <c:v>42690</c:v>
                </c:pt>
                <c:pt idx="588">
                  <c:v>42689</c:v>
                </c:pt>
                <c:pt idx="589">
                  <c:v>42688</c:v>
                </c:pt>
                <c:pt idx="590">
                  <c:v>42685</c:v>
                </c:pt>
                <c:pt idx="591">
                  <c:v>42684</c:v>
                </c:pt>
                <c:pt idx="592">
                  <c:v>42683</c:v>
                </c:pt>
                <c:pt idx="593">
                  <c:v>42682</c:v>
                </c:pt>
                <c:pt idx="594">
                  <c:v>42681</c:v>
                </c:pt>
                <c:pt idx="595">
                  <c:v>42678</c:v>
                </c:pt>
                <c:pt idx="596">
                  <c:v>42677</c:v>
                </c:pt>
                <c:pt idx="597">
                  <c:v>42676</c:v>
                </c:pt>
                <c:pt idx="598">
                  <c:v>42675</c:v>
                </c:pt>
                <c:pt idx="599">
                  <c:v>42674</c:v>
                </c:pt>
                <c:pt idx="600">
                  <c:v>42671</c:v>
                </c:pt>
                <c:pt idx="601">
                  <c:v>42670</c:v>
                </c:pt>
                <c:pt idx="602">
                  <c:v>42669</c:v>
                </c:pt>
                <c:pt idx="603">
                  <c:v>42668</c:v>
                </c:pt>
                <c:pt idx="604">
                  <c:v>42667</c:v>
                </c:pt>
                <c:pt idx="605">
                  <c:v>42664</c:v>
                </c:pt>
                <c:pt idx="606">
                  <c:v>42663</c:v>
                </c:pt>
                <c:pt idx="607">
                  <c:v>42662</c:v>
                </c:pt>
                <c:pt idx="608">
                  <c:v>42661</c:v>
                </c:pt>
                <c:pt idx="609">
                  <c:v>42660</c:v>
                </c:pt>
                <c:pt idx="610">
                  <c:v>42657</c:v>
                </c:pt>
                <c:pt idx="611">
                  <c:v>42656</c:v>
                </c:pt>
                <c:pt idx="612">
                  <c:v>42655</c:v>
                </c:pt>
                <c:pt idx="613">
                  <c:v>42654</c:v>
                </c:pt>
                <c:pt idx="614">
                  <c:v>42653</c:v>
                </c:pt>
                <c:pt idx="615">
                  <c:v>42650</c:v>
                </c:pt>
                <c:pt idx="616">
                  <c:v>42649</c:v>
                </c:pt>
                <c:pt idx="617">
                  <c:v>42648</c:v>
                </c:pt>
                <c:pt idx="618">
                  <c:v>42647</c:v>
                </c:pt>
                <c:pt idx="619">
                  <c:v>42646</c:v>
                </c:pt>
                <c:pt idx="620">
                  <c:v>42643</c:v>
                </c:pt>
                <c:pt idx="621">
                  <c:v>42642</c:v>
                </c:pt>
                <c:pt idx="622">
                  <c:v>42641</c:v>
                </c:pt>
                <c:pt idx="623">
                  <c:v>42640</c:v>
                </c:pt>
                <c:pt idx="624">
                  <c:v>42639</c:v>
                </c:pt>
                <c:pt idx="625">
                  <c:v>42636</c:v>
                </c:pt>
                <c:pt idx="626">
                  <c:v>42635</c:v>
                </c:pt>
                <c:pt idx="627">
                  <c:v>42634</c:v>
                </c:pt>
                <c:pt idx="628">
                  <c:v>42633</c:v>
                </c:pt>
                <c:pt idx="629">
                  <c:v>42632</c:v>
                </c:pt>
                <c:pt idx="630">
                  <c:v>42629</c:v>
                </c:pt>
                <c:pt idx="631">
                  <c:v>42628</c:v>
                </c:pt>
                <c:pt idx="632">
                  <c:v>42627</c:v>
                </c:pt>
                <c:pt idx="633">
                  <c:v>42626</c:v>
                </c:pt>
                <c:pt idx="634">
                  <c:v>42625</c:v>
                </c:pt>
                <c:pt idx="635">
                  <c:v>42622</c:v>
                </c:pt>
                <c:pt idx="636">
                  <c:v>42621</c:v>
                </c:pt>
                <c:pt idx="637">
                  <c:v>42620</c:v>
                </c:pt>
                <c:pt idx="638">
                  <c:v>42619</c:v>
                </c:pt>
                <c:pt idx="639">
                  <c:v>42618</c:v>
                </c:pt>
                <c:pt idx="640">
                  <c:v>42615</c:v>
                </c:pt>
                <c:pt idx="641">
                  <c:v>42614</c:v>
                </c:pt>
                <c:pt idx="642">
                  <c:v>42613</c:v>
                </c:pt>
                <c:pt idx="643">
                  <c:v>42612</c:v>
                </c:pt>
                <c:pt idx="644">
                  <c:v>42611</c:v>
                </c:pt>
                <c:pt idx="645">
                  <c:v>42608</c:v>
                </c:pt>
                <c:pt idx="646">
                  <c:v>42607</c:v>
                </c:pt>
                <c:pt idx="647">
                  <c:v>42606</c:v>
                </c:pt>
                <c:pt idx="648">
                  <c:v>42605</c:v>
                </c:pt>
                <c:pt idx="649">
                  <c:v>42604</c:v>
                </c:pt>
                <c:pt idx="650">
                  <c:v>42601</c:v>
                </c:pt>
                <c:pt idx="651">
                  <c:v>42600</c:v>
                </c:pt>
                <c:pt idx="652">
                  <c:v>42599</c:v>
                </c:pt>
                <c:pt idx="653">
                  <c:v>42598</c:v>
                </c:pt>
                <c:pt idx="654">
                  <c:v>42597</c:v>
                </c:pt>
                <c:pt idx="655">
                  <c:v>42594</c:v>
                </c:pt>
                <c:pt idx="656">
                  <c:v>42593</c:v>
                </c:pt>
                <c:pt idx="657">
                  <c:v>42592</c:v>
                </c:pt>
                <c:pt idx="658">
                  <c:v>42591</c:v>
                </c:pt>
                <c:pt idx="659">
                  <c:v>42590</c:v>
                </c:pt>
                <c:pt idx="660">
                  <c:v>42587</c:v>
                </c:pt>
                <c:pt idx="661">
                  <c:v>42586</c:v>
                </c:pt>
                <c:pt idx="662">
                  <c:v>42585</c:v>
                </c:pt>
                <c:pt idx="663">
                  <c:v>42584</c:v>
                </c:pt>
                <c:pt idx="664">
                  <c:v>42583</c:v>
                </c:pt>
                <c:pt idx="665">
                  <c:v>42580</c:v>
                </c:pt>
                <c:pt idx="666">
                  <c:v>42579</c:v>
                </c:pt>
                <c:pt idx="667">
                  <c:v>42578</c:v>
                </c:pt>
                <c:pt idx="668">
                  <c:v>42577</c:v>
                </c:pt>
                <c:pt idx="669">
                  <c:v>42576</c:v>
                </c:pt>
                <c:pt idx="670">
                  <c:v>42573</c:v>
                </c:pt>
                <c:pt idx="671">
                  <c:v>42572</c:v>
                </c:pt>
                <c:pt idx="672">
                  <c:v>42571</c:v>
                </c:pt>
                <c:pt idx="673">
                  <c:v>42570</c:v>
                </c:pt>
                <c:pt idx="674">
                  <c:v>42569</c:v>
                </c:pt>
                <c:pt idx="675">
                  <c:v>42566</c:v>
                </c:pt>
                <c:pt idx="676">
                  <c:v>42565</c:v>
                </c:pt>
                <c:pt idx="677">
                  <c:v>42564</c:v>
                </c:pt>
                <c:pt idx="678">
                  <c:v>42563</c:v>
                </c:pt>
                <c:pt idx="679">
                  <c:v>42562</c:v>
                </c:pt>
                <c:pt idx="680">
                  <c:v>42559</c:v>
                </c:pt>
                <c:pt idx="681">
                  <c:v>42558</c:v>
                </c:pt>
                <c:pt idx="682">
                  <c:v>42557</c:v>
                </c:pt>
                <c:pt idx="683">
                  <c:v>42556</c:v>
                </c:pt>
                <c:pt idx="684">
                  <c:v>42555</c:v>
                </c:pt>
              </c:numCache>
            </c:numRef>
          </c:cat>
          <c:val>
            <c:numRef>
              <c:f>'世界-走势图'!$B$2:$B$686</c:f>
              <c:numCache>
                <c:formatCode>General</c:formatCode>
                <c:ptCount val="685"/>
                <c:pt idx="0">
                  <c:v>56.220000000000013</c:v>
                </c:pt>
                <c:pt idx="1">
                  <c:v>56.56</c:v>
                </c:pt>
                <c:pt idx="2">
                  <c:v>56.59</c:v>
                </c:pt>
                <c:pt idx="3">
                  <c:v>55.8</c:v>
                </c:pt>
                <c:pt idx="4">
                  <c:v>57.220000000000013</c:v>
                </c:pt>
                <c:pt idx="5">
                  <c:v>56.94</c:v>
                </c:pt>
                <c:pt idx="6">
                  <c:v>55.5</c:v>
                </c:pt>
                <c:pt idx="7">
                  <c:v>55.48</c:v>
                </c:pt>
                <c:pt idx="8">
                  <c:v>57.260000000000012</c:v>
                </c:pt>
                <c:pt idx="9">
                  <c:v>56.96</c:v>
                </c:pt>
                <c:pt idx="10">
                  <c:v>56.92</c:v>
                </c:pt>
                <c:pt idx="11">
                  <c:v>56.09</c:v>
                </c:pt>
                <c:pt idx="13">
                  <c:v>55.59</c:v>
                </c:pt>
                <c:pt idx="14">
                  <c:v>54.41</c:v>
                </c:pt>
                <c:pt idx="15">
                  <c:v>53.9</c:v>
                </c:pt>
                <c:pt idx="16">
                  <c:v>53.1</c:v>
                </c:pt>
                <c:pt idx="17">
                  <c:v>52.41</c:v>
                </c:pt>
                <c:pt idx="18">
                  <c:v>52.720000000000013</c:v>
                </c:pt>
                <c:pt idx="19">
                  <c:v>52.64</c:v>
                </c:pt>
                <c:pt idx="20">
                  <c:v>54.01</c:v>
                </c:pt>
                <c:pt idx="21">
                  <c:v>53.660000000000011</c:v>
                </c:pt>
                <c:pt idx="22">
                  <c:v>54.56</c:v>
                </c:pt>
                <c:pt idx="23">
                  <c:v>55.260000000000012</c:v>
                </c:pt>
                <c:pt idx="24">
                  <c:v>53.790000000000013</c:v>
                </c:pt>
                <c:pt idx="25">
                  <c:v>54.230000000000011</c:v>
                </c:pt>
                <c:pt idx="26">
                  <c:v>53.31</c:v>
                </c:pt>
                <c:pt idx="27">
                  <c:v>51.99</c:v>
                </c:pt>
                <c:pt idx="28">
                  <c:v>53.690000000000012</c:v>
                </c:pt>
                <c:pt idx="29">
                  <c:v>53.13</c:v>
                </c:pt>
                <c:pt idx="30">
                  <c:v>52.620000000000012</c:v>
                </c:pt>
                <c:pt idx="31">
                  <c:v>52.57</c:v>
                </c:pt>
                <c:pt idx="33">
                  <c:v>53.8</c:v>
                </c:pt>
                <c:pt idx="34">
                  <c:v>52.07</c:v>
                </c:pt>
                <c:pt idx="35">
                  <c:v>52.31</c:v>
                </c:pt>
                <c:pt idx="36">
                  <c:v>52.11</c:v>
                </c:pt>
                <c:pt idx="37">
                  <c:v>50.51</c:v>
                </c:pt>
                <c:pt idx="38">
                  <c:v>51.59</c:v>
                </c:pt>
                <c:pt idx="39">
                  <c:v>52.59</c:v>
                </c:pt>
                <c:pt idx="40">
                  <c:v>52.36</c:v>
                </c:pt>
                <c:pt idx="41">
                  <c:v>49.78</c:v>
                </c:pt>
                <c:pt idx="42">
                  <c:v>48.52</c:v>
                </c:pt>
                <c:pt idx="43">
                  <c:v>47.96</c:v>
                </c:pt>
                <c:pt idx="44">
                  <c:v>47.09</c:v>
                </c:pt>
                <c:pt idx="45">
                  <c:v>46.54</c:v>
                </c:pt>
                <c:pt idx="48">
                  <c:v>45.33</c:v>
                </c:pt>
                <c:pt idx="49">
                  <c:v>44.61</c:v>
                </c:pt>
                <c:pt idx="50">
                  <c:v>46.220000000000013</c:v>
                </c:pt>
                <c:pt idx="52">
                  <c:v>42.53</c:v>
                </c:pt>
                <c:pt idx="53">
                  <c:v>45.59</c:v>
                </c:pt>
                <c:pt idx="54">
                  <c:v>45.88</c:v>
                </c:pt>
                <c:pt idx="55">
                  <c:v>47.2</c:v>
                </c:pt>
                <c:pt idx="56">
                  <c:v>46.24</c:v>
                </c:pt>
                <c:pt idx="57">
                  <c:v>49.88</c:v>
                </c:pt>
                <c:pt idx="58">
                  <c:v>51.2</c:v>
                </c:pt>
                <c:pt idx="59">
                  <c:v>52.58</c:v>
                </c:pt>
                <c:pt idx="60">
                  <c:v>51.15</c:v>
                </c:pt>
                <c:pt idx="61">
                  <c:v>51.65</c:v>
                </c:pt>
                <c:pt idx="62">
                  <c:v>51</c:v>
                </c:pt>
                <c:pt idx="63">
                  <c:v>52.61</c:v>
                </c:pt>
                <c:pt idx="64">
                  <c:v>51.49</c:v>
                </c:pt>
                <c:pt idx="65">
                  <c:v>52.89</c:v>
                </c:pt>
                <c:pt idx="66">
                  <c:v>53.25</c:v>
                </c:pt>
                <c:pt idx="67">
                  <c:v>52.95</c:v>
                </c:pt>
                <c:pt idx="68">
                  <c:v>50.93</c:v>
                </c:pt>
                <c:pt idx="69">
                  <c:v>51.45</c:v>
                </c:pt>
                <c:pt idx="70">
                  <c:v>50.290000000000013</c:v>
                </c:pt>
                <c:pt idx="71">
                  <c:v>51.56</c:v>
                </c:pt>
                <c:pt idx="72">
                  <c:v>51.63</c:v>
                </c:pt>
                <c:pt idx="73">
                  <c:v>50.42</c:v>
                </c:pt>
                <c:pt idx="75">
                  <c:v>54.63</c:v>
                </c:pt>
                <c:pt idx="76">
                  <c:v>53.43</c:v>
                </c:pt>
                <c:pt idx="77">
                  <c:v>56.760000000000012</c:v>
                </c:pt>
                <c:pt idx="78">
                  <c:v>56.46</c:v>
                </c:pt>
                <c:pt idx="79">
                  <c:v>56.46</c:v>
                </c:pt>
                <c:pt idx="80">
                  <c:v>56.25</c:v>
                </c:pt>
                <c:pt idx="81">
                  <c:v>55.690000000000012</c:v>
                </c:pt>
                <c:pt idx="82">
                  <c:v>59.93</c:v>
                </c:pt>
                <c:pt idx="83">
                  <c:v>60.190000000000012</c:v>
                </c:pt>
                <c:pt idx="84">
                  <c:v>60.67</c:v>
                </c:pt>
                <c:pt idx="85">
                  <c:v>61.67</c:v>
                </c:pt>
                <c:pt idx="86">
                  <c:v>62.21</c:v>
                </c:pt>
                <c:pt idx="87">
                  <c:v>63.1</c:v>
                </c:pt>
                <c:pt idx="88">
                  <c:v>63.14</c:v>
                </c:pt>
                <c:pt idx="89">
                  <c:v>63.690000000000012</c:v>
                </c:pt>
                <c:pt idx="90">
                  <c:v>65.31</c:v>
                </c:pt>
                <c:pt idx="91">
                  <c:v>66.179999999999978</c:v>
                </c:pt>
                <c:pt idx="92">
                  <c:v>67.040000000000006</c:v>
                </c:pt>
                <c:pt idx="93">
                  <c:v>67.59</c:v>
                </c:pt>
                <c:pt idx="94">
                  <c:v>67.33</c:v>
                </c:pt>
                <c:pt idx="95">
                  <c:v>66.819999999999993</c:v>
                </c:pt>
                <c:pt idx="96">
                  <c:v>66.430000000000007</c:v>
                </c:pt>
                <c:pt idx="97">
                  <c:v>69.169999999999987</c:v>
                </c:pt>
                <c:pt idx="98">
                  <c:v>69.11999999999999</c:v>
                </c:pt>
                <c:pt idx="99">
                  <c:v>68.649999999999991</c:v>
                </c:pt>
                <c:pt idx="100">
                  <c:v>69.75</c:v>
                </c:pt>
                <c:pt idx="101">
                  <c:v>71.92</c:v>
                </c:pt>
                <c:pt idx="102">
                  <c:v>71.78</c:v>
                </c:pt>
                <c:pt idx="103">
                  <c:v>71.34</c:v>
                </c:pt>
                <c:pt idx="104">
                  <c:v>70.97</c:v>
                </c:pt>
                <c:pt idx="105">
                  <c:v>73.169999999999987</c:v>
                </c:pt>
                <c:pt idx="106">
                  <c:v>74.959999999999994</c:v>
                </c:pt>
                <c:pt idx="107">
                  <c:v>74.290000000000006</c:v>
                </c:pt>
                <c:pt idx="108">
                  <c:v>74.34</c:v>
                </c:pt>
                <c:pt idx="109">
                  <c:v>74.33</c:v>
                </c:pt>
                <c:pt idx="110">
                  <c:v>76.410000000000025</c:v>
                </c:pt>
                <c:pt idx="111">
                  <c:v>75.23</c:v>
                </c:pt>
                <c:pt idx="112">
                  <c:v>75.3</c:v>
                </c:pt>
                <c:pt idx="113">
                  <c:v>73.25</c:v>
                </c:pt>
                <c:pt idx="114">
                  <c:v>72.11999999999999</c:v>
                </c:pt>
                <c:pt idx="115">
                  <c:v>71.569999999999993</c:v>
                </c:pt>
                <c:pt idx="116">
                  <c:v>72.28</c:v>
                </c:pt>
                <c:pt idx="117">
                  <c:v>72.08</c:v>
                </c:pt>
                <c:pt idx="118">
                  <c:v>70.78</c:v>
                </c:pt>
                <c:pt idx="119">
                  <c:v>70.8</c:v>
                </c:pt>
                <c:pt idx="120">
                  <c:v>71.11999999999999</c:v>
                </c:pt>
                <c:pt idx="121">
                  <c:v>69.849999999999994</c:v>
                </c:pt>
                <c:pt idx="122">
                  <c:v>68.910000000000025</c:v>
                </c:pt>
                <c:pt idx="123">
                  <c:v>68.989999999999995</c:v>
                </c:pt>
                <c:pt idx="124">
                  <c:v>68.59</c:v>
                </c:pt>
                <c:pt idx="125">
                  <c:v>70.36999999999999</c:v>
                </c:pt>
                <c:pt idx="126">
                  <c:v>69.25</c:v>
                </c:pt>
                <c:pt idx="127">
                  <c:v>67.540000000000006</c:v>
                </c:pt>
                <c:pt idx="128">
                  <c:v>67.75</c:v>
                </c:pt>
                <c:pt idx="129">
                  <c:v>67.77</c:v>
                </c:pt>
                <c:pt idx="130">
                  <c:v>68.72</c:v>
                </c:pt>
                <c:pt idx="131">
                  <c:v>69.86999999999999</c:v>
                </c:pt>
                <c:pt idx="133">
                  <c:v>69.8</c:v>
                </c:pt>
                <c:pt idx="134">
                  <c:v>70.25</c:v>
                </c:pt>
                <c:pt idx="135">
                  <c:v>69.510000000000005</c:v>
                </c:pt>
                <c:pt idx="136">
                  <c:v>68.53</c:v>
                </c:pt>
                <c:pt idx="137">
                  <c:v>68.86999999999999</c:v>
                </c:pt>
                <c:pt idx="138">
                  <c:v>68.72</c:v>
                </c:pt>
                <c:pt idx="139">
                  <c:v>67.83</c:v>
                </c:pt>
                <c:pt idx="140">
                  <c:v>67.86</c:v>
                </c:pt>
                <c:pt idx="141">
                  <c:v>67.349999999999994</c:v>
                </c:pt>
                <c:pt idx="142">
                  <c:v>66.430000000000007</c:v>
                </c:pt>
                <c:pt idx="143">
                  <c:v>65.910000000000025</c:v>
                </c:pt>
                <c:pt idx="144">
                  <c:v>65.459999999999994</c:v>
                </c:pt>
                <c:pt idx="145">
                  <c:v>65.010000000000005</c:v>
                </c:pt>
                <c:pt idx="146">
                  <c:v>67.040000000000006</c:v>
                </c:pt>
                <c:pt idx="147">
                  <c:v>67.2</c:v>
                </c:pt>
                <c:pt idx="148">
                  <c:v>67.63</c:v>
                </c:pt>
                <c:pt idx="149">
                  <c:v>66.81</c:v>
                </c:pt>
                <c:pt idx="150">
                  <c:v>66.940000000000026</c:v>
                </c:pt>
                <c:pt idx="151">
                  <c:v>69.169999999999987</c:v>
                </c:pt>
                <c:pt idx="152">
                  <c:v>69.010000000000005</c:v>
                </c:pt>
                <c:pt idx="153">
                  <c:v>68.489999999999995</c:v>
                </c:pt>
                <c:pt idx="154">
                  <c:v>68.959999999999994</c:v>
                </c:pt>
                <c:pt idx="155">
                  <c:v>67.66</c:v>
                </c:pt>
                <c:pt idx="156">
                  <c:v>68.760000000000005</c:v>
                </c:pt>
                <c:pt idx="157">
                  <c:v>70.13</c:v>
                </c:pt>
                <c:pt idx="158">
                  <c:v>68.69</c:v>
                </c:pt>
                <c:pt idx="159">
                  <c:v>69.61</c:v>
                </c:pt>
                <c:pt idx="160">
                  <c:v>69.3</c:v>
                </c:pt>
                <c:pt idx="161">
                  <c:v>68.52</c:v>
                </c:pt>
                <c:pt idx="162">
                  <c:v>67.89</c:v>
                </c:pt>
                <c:pt idx="163">
                  <c:v>70.459999999999994</c:v>
                </c:pt>
                <c:pt idx="164">
                  <c:v>69.459999999999994</c:v>
                </c:pt>
                <c:pt idx="165">
                  <c:v>68.760000000000005</c:v>
                </c:pt>
                <c:pt idx="166">
                  <c:v>68.08</c:v>
                </c:pt>
                <c:pt idx="167">
                  <c:v>68.06</c:v>
                </c:pt>
                <c:pt idx="168">
                  <c:v>71.010000000000005</c:v>
                </c:pt>
                <c:pt idx="169">
                  <c:v>70.33</c:v>
                </c:pt>
                <c:pt idx="170">
                  <c:v>70.38</c:v>
                </c:pt>
                <c:pt idx="171">
                  <c:v>74.11</c:v>
                </c:pt>
                <c:pt idx="172">
                  <c:v>73.849999999999994</c:v>
                </c:pt>
                <c:pt idx="173">
                  <c:v>73.8</c:v>
                </c:pt>
                <c:pt idx="174">
                  <c:v>72.940000000000026</c:v>
                </c:pt>
                <c:pt idx="176">
                  <c:v>73.22</c:v>
                </c:pt>
                <c:pt idx="177">
                  <c:v>73.940000000000026</c:v>
                </c:pt>
                <c:pt idx="178">
                  <c:v>74.149999999999991</c:v>
                </c:pt>
                <c:pt idx="179">
                  <c:v>73.45</c:v>
                </c:pt>
                <c:pt idx="180">
                  <c:v>72.760000000000005</c:v>
                </c:pt>
                <c:pt idx="181">
                  <c:v>70.53</c:v>
                </c:pt>
                <c:pt idx="182">
                  <c:v>68.08</c:v>
                </c:pt>
                <c:pt idx="183">
                  <c:v>68.58</c:v>
                </c:pt>
                <c:pt idx="184">
                  <c:v>65.540000000000006</c:v>
                </c:pt>
                <c:pt idx="185">
                  <c:v>66.22</c:v>
                </c:pt>
                <c:pt idx="186">
                  <c:v>65.069999999999993</c:v>
                </c:pt>
                <c:pt idx="187">
                  <c:v>65.849999999999994</c:v>
                </c:pt>
                <c:pt idx="188">
                  <c:v>65.06</c:v>
                </c:pt>
                <c:pt idx="189">
                  <c:v>66.89</c:v>
                </c:pt>
                <c:pt idx="190">
                  <c:v>66.64</c:v>
                </c:pt>
                <c:pt idx="191">
                  <c:v>66.36</c:v>
                </c:pt>
                <c:pt idx="192">
                  <c:v>66.099999999999994</c:v>
                </c:pt>
                <c:pt idx="193">
                  <c:v>65.739999999999995</c:v>
                </c:pt>
                <c:pt idx="194">
                  <c:v>65.95</c:v>
                </c:pt>
                <c:pt idx="195">
                  <c:v>64.73</c:v>
                </c:pt>
                <c:pt idx="196">
                  <c:v>65.52</c:v>
                </c:pt>
                <c:pt idx="197">
                  <c:v>64.75</c:v>
                </c:pt>
                <c:pt idx="198">
                  <c:v>65.81</c:v>
                </c:pt>
                <c:pt idx="199">
                  <c:v>67.040000000000006</c:v>
                </c:pt>
                <c:pt idx="200">
                  <c:v>68.209999999999994</c:v>
                </c:pt>
                <c:pt idx="201">
                  <c:v>66.73</c:v>
                </c:pt>
                <c:pt idx="203">
                  <c:v>67.88</c:v>
                </c:pt>
                <c:pt idx="204">
                  <c:v>70.709999999999994</c:v>
                </c:pt>
                <c:pt idx="205">
                  <c:v>71.84</c:v>
                </c:pt>
                <c:pt idx="206">
                  <c:v>72.13</c:v>
                </c:pt>
                <c:pt idx="207">
                  <c:v>72.239999999999995</c:v>
                </c:pt>
                <c:pt idx="208">
                  <c:v>71.28</c:v>
                </c:pt>
                <c:pt idx="209">
                  <c:v>71.489999999999995</c:v>
                </c:pt>
                <c:pt idx="210">
                  <c:v>71.489999999999995</c:v>
                </c:pt>
                <c:pt idx="211">
                  <c:v>71.31</c:v>
                </c:pt>
                <c:pt idx="212">
                  <c:v>70.959999999999994</c:v>
                </c:pt>
                <c:pt idx="213">
                  <c:v>70.7</c:v>
                </c:pt>
                <c:pt idx="214">
                  <c:v>71.36</c:v>
                </c:pt>
                <c:pt idx="215">
                  <c:v>71.14</c:v>
                </c:pt>
                <c:pt idx="216">
                  <c:v>69.06</c:v>
                </c:pt>
                <c:pt idx="217">
                  <c:v>70.73</c:v>
                </c:pt>
                <c:pt idx="218">
                  <c:v>69.72</c:v>
                </c:pt>
                <c:pt idx="219">
                  <c:v>68.430000000000007</c:v>
                </c:pt>
                <c:pt idx="220">
                  <c:v>67.930000000000007</c:v>
                </c:pt>
                <c:pt idx="221">
                  <c:v>67.25</c:v>
                </c:pt>
                <c:pt idx="222">
                  <c:v>68.569999999999993</c:v>
                </c:pt>
                <c:pt idx="223">
                  <c:v>68.099999999999994</c:v>
                </c:pt>
                <c:pt idx="224">
                  <c:v>68.19</c:v>
                </c:pt>
                <c:pt idx="225">
                  <c:v>68.05</c:v>
                </c:pt>
                <c:pt idx="226">
                  <c:v>67.7</c:v>
                </c:pt>
                <c:pt idx="227">
                  <c:v>68.64</c:v>
                </c:pt>
                <c:pt idx="228">
                  <c:v>68.38</c:v>
                </c:pt>
                <c:pt idx="229">
                  <c:v>68.290000000000006</c:v>
                </c:pt>
                <c:pt idx="230">
                  <c:v>68.47</c:v>
                </c:pt>
                <c:pt idx="231">
                  <c:v>66.52</c:v>
                </c:pt>
                <c:pt idx="232">
                  <c:v>66.22</c:v>
                </c:pt>
                <c:pt idx="233">
                  <c:v>67.39</c:v>
                </c:pt>
                <c:pt idx="234">
                  <c:v>67.069999999999993</c:v>
                </c:pt>
                <c:pt idx="235">
                  <c:v>66.819999999999993</c:v>
                </c:pt>
                <c:pt idx="236">
                  <c:v>65.510000000000005</c:v>
                </c:pt>
                <c:pt idx="237">
                  <c:v>63.42</c:v>
                </c:pt>
                <c:pt idx="238">
                  <c:v>62.06</c:v>
                </c:pt>
                <c:pt idx="239">
                  <c:v>63.54</c:v>
                </c:pt>
                <c:pt idx="240">
                  <c:v>63.37</c:v>
                </c:pt>
                <c:pt idx="241">
                  <c:v>63.51</c:v>
                </c:pt>
                <c:pt idx="242">
                  <c:v>63.01</c:v>
                </c:pt>
                <c:pt idx="244">
                  <c:v>64.940000000000026</c:v>
                </c:pt>
                <c:pt idx="245">
                  <c:v>64.38</c:v>
                </c:pt>
                <c:pt idx="246">
                  <c:v>65.25</c:v>
                </c:pt>
                <c:pt idx="247">
                  <c:v>65.55</c:v>
                </c:pt>
                <c:pt idx="248">
                  <c:v>65.88</c:v>
                </c:pt>
                <c:pt idx="249">
                  <c:v>64.3</c:v>
                </c:pt>
                <c:pt idx="250">
                  <c:v>65.169999999999987</c:v>
                </c:pt>
                <c:pt idx="251">
                  <c:v>63.4</c:v>
                </c:pt>
                <c:pt idx="252">
                  <c:v>62.06</c:v>
                </c:pt>
                <c:pt idx="253">
                  <c:v>62.34</c:v>
                </c:pt>
                <c:pt idx="254">
                  <c:v>61.190000000000012</c:v>
                </c:pt>
                <c:pt idx="255">
                  <c:v>60.96</c:v>
                </c:pt>
                <c:pt idx="256">
                  <c:v>60.71</c:v>
                </c:pt>
                <c:pt idx="257">
                  <c:v>61.36</c:v>
                </c:pt>
                <c:pt idx="258">
                  <c:v>62.04</c:v>
                </c:pt>
                <c:pt idx="259">
                  <c:v>60.120000000000012</c:v>
                </c:pt>
                <c:pt idx="260">
                  <c:v>61.15</c:v>
                </c:pt>
                <c:pt idx="261">
                  <c:v>62.6</c:v>
                </c:pt>
                <c:pt idx="262">
                  <c:v>62.57</c:v>
                </c:pt>
                <c:pt idx="263">
                  <c:v>61.25</c:v>
                </c:pt>
                <c:pt idx="264">
                  <c:v>60.99</c:v>
                </c:pt>
                <c:pt idx="265">
                  <c:v>61.64</c:v>
                </c:pt>
                <c:pt idx="266">
                  <c:v>63.01</c:v>
                </c:pt>
                <c:pt idx="267">
                  <c:v>63.91</c:v>
                </c:pt>
                <c:pt idx="268">
                  <c:v>63.55</c:v>
                </c:pt>
                <c:pt idx="269">
                  <c:v>62.77</c:v>
                </c:pt>
                <c:pt idx="270">
                  <c:v>61.68</c:v>
                </c:pt>
                <c:pt idx="271">
                  <c:v>59.290000000000013</c:v>
                </c:pt>
                <c:pt idx="272">
                  <c:v>59.2</c:v>
                </c:pt>
                <c:pt idx="273">
                  <c:v>61.45</c:v>
                </c:pt>
                <c:pt idx="274">
                  <c:v>61.790000000000013</c:v>
                </c:pt>
                <c:pt idx="275">
                  <c:v>63.39</c:v>
                </c:pt>
                <c:pt idx="276">
                  <c:v>64.149999999999991</c:v>
                </c:pt>
                <c:pt idx="277">
                  <c:v>64.45</c:v>
                </c:pt>
                <c:pt idx="278">
                  <c:v>65.8</c:v>
                </c:pt>
                <c:pt idx="279">
                  <c:v>64.73</c:v>
                </c:pt>
                <c:pt idx="280">
                  <c:v>64.5</c:v>
                </c:pt>
                <c:pt idx="281">
                  <c:v>65.56</c:v>
                </c:pt>
                <c:pt idx="282">
                  <c:v>66.14</c:v>
                </c:pt>
                <c:pt idx="283">
                  <c:v>65.510000000000005</c:v>
                </c:pt>
                <c:pt idx="284">
                  <c:v>65.61</c:v>
                </c:pt>
                <c:pt idx="285">
                  <c:v>64.47</c:v>
                </c:pt>
                <c:pt idx="286">
                  <c:v>63.49</c:v>
                </c:pt>
                <c:pt idx="287">
                  <c:v>63.37</c:v>
                </c:pt>
                <c:pt idx="288">
                  <c:v>63.95</c:v>
                </c:pt>
                <c:pt idx="289">
                  <c:v>63.97</c:v>
                </c:pt>
                <c:pt idx="290">
                  <c:v>63.730000000000011</c:v>
                </c:pt>
                <c:pt idx="292">
                  <c:v>64.3</c:v>
                </c:pt>
                <c:pt idx="293">
                  <c:v>63.8</c:v>
                </c:pt>
                <c:pt idx="294">
                  <c:v>63.57</c:v>
                </c:pt>
                <c:pt idx="295">
                  <c:v>62.96</c:v>
                </c:pt>
                <c:pt idx="296">
                  <c:v>61.730000000000011</c:v>
                </c:pt>
                <c:pt idx="297">
                  <c:v>61.44</c:v>
                </c:pt>
                <c:pt idx="298">
                  <c:v>62.01</c:v>
                </c:pt>
                <c:pt idx="299">
                  <c:v>61.63</c:v>
                </c:pt>
                <c:pt idx="300">
                  <c:v>60.37</c:v>
                </c:pt>
                <c:pt idx="302">
                  <c:v>60.42</c:v>
                </c:pt>
                <c:pt idx="303">
                  <c:v>59.84</c:v>
                </c:pt>
                <c:pt idx="304">
                  <c:v>59.64</c:v>
                </c:pt>
                <c:pt idx="305">
                  <c:v>59.97</c:v>
                </c:pt>
                <c:pt idx="307">
                  <c:v>58.47</c:v>
                </c:pt>
                <c:pt idx="308">
                  <c:v>58.36</c:v>
                </c:pt>
                <c:pt idx="309">
                  <c:v>58.09</c:v>
                </c:pt>
                <c:pt idx="310">
                  <c:v>57.46</c:v>
                </c:pt>
                <c:pt idx="311">
                  <c:v>57.160000000000011</c:v>
                </c:pt>
                <c:pt idx="312">
                  <c:v>57.3</c:v>
                </c:pt>
                <c:pt idx="313">
                  <c:v>57.04</c:v>
                </c:pt>
                <c:pt idx="314">
                  <c:v>56.6</c:v>
                </c:pt>
                <c:pt idx="315">
                  <c:v>57.14</c:v>
                </c:pt>
                <c:pt idx="316">
                  <c:v>57.99</c:v>
                </c:pt>
                <c:pt idx="317">
                  <c:v>57.36</c:v>
                </c:pt>
                <c:pt idx="318">
                  <c:v>56.690000000000012</c:v>
                </c:pt>
                <c:pt idx="319">
                  <c:v>55.96</c:v>
                </c:pt>
                <c:pt idx="320">
                  <c:v>57.620000000000012</c:v>
                </c:pt>
                <c:pt idx="321">
                  <c:v>57.47</c:v>
                </c:pt>
                <c:pt idx="322">
                  <c:v>58.36</c:v>
                </c:pt>
                <c:pt idx="323">
                  <c:v>57.4</c:v>
                </c:pt>
                <c:pt idx="324">
                  <c:v>57.3</c:v>
                </c:pt>
                <c:pt idx="325">
                  <c:v>57.99</c:v>
                </c:pt>
                <c:pt idx="326">
                  <c:v>58.11</c:v>
                </c:pt>
                <c:pt idx="327">
                  <c:v>58.95</c:v>
                </c:pt>
                <c:pt idx="329">
                  <c:v>58.02</c:v>
                </c:pt>
                <c:pt idx="330">
                  <c:v>56.83</c:v>
                </c:pt>
                <c:pt idx="331">
                  <c:v>56.09</c:v>
                </c:pt>
                <c:pt idx="332">
                  <c:v>56.55</c:v>
                </c:pt>
                <c:pt idx="333">
                  <c:v>55.14</c:v>
                </c:pt>
                <c:pt idx="334">
                  <c:v>55.33</c:v>
                </c:pt>
                <c:pt idx="335">
                  <c:v>55.7</c:v>
                </c:pt>
                <c:pt idx="336">
                  <c:v>56.760000000000012</c:v>
                </c:pt>
                <c:pt idx="337">
                  <c:v>56.74</c:v>
                </c:pt>
                <c:pt idx="338">
                  <c:v>57.17</c:v>
                </c:pt>
                <c:pt idx="339">
                  <c:v>56.81</c:v>
                </c:pt>
                <c:pt idx="340">
                  <c:v>57.2</c:v>
                </c:pt>
                <c:pt idx="341">
                  <c:v>57.35</c:v>
                </c:pt>
                <c:pt idx="342">
                  <c:v>55.64</c:v>
                </c:pt>
                <c:pt idx="343">
                  <c:v>54.54</c:v>
                </c:pt>
                <c:pt idx="344">
                  <c:v>54.3</c:v>
                </c:pt>
                <c:pt idx="345">
                  <c:v>54.38</c:v>
                </c:pt>
                <c:pt idx="346">
                  <c:v>54.15</c:v>
                </c:pt>
                <c:pt idx="347">
                  <c:v>53.9</c:v>
                </c:pt>
                <c:pt idx="348">
                  <c:v>52.64</c:v>
                </c:pt>
                <c:pt idx="349">
                  <c:v>52.18</c:v>
                </c:pt>
                <c:pt idx="350">
                  <c:v>52.47</c:v>
                </c:pt>
                <c:pt idx="351">
                  <c:v>51.9</c:v>
                </c:pt>
                <c:pt idx="352">
                  <c:v>51.47</c:v>
                </c:pt>
                <c:pt idx="353">
                  <c:v>51.290000000000013</c:v>
                </c:pt>
                <c:pt idx="354">
                  <c:v>52.04</c:v>
                </c:pt>
                <c:pt idx="355">
                  <c:v>51.88</c:v>
                </c:pt>
                <c:pt idx="356">
                  <c:v>51.87</c:v>
                </c:pt>
                <c:pt idx="357">
                  <c:v>51.45</c:v>
                </c:pt>
                <c:pt idx="358">
                  <c:v>50.6</c:v>
                </c:pt>
                <c:pt idx="359">
                  <c:v>51.3</c:v>
                </c:pt>
                <c:pt idx="360">
                  <c:v>50.92</c:v>
                </c:pt>
                <c:pt idx="361">
                  <c:v>49.58</c:v>
                </c:pt>
                <c:pt idx="362">
                  <c:v>49.290000000000013</c:v>
                </c:pt>
                <c:pt idx="363">
                  <c:v>51.67</c:v>
                </c:pt>
                <c:pt idx="364">
                  <c:v>51.56</c:v>
                </c:pt>
                <c:pt idx="365">
                  <c:v>52.14</c:v>
                </c:pt>
                <c:pt idx="366">
                  <c:v>51.88</c:v>
                </c:pt>
                <c:pt idx="367">
                  <c:v>52.220000000000013</c:v>
                </c:pt>
                <c:pt idx="368">
                  <c:v>50.660000000000011</c:v>
                </c:pt>
                <c:pt idx="369">
                  <c:v>50.55</c:v>
                </c:pt>
                <c:pt idx="370">
                  <c:v>50.41</c:v>
                </c:pt>
                <c:pt idx="371">
                  <c:v>49.48</c:v>
                </c:pt>
                <c:pt idx="372">
                  <c:v>49.91</c:v>
                </c:pt>
                <c:pt idx="373">
                  <c:v>49.89</c:v>
                </c:pt>
                <c:pt idx="374">
                  <c:v>49.89</c:v>
                </c:pt>
                <c:pt idx="375">
                  <c:v>49.3</c:v>
                </c:pt>
                <c:pt idx="376">
                  <c:v>48.230000000000011</c:v>
                </c:pt>
                <c:pt idx="377">
                  <c:v>48.07</c:v>
                </c:pt>
                <c:pt idx="378">
                  <c:v>47.48</c:v>
                </c:pt>
                <c:pt idx="379">
                  <c:v>49.09</c:v>
                </c:pt>
                <c:pt idx="380">
                  <c:v>49.160000000000011</c:v>
                </c:pt>
                <c:pt idx="381">
                  <c:v>48.660000000000011</c:v>
                </c:pt>
                <c:pt idx="383">
                  <c:v>47.290000000000013</c:v>
                </c:pt>
                <c:pt idx="384">
                  <c:v>47.230000000000011</c:v>
                </c:pt>
                <c:pt idx="385">
                  <c:v>45.96</c:v>
                </c:pt>
                <c:pt idx="386">
                  <c:v>46.44</c:v>
                </c:pt>
                <c:pt idx="387">
                  <c:v>46.57</c:v>
                </c:pt>
                <c:pt idx="388">
                  <c:v>47.87</c:v>
                </c:pt>
                <c:pt idx="389">
                  <c:v>47.43</c:v>
                </c:pt>
                <c:pt idx="390">
                  <c:v>48.41</c:v>
                </c:pt>
                <c:pt idx="391">
                  <c:v>47.64</c:v>
                </c:pt>
                <c:pt idx="392">
                  <c:v>47.37</c:v>
                </c:pt>
                <c:pt idx="393">
                  <c:v>48.51</c:v>
                </c:pt>
                <c:pt idx="394">
                  <c:v>47.09</c:v>
                </c:pt>
                <c:pt idx="395">
                  <c:v>46.78</c:v>
                </c:pt>
                <c:pt idx="396">
                  <c:v>47.55</c:v>
                </c:pt>
                <c:pt idx="397">
                  <c:v>47.59</c:v>
                </c:pt>
                <c:pt idx="398">
                  <c:v>48.82</c:v>
                </c:pt>
                <c:pt idx="399">
                  <c:v>48.59</c:v>
                </c:pt>
                <c:pt idx="400">
                  <c:v>49.56</c:v>
                </c:pt>
                <c:pt idx="401">
                  <c:v>49.17</c:v>
                </c:pt>
                <c:pt idx="402">
                  <c:v>49.39</c:v>
                </c:pt>
                <c:pt idx="403">
                  <c:v>49.58</c:v>
                </c:pt>
                <c:pt idx="404">
                  <c:v>49.3</c:v>
                </c:pt>
                <c:pt idx="405">
                  <c:v>49.59</c:v>
                </c:pt>
                <c:pt idx="406">
                  <c:v>49.160000000000011</c:v>
                </c:pt>
                <c:pt idx="407">
                  <c:v>50.17</c:v>
                </c:pt>
                <c:pt idx="408">
                  <c:v>49.71</c:v>
                </c:pt>
                <c:pt idx="409">
                  <c:v>49.04</c:v>
                </c:pt>
                <c:pt idx="410">
                  <c:v>48.75</c:v>
                </c:pt>
                <c:pt idx="411">
                  <c:v>47.89</c:v>
                </c:pt>
                <c:pt idx="412">
                  <c:v>46.34</c:v>
                </c:pt>
                <c:pt idx="413">
                  <c:v>45.77</c:v>
                </c:pt>
                <c:pt idx="414">
                  <c:v>46.790000000000013</c:v>
                </c:pt>
                <c:pt idx="415">
                  <c:v>47.120000000000012</c:v>
                </c:pt>
                <c:pt idx="416">
                  <c:v>46.4</c:v>
                </c:pt>
                <c:pt idx="417">
                  <c:v>46.02</c:v>
                </c:pt>
                <c:pt idx="418">
                  <c:v>46.54</c:v>
                </c:pt>
                <c:pt idx="419">
                  <c:v>46.08</c:v>
                </c:pt>
                <c:pt idx="420">
                  <c:v>45.49</c:v>
                </c:pt>
                <c:pt idx="421">
                  <c:v>45.04</c:v>
                </c:pt>
                <c:pt idx="422">
                  <c:v>44.4</c:v>
                </c:pt>
                <c:pt idx="423">
                  <c:v>44.230000000000011</c:v>
                </c:pt>
                <c:pt idx="424">
                  <c:v>45.52</c:v>
                </c:pt>
                <c:pt idx="425">
                  <c:v>45.13</c:v>
                </c:pt>
                <c:pt idx="426">
                  <c:v>47.08</c:v>
                </c:pt>
                <c:pt idx="427">
                  <c:v>47.07</c:v>
                </c:pt>
                <c:pt idx="428">
                  <c:v>46.04</c:v>
                </c:pt>
                <c:pt idx="429">
                  <c:v>44.93</c:v>
                </c:pt>
                <c:pt idx="430">
                  <c:v>44.74</c:v>
                </c:pt>
                <c:pt idx="431">
                  <c:v>44.24</c:v>
                </c:pt>
                <c:pt idx="432">
                  <c:v>43.38</c:v>
                </c:pt>
                <c:pt idx="433">
                  <c:v>43.01</c:v>
                </c:pt>
                <c:pt idx="434">
                  <c:v>42.74</c:v>
                </c:pt>
                <c:pt idx="435">
                  <c:v>42.53</c:v>
                </c:pt>
                <c:pt idx="436">
                  <c:v>43.230000000000011</c:v>
                </c:pt>
                <c:pt idx="437">
                  <c:v>44.2</c:v>
                </c:pt>
                <c:pt idx="438">
                  <c:v>44.74</c:v>
                </c:pt>
                <c:pt idx="439">
                  <c:v>44.46</c:v>
                </c:pt>
                <c:pt idx="440">
                  <c:v>44.730000000000011</c:v>
                </c:pt>
                <c:pt idx="441">
                  <c:v>46.46</c:v>
                </c:pt>
                <c:pt idx="442">
                  <c:v>46.08</c:v>
                </c:pt>
                <c:pt idx="443">
                  <c:v>45.83</c:v>
                </c:pt>
                <c:pt idx="444">
                  <c:v>45.64</c:v>
                </c:pt>
                <c:pt idx="445">
                  <c:v>45.720000000000013</c:v>
                </c:pt>
                <c:pt idx="446">
                  <c:v>48.190000000000012</c:v>
                </c:pt>
                <c:pt idx="447">
                  <c:v>47.4</c:v>
                </c:pt>
                <c:pt idx="448">
                  <c:v>47.660000000000011</c:v>
                </c:pt>
                <c:pt idx="449">
                  <c:v>48.36</c:v>
                </c:pt>
                <c:pt idx="450">
                  <c:v>48.32</c:v>
                </c:pt>
                <c:pt idx="451">
                  <c:v>49.660000000000011</c:v>
                </c:pt>
                <c:pt idx="453">
                  <c:v>49.8</c:v>
                </c:pt>
                <c:pt idx="454">
                  <c:v>48.9</c:v>
                </c:pt>
                <c:pt idx="455">
                  <c:v>51.36</c:v>
                </c:pt>
                <c:pt idx="456">
                  <c:v>51.47</c:v>
                </c:pt>
                <c:pt idx="457">
                  <c:v>50.730000000000011</c:v>
                </c:pt>
                <c:pt idx="458">
                  <c:v>50.33</c:v>
                </c:pt>
                <c:pt idx="459">
                  <c:v>49.35</c:v>
                </c:pt>
                <c:pt idx="460">
                  <c:v>49.07</c:v>
                </c:pt>
                <c:pt idx="461">
                  <c:v>48.660000000000011</c:v>
                </c:pt>
                <c:pt idx="462">
                  <c:v>48.85</c:v>
                </c:pt>
                <c:pt idx="463">
                  <c:v>47.84</c:v>
                </c:pt>
                <c:pt idx="464">
                  <c:v>47.83</c:v>
                </c:pt>
                <c:pt idx="465">
                  <c:v>47.33</c:v>
                </c:pt>
                <c:pt idx="466">
                  <c:v>45.88</c:v>
                </c:pt>
                <c:pt idx="467">
                  <c:v>46.43</c:v>
                </c:pt>
                <c:pt idx="468">
                  <c:v>46.220000000000013</c:v>
                </c:pt>
                <c:pt idx="469">
                  <c:v>45.52</c:v>
                </c:pt>
                <c:pt idx="470">
                  <c:v>47.82</c:v>
                </c:pt>
                <c:pt idx="471">
                  <c:v>47.660000000000011</c:v>
                </c:pt>
                <c:pt idx="472">
                  <c:v>48.84</c:v>
                </c:pt>
                <c:pt idx="473">
                  <c:v>49.33</c:v>
                </c:pt>
                <c:pt idx="474">
                  <c:v>48.97</c:v>
                </c:pt>
                <c:pt idx="475">
                  <c:v>49.620000000000012</c:v>
                </c:pt>
                <c:pt idx="476">
                  <c:v>49.56</c:v>
                </c:pt>
                <c:pt idx="477">
                  <c:v>49.230000000000011</c:v>
                </c:pt>
                <c:pt idx="478">
                  <c:v>49.620000000000012</c:v>
                </c:pt>
                <c:pt idx="479">
                  <c:v>50.27</c:v>
                </c:pt>
                <c:pt idx="480">
                  <c:v>50.44</c:v>
                </c:pt>
                <c:pt idx="481">
                  <c:v>52.41</c:v>
                </c:pt>
                <c:pt idx="482">
                  <c:v>52.65</c:v>
                </c:pt>
                <c:pt idx="483">
                  <c:v>53.18</c:v>
                </c:pt>
                <c:pt idx="484">
                  <c:v>53.11</c:v>
                </c:pt>
                <c:pt idx="485">
                  <c:v>53.4</c:v>
                </c:pt>
                <c:pt idx="486">
                  <c:v>53.08</c:v>
                </c:pt>
                <c:pt idx="487">
                  <c:v>52.24</c:v>
                </c:pt>
                <c:pt idx="488">
                  <c:v>51.7</c:v>
                </c:pt>
                <c:pt idx="489">
                  <c:v>51.15</c:v>
                </c:pt>
                <c:pt idx="490">
                  <c:v>51.03</c:v>
                </c:pt>
                <c:pt idx="491">
                  <c:v>50.24</c:v>
                </c:pt>
                <c:pt idx="492">
                  <c:v>50.6</c:v>
                </c:pt>
                <c:pt idx="493">
                  <c:v>50.35</c:v>
                </c:pt>
                <c:pt idx="494">
                  <c:v>49.51</c:v>
                </c:pt>
                <c:pt idx="495">
                  <c:v>48.37</c:v>
                </c:pt>
                <c:pt idx="496">
                  <c:v>47.730000000000011</c:v>
                </c:pt>
                <c:pt idx="497">
                  <c:v>47.97</c:v>
                </c:pt>
                <c:pt idx="498">
                  <c:v>47.7</c:v>
                </c:pt>
                <c:pt idx="499">
                  <c:v>48.04</c:v>
                </c:pt>
                <c:pt idx="500">
                  <c:v>47.34</c:v>
                </c:pt>
                <c:pt idx="501">
                  <c:v>48.220000000000013</c:v>
                </c:pt>
                <c:pt idx="502">
                  <c:v>48.78</c:v>
                </c:pt>
                <c:pt idx="503">
                  <c:v>48.75</c:v>
                </c:pt>
                <c:pt idx="504">
                  <c:v>48.86</c:v>
                </c:pt>
                <c:pt idx="505">
                  <c:v>47.720000000000013</c:v>
                </c:pt>
                <c:pt idx="506">
                  <c:v>48.4</c:v>
                </c:pt>
                <c:pt idx="507">
                  <c:v>48.49</c:v>
                </c:pt>
                <c:pt idx="508">
                  <c:v>49.28</c:v>
                </c:pt>
                <c:pt idx="509">
                  <c:v>50.28</c:v>
                </c:pt>
                <c:pt idx="510">
                  <c:v>53.14</c:v>
                </c:pt>
                <c:pt idx="511">
                  <c:v>53.2</c:v>
                </c:pt>
                <c:pt idx="512">
                  <c:v>53.33</c:v>
                </c:pt>
                <c:pt idx="513">
                  <c:v>52.61</c:v>
                </c:pt>
                <c:pt idx="514">
                  <c:v>53.83</c:v>
                </c:pt>
                <c:pt idx="515">
                  <c:v>54.01</c:v>
                </c:pt>
                <c:pt idx="516">
                  <c:v>54.05</c:v>
                </c:pt>
                <c:pt idx="517">
                  <c:v>53.99</c:v>
                </c:pt>
                <c:pt idx="518">
                  <c:v>54.45</c:v>
                </c:pt>
                <c:pt idx="519">
                  <c:v>53.59</c:v>
                </c:pt>
                <c:pt idx="520">
                  <c:v>54.06</c:v>
                </c:pt>
                <c:pt idx="522">
                  <c:v>53.4</c:v>
                </c:pt>
                <c:pt idx="523">
                  <c:v>53.36</c:v>
                </c:pt>
                <c:pt idx="524">
                  <c:v>53.11</c:v>
                </c:pt>
                <c:pt idx="525">
                  <c:v>53.2</c:v>
                </c:pt>
                <c:pt idx="526">
                  <c:v>52.93</c:v>
                </c:pt>
                <c:pt idx="527">
                  <c:v>53.86</c:v>
                </c:pt>
                <c:pt idx="528">
                  <c:v>53</c:v>
                </c:pt>
                <c:pt idx="529">
                  <c:v>52.34</c:v>
                </c:pt>
                <c:pt idx="530">
                  <c:v>52.17</c:v>
                </c:pt>
                <c:pt idx="531">
                  <c:v>53.01</c:v>
                </c:pt>
                <c:pt idx="532">
                  <c:v>53.83</c:v>
                </c:pt>
                <c:pt idx="533">
                  <c:v>53.54</c:v>
                </c:pt>
                <c:pt idx="534">
                  <c:v>53.88</c:v>
                </c:pt>
                <c:pt idx="535">
                  <c:v>52.81</c:v>
                </c:pt>
                <c:pt idx="536">
                  <c:v>52.63</c:v>
                </c:pt>
                <c:pt idx="537">
                  <c:v>53.17</c:v>
                </c:pt>
                <c:pt idx="538">
                  <c:v>53.78</c:v>
                </c:pt>
                <c:pt idx="539">
                  <c:v>52.75</c:v>
                </c:pt>
                <c:pt idx="540">
                  <c:v>53.18</c:v>
                </c:pt>
                <c:pt idx="541">
                  <c:v>52.75</c:v>
                </c:pt>
                <c:pt idx="542">
                  <c:v>52.42</c:v>
                </c:pt>
                <c:pt idx="543">
                  <c:v>51.37</c:v>
                </c:pt>
                <c:pt idx="544">
                  <c:v>51.08</c:v>
                </c:pt>
                <c:pt idx="545">
                  <c:v>52.48</c:v>
                </c:pt>
                <c:pt idx="547">
                  <c:v>52.37</c:v>
                </c:pt>
                <c:pt idx="548">
                  <c:v>53.01</c:v>
                </c:pt>
                <c:pt idx="549">
                  <c:v>52.25</c:v>
                </c:pt>
                <c:pt idx="550">
                  <c:v>50.82</c:v>
                </c:pt>
                <c:pt idx="551">
                  <c:v>51.96</c:v>
                </c:pt>
                <c:pt idx="552">
                  <c:v>53.99</c:v>
                </c:pt>
                <c:pt idx="553">
                  <c:v>53.760000000000012</c:v>
                </c:pt>
                <c:pt idx="554">
                  <c:v>53.260000000000012</c:v>
                </c:pt>
                <c:pt idx="555">
                  <c:v>52.33</c:v>
                </c:pt>
                <c:pt idx="556">
                  <c:v>53.720000000000013</c:v>
                </c:pt>
                <c:pt idx="557">
                  <c:v>53.77</c:v>
                </c:pt>
                <c:pt idx="558">
                  <c:v>54.06</c:v>
                </c:pt>
                <c:pt idx="559">
                  <c:v>53.9</c:v>
                </c:pt>
                <c:pt idx="560">
                  <c:v>53.02</c:v>
                </c:pt>
                <c:pt idx="561">
                  <c:v>52.95</c:v>
                </c:pt>
                <c:pt idx="562">
                  <c:v>52.49</c:v>
                </c:pt>
                <c:pt idx="563">
                  <c:v>52.230000000000011</c:v>
                </c:pt>
                <c:pt idx="564">
                  <c:v>52.120000000000012</c:v>
                </c:pt>
                <c:pt idx="565">
                  <c:v>51.9</c:v>
                </c:pt>
                <c:pt idx="566">
                  <c:v>50.9</c:v>
                </c:pt>
                <c:pt idx="567">
                  <c:v>51.04</c:v>
                </c:pt>
                <c:pt idx="568">
                  <c:v>52.98</c:v>
                </c:pt>
                <c:pt idx="569">
                  <c:v>52.83</c:v>
                </c:pt>
                <c:pt idx="570">
                  <c:v>51.5</c:v>
                </c:pt>
                <c:pt idx="571">
                  <c:v>50.84</c:v>
                </c:pt>
                <c:pt idx="572">
                  <c:v>49.77</c:v>
                </c:pt>
                <c:pt idx="573">
                  <c:v>50.93</c:v>
                </c:pt>
                <c:pt idx="574">
                  <c:v>51.790000000000013</c:v>
                </c:pt>
                <c:pt idx="575">
                  <c:v>51.68</c:v>
                </c:pt>
                <c:pt idx="576">
                  <c:v>51.06</c:v>
                </c:pt>
                <c:pt idx="577">
                  <c:v>49.44</c:v>
                </c:pt>
                <c:pt idx="578">
                  <c:v>45.230000000000011</c:v>
                </c:pt>
                <c:pt idx="579">
                  <c:v>47.08</c:v>
                </c:pt>
                <c:pt idx="580">
                  <c:v>46.06</c:v>
                </c:pt>
                <c:pt idx="582">
                  <c:v>47.96</c:v>
                </c:pt>
                <c:pt idx="583">
                  <c:v>48.03</c:v>
                </c:pt>
                <c:pt idx="584">
                  <c:v>47.49</c:v>
                </c:pt>
                <c:pt idx="585">
                  <c:v>45.690000000000012</c:v>
                </c:pt>
                <c:pt idx="586">
                  <c:v>45.42</c:v>
                </c:pt>
                <c:pt idx="587">
                  <c:v>45.57</c:v>
                </c:pt>
                <c:pt idx="588">
                  <c:v>45.81</c:v>
                </c:pt>
                <c:pt idx="589">
                  <c:v>43.32</c:v>
                </c:pt>
                <c:pt idx="590">
                  <c:v>43.41</c:v>
                </c:pt>
                <c:pt idx="591">
                  <c:v>44.660000000000011</c:v>
                </c:pt>
                <c:pt idx="592">
                  <c:v>45.27</c:v>
                </c:pt>
                <c:pt idx="593">
                  <c:v>44.98</c:v>
                </c:pt>
                <c:pt idx="594">
                  <c:v>44.89</c:v>
                </c:pt>
                <c:pt idx="595">
                  <c:v>44.07</c:v>
                </c:pt>
                <c:pt idx="596">
                  <c:v>44.660000000000011</c:v>
                </c:pt>
                <c:pt idx="597">
                  <c:v>45.34</c:v>
                </c:pt>
                <c:pt idx="598">
                  <c:v>46.67</c:v>
                </c:pt>
                <c:pt idx="599">
                  <c:v>46.86</c:v>
                </c:pt>
                <c:pt idx="600">
                  <c:v>48.7</c:v>
                </c:pt>
                <c:pt idx="601">
                  <c:v>49.720000000000013</c:v>
                </c:pt>
                <c:pt idx="602">
                  <c:v>49.18</c:v>
                </c:pt>
                <c:pt idx="603">
                  <c:v>49.96</c:v>
                </c:pt>
                <c:pt idx="604">
                  <c:v>50.52</c:v>
                </c:pt>
                <c:pt idx="605">
                  <c:v>50.85</c:v>
                </c:pt>
                <c:pt idx="606">
                  <c:v>50.43</c:v>
                </c:pt>
                <c:pt idx="607">
                  <c:v>51.6</c:v>
                </c:pt>
                <c:pt idx="608">
                  <c:v>50.290000000000013</c:v>
                </c:pt>
                <c:pt idx="609">
                  <c:v>49.94</c:v>
                </c:pt>
                <c:pt idx="610">
                  <c:v>50.35</c:v>
                </c:pt>
                <c:pt idx="611">
                  <c:v>50.44</c:v>
                </c:pt>
                <c:pt idx="612">
                  <c:v>50.18</c:v>
                </c:pt>
                <c:pt idx="613">
                  <c:v>50.790000000000013</c:v>
                </c:pt>
                <c:pt idx="614">
                  <c:v>51.35</c:v>
                </c:pt>
                <c:pt idx="615">
                  <c:v>49.81</c:v>
                </c:pt>
                <c:pt idx="616">
                  <c:v>50.44</c:v>
                </c:pt>
                <c:pt idx="617">
                  <c:v>49.83</c:v>
                </c:pt>
                <c:pt idx="618">
                  <c:v>48.690000000000012</c:v>
                </c:pt>
                <c:pt idx="619">
                  <c:v>48.81</c:v>
                </c:pt>
                <c:pt idx="620">
                  <c:v>48.24</c:v>
                </c:pt>
                <c:pt idx="621">
                  <c:v>47.83</c:v>
                </c:pt>
                <c:pt idx="622">
                  <c:v>47.05</c:v>
                </c:pt>
                <c:pt idx="623">
                  <c:v>44.67</c:v>
                </c:pt>
                <c:pt idx="624">
                  <c:v>45.93</c:v>
                </c:pt>
                <c:pt idx="625">
                  <c:v>44.48</c:v>
                </c:pt>
                <c:pt idx="626">
                  <c:v>46.32</c:v>
                </c:pt>
                <c:pt idx="627">
                  <c:v>45.34</c:v>
                </c:pt>
                <c:pt idx="628">
                  <c:v>43.44</c:v>
                </c:pt>
                <c:pt idx="629">
                  <c:v>43.3</c:v>
                </c:pt>
                <c:pt idx="630">
                  <c:v>43.03</c:v>
                </c:pt>
                <c:pt idx="631">
                  <c:v>43.91</c:v>
                </c:pt>
                <c:pt idx="632">
                  <c:v>43.58</c:v>
                </c:pt>
                <c:pt idx="633">
                  <c:v>44.9</c:v>
                </c:pt>
                <c:pt idx="634">
                  <c:v>46.290000000000013</c:v>
                </c:pt>
                <c:pt idx="635">
                  <c:v>45.88</c:v>
                </c:pt>
                <c:pt idx="636">
                  <c:v>47.620000000000012</c:v>
                </c:pt>
                <c:pt idx="637">
                  <c:v>45.5</c:v>
                </c:pt>
                <c:pt idx="638">
                  <c:v>44.83</c:v>
                </c:pt>
                <c:pt idx="640">
                  <c:v>44.44</c:v>
                </c:pt>
                <c:pt idx="641">
                  <c:v>43.160000000000011</c:v>
                </c:pt>
                <c:pt idx="642">
                  <c:v>44.7</c:v>
                </c:pt>
                <c:pt idx="643">
                  <c:v>46.35</c:v>
                </c:pt>
                <c:pt idx="644">
                  <c:v>46.98</c:v>
                </c:pt>
                <c:pt idx="645">
                  <c:v>47.64</c:v>
                </c:pt>
                <c:pt idx="646">
                  <c:v>47.33</c:v>
                </c:pt>
                <c:pt idx="647">
                  <c:v>46.77</c:v>
                </c:pt>
                <c:pt idx="648">
                  <c:v>48.1</c:v>
                </c:pt>
                <c:pt idx="649">
                  <c:v>47.05</c:v>
                </c:pt>
                <c:pt idx="650">
                  <c:v>48.52</c:v>
                </c:pt>
                <c:pt idx="651">
                  <c:v>48.220000000000013</c:v>
                </c:pt>
                <c:pt idx="652">
                  <c:v>46.790000000000013</c:v>
                </c:pt>
                <c:pt idx="653">
                  <c:v>46.58</c:v>
                </c:pt>
                <c:pt idx="654">
                  <c:v>45.74</c:v>
                </c:pt>
                <c:pt idx="655">
                  <c:v>44.49</c:v>
                </c:pt>
                <c:pt idx="656">
                  <c:v>43.49</c:v>
                </c:pt>
                <c:pt idx="657">
                  <c:v>41.71</c:v>
                </c:pt>
                <c:pt idx="658">
                  <c:v>42.77</c:v>
                </c:pt>
                <c:pt idx="659">
                  <c:v>43.02</c:v>
                </c:pt>
                <c:pt idx="660">
                  <c:v>41.8</c:v>
                </c:pt>
                <c:pt idx="661">
                  <c:v>41.93</c:v>
                </c:pt>
                <c:pt idx="662">
                  <c:v>40.83</c:v>
                </c:pt>
                <c:pt idx="663">
                  <c:v>39.51</c:v>
                </c:pt>
                <c:pt idx="664">
                  <c:v>40.06</c:v>
                </c:pt>
                <c:pt idx="665">
                  <c:v>41.6</c:v>
                </c:pt>
                <c:pt idx="666">
                  <c:v>41.14</c:v>
                </c:pt>
                <c:pt idx="667">
                  <c:v>41.92</c:v>
                </c:pt>
                <c:pt idx="668">
                  <c:v>42.92</c:v>
                </c:pt>
                <c:pt idx="669">
                  <c:v>43.13</c:v>
                </c:pt>
                <c:pt idx="670">
                  <c:v>44.190000000000012</c:v>
                </c:pt>
                <c:pt idx="671">
                  <c:v>44.75</c:v>
                </c:pt>
                <c:pt idx="672">
                  <c:v>44.94</c:v>
                </c:pt>
                <c:pt idx="673">
                  <c:v>44.65</c:v>
                </c:pt>
                <c:pt idx="674">
                  <c:v>45.24</c:v>
                </c:pt>
                <c:pt idx="675">
                  <c:v>45.95</c:v>
                </c:pt>
                <c:pt idx="676">
                  <c:v>45.68</c:v>
                </c:pt>
                <c:pt idx="677">
                  <c:v>44.75</c:v>
                </c:pt>
                <c:pt idx="678">
                  <c:v>46.8</c:v>
                </c:pt>
                <c:pt idx="679">
                  <c:v>44.760000000000012</c:v>
                </c:pt>
                <c:pt idx="680">
                  <c:v>45.41</c:v>
                </c:pt>
                <c:pt idx="681">
                  <c:v>45.14</c:v>
                </c:pt>
                <c:pt idx="682">
                  <c:v>47.43</c:v>
                </c:pt>
                <c:pt idx="683">
                  <c:v>46.6</c:v>
                </c:pt>
                <c:pt idx="684">
                  <c:v>48.760000000000012</c:v>
                </c:pt>
              </c:numCache>
            </c:numRef>
          </c:val>
        </c:ser>
        <c:ser>
          <c:idx val="1"/>
          <c:order val="1"/>
          <c:tx>
            <c:strRef>
              <c:f>'世界-走势图'!$B$1:$C$1</c:f>
              <c:strCache>
                <c:ptCount val="1"/>
                <c:pt idx="0">
                  <c:v>WTI 布伦特</c:v>
                </c:pt>
              </c:strCache>
            </c:strRef>
          </c:tx>
          <c:spPr>
            <a:ln w="25400" cap="rnd" cmpd="sng" algn="ctr">
              <a:solidFill>
                <a:srgbClr val="FF0000">
                  <a:alpha val="100000"/>
                </a:srgbClr>
              </a:solidFill>
              <a:prstDash val="solid"/>
              <a:round/>
            </a:ln>
          </c:spPr>
          <c:marker>
            <c:symbol val="none"/>
          </c:marker>
          <c:cat>
            <c:numRef>
              <c:f>'世界-走势图'!$A$2:$A$686</c:f>
              <c:numCache>
                <c:formatCode>yyyy/m/d;@</c:formatCode>
                <c:ptCount val="685"/>
                <c:pt idx="0">
                  <c:v>43530</c:v>
                </c:pt>
                <c:pt idx="1">
                  <c:v>43529</c:v>
                </c:pt>
                <c:pt idx="2">
                  <c:v>43528</c:v>
                </c:pt>
                <c:pt idx="3">
                  <c:v>43525</c:v>
                </c:pt>
                <c:pt idx="4">
                  <c:v>43524</c:v>
                </c:pt>
                <c:pt idx="5">
                  <c:v>43523</c:v>
                </c:pt>
                <c:pt idx="6">
                  <c:v>43522</c:v>
                </c:pt>
                <c:pt idx="7">
                  <c:v>43521</c:v>
                </c:pt>
                <c:pt idx="8">
                  <c:v>43518</c:v>
                </c:pt>
                <c:pt idx="9">
                  <c:v>43517</c:v>
                </c:pt>
                <c:pt idx="10">
                  <c:v>43516</c:v>
                </c:pt>
                <c:pt idx="11">
                  <c:v>43515</c:v>
                </c:pt>
                <c:pt idx="12">
                  <c:v>43514</c:v>
                </c:pt>
                <c:pt idx="13">
                  <c:v>43511</c:v>
                </c:pt>
                <c:pt idx="14">
                  <c:v>43510</c:v>
                </c:pt>
                <c:pt idx="15">
                  <c:v>43509</c:v>
                </c:pt>
                <c:pt idx="16">
                  <c:v>43508</c:v>
                </c:pt>
                <c:pt idx="17">
                  <c:v>43507</c:v>
                </c:pt>
                <c:pt idx="18">
                  <c:v>43504</c:v>
                </c:pt>
                <c:pt idx="19">
                  <c:v>43503</c:v>
                </c:pt>
                <c:pt idx="20">
                  <c:v>43502</c:v>
                </c:pt>
                <c:pt idx="21">
                  <c:v>43501</c:v>
                </c:pt>
                <c:pt idx="22">
                  <c:v>43500</c:v>
                </c:pt>
                <c:pt idx="23">
                  <c:v>43497</c:v>
                </c:pt>
                <c:pt idx="24">
                  <c:v>43496</c:v>
                </c:pt>
                <c:pt idx="25">
                  <c:v>43495</c:v>
                </c:pt>
                <c:pt idx="26">
                  <c:v>43494</c:v>
                </c:pt>
                <c:pt idx="27">
                  <c:v>43493</c:v>
                </c:pt>
                <c:pt idx="28">
                  <c:v>43490</c:v>
                </c:pt>
                <c:pt idx="29">
                  <c:v>43489</c:v>
                </c:pt>
                <c:pt idx="30">
                  <c:v>43488</c:v>
                </c:pt>
                <c:pt idx="31">
                  <c:v>43487</c:v>
                </c:pt>
                <c:pt idx="32">
                  <c:v>43486</c:v>
                </c:pt>
                <c:pt idx="33">
                  <c:v>43483</c:v>
                </c:pt>
                <c:pt idx="34">
                  <c:v>43482</c:v>
                </c:pt>
                <c:pt idx="35">
                  <c:v>43481</c:v>
                </c:pt>
                <c:pt idx="36">
                  <c:v>43480</c:v>
                </c:pt>
                <c:pt idx="37">
                  <c:v>43479</c:v>
                </c:pt>
                <c:pt idx="38">
                  <c:v>43476</c:v>
                </c:pt>
                <c:pt idx="39">
                  <c:v>43475</c:v>
                </c:pt>
                <c:pt idx="40">
                  <c:v>43474</c:v>
                </c:pt>
                <c:pt idx="41">
                  <c:v>43473</c:v>
                </c:pt>
                <c:pt idx="42">
                  <c:v>43472</c:v>
                </c:pt>
                <c:pt idx="43">
                  <c:v>43469</c:v>
                </c:pt>
                <c:pt idx="44">
                  <c:v>43468</c:v>
                </c:pt>
                <c:pt idx="45">
                  <c:v>43467</c:v>
                </c:pt>
                <c:pt idx="46">
                  <c:v>43466</c:v>
                </c:pt>
                <c:pt idx="47">
                  <c:v>43465</c:v>
                </c:pt>
                <c:pt idx="48">
                  <c:v>43462</c:v>
                </c:pt>
                <c:pt idx="49">
                  <c:v>43461</c:v>
                </c:pt>
                <c:pt idx="50">
                  <c:v>43460</c:v>
                </c:pt>
                <c:pt idx="51">
                  <c:v>43459</c:v>
                </c:pt>
                <c:pt idx="52">
                  <c:v>43458</c:v>
                </c:pt>
                <c:pt idx="53">
                  <c:v>43455</c:v>
                </c:pt>
                <c:pt idx="54">
                  <c:v>43454</c:v>
                </c:pt>
                <c:pt idx="55">
                  <c:v>43453</c:v>
                </c:pt>
                <c:pt idx="56">
                  <c:v>43452</c:v>
                </c:pt>
                <c:pt idx="57">
                  <c:v>43451</c:v>
                </c:pt>
                <c:pt idx="58">
                  <c:v>43448</c:v>
                </c:pt>
                <c:pt idx="59">
                  <c:v>43447</c:v>
                </c:pt>
                <c:pt idx="60">
                  <c:v>43446</c:v>
                </c:pt>
                <c:pt idx="61">
                  <c:v>43445</c:v>
                </c:pt>
                <c:pt idx="62">
                  <c:v>43444</c:v>
                </c:pt>
                <c:pt idx="63">
                  <c:v>43441</c:v>
                </c:pt>
                <c:pt idx="64">
                  <c:v>43440</c:v>
                </c:pt>
                <c:pt idx="65">
                  <c:v>43439</c:v>
                </c:pt>
                <c:pt idx="66">
                  <c:v>43438</c:v>
                </c:pt>
                <c:pt idx="67">
                  <c:v>43437</c:v>
                </c:pt>
                <c:pt idx="68">
                  <c:v>43434</c:v>
                </c:pt>
                <c:pt idx="69">
                  <c:v>43433</c:v>
                </c:pt>
                <c:pt idx="70">
                  <c:v>43432</c:v>
                </c:pt>
                <c:pt idx="71">
                  <c:v>43431</c:v>
                </c:pt>
                <c:pt idx="72">
                  <c:v>43430</c:v>
                </c:pt>
                <c:pt idx="73">
                  <c:v>43427</c:v>
                </c:pt>
                <c:pt idx="74">
                  <c:v>43426</c:v>
                </c:pt>
                <c:pt idx="75">
                  <c:v>43425</c:v>
                </c:pt>
                <c:pt idx="76">
                  <c:v>43424</c:v>
                </c:pt>
                <c:pt idx="77">
                  <c:v>43423</c:v>
                </c:pt>
                <c:pt idx="78">
                  <c:v>43420</c:v>
                </c:pt>
                <c:pt idx="79">
                  <c:v>43419</c:v>
                </c:pt>
                <c:pt idx="80">
                  <c:v>43418</c:v>
                </c:pt>
                <c:pt idx="81">
                  <c:v>43417</c:v>
                </c:pt>
                <c:pt idx="82">
                  <c:v>43416</c:v>
                </c:pt>
                <c:pt idx="83">
                  <c:v>43413</c:v>
                </c:pt>
                <c:pt idx="84">
                  <c:v>43412</c:v>
                </c:pt>
                <c:pt idx="85">
                  <c:v>43411</c:v>
                </c:pt>
                <c:pt idx="86">
                  <c:v>43410</c:v>
                </c:pt>
                <c:pt idx="87">
                  <c:v>43409</c:v>
                </c:pt>
                <c:pt idx="88">
                  <c:v>43406</c:v>
                </c:pt>
                <c:pt idx="89">
                  <c:v>43405</c:v>
                </c:pt>
                <c:pt idx="90">
                  <c:v>43404</c:v>
                </c:pt>
                <c:pt idx="91">
                  <c:v>43403</c:v>
                </c:pt>
                <c:pt idx="92">
                  <c:v>43402</c:v>
                </c:pt>
                <c:pt idx="93">
                  <c:v>43399</c:v>
                </c:pt>
                <c:pt idx="94">
                  <c:v>43398</c:v>
                </c:pt>
                <c:pt idx="95">
                  <c:v>43397</c:v>
                </c:pt>
                <c:pt idx="96">
                  <c:v>43396</c:v>
                </c:pt>
                <c:pt idx="97">
                  <c:v>43395</c:v>
                </c:pt>
                <c:pt idx="98">
                  <c:v>43392</c:v>
                </c:pt>
                <c:pt idx="99">
                  <c:v>43391</c:v>
                </c:pt>
                <c:pt idx="100">
                  <c:v>43390</c:v>
                </c:pt>
                <c:pt idx="101">
                  <c:v>43389</c:v>
                </c:pt>
                <c:pt idx="102">
                  <c:v>43388</c:v>
                </c:pt>
                <c:pt idx="103">
                  <c:v>43385</c:v>
                </c:pt>
                <c:pt idx="104">
                  <c:v>43384</c:v>
                </c:pt>
                <c:pt idx="105">
                  <c:v>43383</c:v>
                </c:pt>
                <c:pt idx="106">
                  <c:v>43382</c:v>
                </c:pt>
                <c:pt idx="107">
                  <c:v>43381</c:v>
                </c:pt>
                <c:pt idx="108">
                  <c:v>43378</c:v>
                </c:pt>
                <c:pt idx="109">
                  <c:v>43377</c:v>
                </c:pt>
                <c:pt idx="110">
                  <c:v>43376</c:v>
                </c:pt>
                <c:pt idx="111">
                  <c:v>43375</c:v>
                </c:pt>
                <c:pt idx="112">
                  <c:v>43374</c:v>
                </c:pt>
                <c:pt idx="113">
                  <c:v>43371</c:v>
                </c:pt>
                <c:pt idx="114">
                  <c:v>43370</c:v>
                </c:pt>
                <c:pt idx="115">
                  <c:v>43369</c:v>
                </c:pt>
                <c:pt idx="116">
                  <c:v>43368</c:v>
                </c:pt>
                <c:pt idx="117">
                  <c:v>43367</c:v>
                </c:pt>
                <c:pt idx="118">
                  <c:v>43364</c:v>
                </c:pt>
                <c:pt idx="119">
                  <c:v>43363</c:v>
                </c:pt>
                <c:pt idx="120">
                  <c:v>43362</c:v>
                </c:pt>
                <c:pt idx="121">
                  <c:v>43361</c:v>
                </c:pt>
                <c:pt idx="122">
                  <c:v>43360</c:v>
                </c:pt>
                <c:pt idx="123">
                  <c:v>43357</c:v>
                </c:pt>
                <c:pt idx="124">
                  <c:v>43356</c:v>
                </c:pt>
                <c:pt idx="125">
                  <c:v>43355</c:v>
                </c:pt>
                <c:pt idx="126">
                  <c:v>43354</c:v>
                </c:pt>
                <c:pt idx="127">
                  <c:v>43353</c:v>
                </c:pt>
                <c:pt idx="128">
                  <c:v>43350</c:v>
                </c:pt>
                <c:pt idx="129">
                  <c:v>43349</c:v>
                </c:pt>
                <c:pt idx="130">
                  <c:v>43348</c:v>
                </c:pt>
                <c:pt idx="131">
                  <c:v>43347</c:v>
                </c:pt>
                <c:pt idx="132">
                  <c:v>43346</c:v>
                </c:pt>
                <c:pt idx="133">
                  <c:v>43343</c:v>
                </c:pt>
                <c:pt idx="134">
                  <c:v>43342</c:v>
                </c:pt>
                <c:pt idx="135">
                  <c:v>43341</c:v>
                </c:pt>
                <c:pt idx="136">
                  <c:v>43340</c:v>
                </c:pt>
                <c:pt idx="137">
                  <c:v>43339</c:v>
                </c:pt>
                <c:pt idx="138">
                  <c:v>43336</c:v>
                </c:pt>
                <c:pt idx="139">
                  <c:v>43335</c:v>
                </c:pt>
                <c:pt idx="140">
                  <c:v>43334</c:v>
                </c:pt>
                <c:pt idx="141">
                  <c:v>43333</c:v>
                </c:pt>
                <c:pt idx="142">
                  <c:v>43332</c:v>
                </c:pt>
                <c:pt idx="143">
                  <c:v>43329</c:v>
                </c:pt>
                <c:pt idx="144">
                  <c:v>43328</c:v>
                </c:pt>
                <c:pt idx="145">
                  <c:v>43327</c:v>
                </c:pt>
                <c:pt idx="146">
                  <c:v>43326</c:v>
                </c:pt>
                <c:pt idx="147">
                  <c:v>43325</c:v>
                </c:pt>
                <c:pt idx="148">
                  <c:v>43322</c:v>
                </c:pt>
                <c:pt idx="149">
                  <c:v>43321</c:v>
                </c:pt>
                <c:pt idx="150">
                  <c:v>43320</c:v>
                </c:pt>
                <c:pt idx="151">
                  <c:v>43319</c:v>
                </c:pt>
                <c:pt idx="152">
                  <c:v>43318</c:v>
                </c:pt>
                <c:pt idx="153">
                  <c:v>43315</c:v>
                </c:pt>
                <c:pt idx="154">
                  <c:v>43314</c:v>
                </c:pt>
                <c:pt idx="155">
                  <c:v>43313</c:v>
                </c:pt>
                <c:pt idx="156">
                  <c:v>43312</c:v>
                </c:pt>
                <c:pt idx="157">
                  <c:v>43311</c:v>
                </c:pt>
                <c:pt idx="158">
                  <c:v>43308</c:v>
                </c:pt>
                <c:pt idx="159">
                  <c:v>43307</c:v>
                </c:pt>
                <c:pt idx="160">
                  <c:v>43306</c:v>
                </c:pt>
                <c:pt idx="161">
                  <c:v>43305</c:v>
                </c:pt>
                <c:pt idx="162">
                  <c:v>43304</c:v>
                </c:pt>
                <c:pt idx="163">
                  <c:v>43301</c:v>
                </c:pt>
                <c:pt idx="164">
                  <c:v>43300</c:v>
                </c:pt>
                <c:pt idx="165">
                  <c:v>43299</c:v>
                </c:pt>
                <c:pt idx="166">
                  <c:v>43298</c:v>
                </c:pt>
                <c:pt idx="167">
                  <c:v>43297</c:v>
                </c:pt>
                <c:pt idx="168">
                  <c:v>43294</c:v>
                </c:pt>
                <c:pt idx="169">
                  <c:v>43293</c:v>
                </c:pt>
                <c:pt idx="170">
                  <c:v>43292</c:v>
                </c:pt>
                <c:pt idx="171">
                  <c:v>43291</c:v>
                </c:pt>
                <c:pt idx="172">
                  <c:v>43290</c:v>
                </c:pt>
                <c:pt idx="173">
                  <c:v>43287</c:v>
                </c:pt>
                <c:pt idx="174">
                  <c:v>43286</c:v>
                </c:pt>
                <c:pt idx="175">
                  <c:v>43285</c:v>
                </c:pt>
                <c:pt idx="176">
                  <c:v>43284</c:v>
                </c:pt>
                <c:pt idx="177">
                  <c:v>43283</c:v>
                </c:pt>
                <c:pt idx="178">
                  <c:v>43280</c:v>
                </c:pt>
                <c:pt idx="179">
                  <c:v>43279</c:v>
                </c:pt>
                <c:pt idx="180">
                  <c:v>43278</c:v>
                </c:pt>
                <c:pt idx="181">
                  <c:v>43277</c:v>
                </c:pt>
                <c:pt idx="182">
                  <c:v>43276</c:v>
                </c:pt>
                <c:pt idx="183">
                  <c:v>43273</c:v>
                </c:pt>
                <c:pt idx="184">
                  <c:v>43272</c:v>
                </c:pt>
                <c:pt idx="185">
                  <c:v>43271</c:v>
                </c:pt>
                <c:pt idx="186">
                  <c:v>43270</c:v>
                </c:pt>
                <c:pt idx="187">
                  <c:v>43269</c:v>
                </c:pt>
                <c:pt idx="188">
                  <c:v>43266</c:v>
                </c:pt>
                <c:pt idx="189">
                  <c:v>43265</c:v>
                </c:pt>
                <c:pt idx="190">
                  <c:v>43264</c:v>
                </c:pt>
                <c:pt idx="191">
                  <c:v>43263</c:v>
                </c:pt>
                <c:pt idx="192">
                  <c:v>43262</c:v>
                </c:pt>
                <c:pt idx="193">
                  <c:v>43259</c:v>
                </c:pt>
                <c:pt idx="194">
                  <c:v>43258</c:v>
                </c:pt>
                <c:pt idx="195">
                  <c:v>43257</c:v>
                </c:pt>
                <c:pt idx="196">
                  <c:v>43256</c:v>
                </c:pt>
                <c:pt idx="197">
                  <c:v>43255</c:v>
                </c:pt>
                <c:pt idx="198">
                  <c:v>43252</c:v>
                </c:pt>
                <c:pt idx="199">
                  <c:v>43251</c:v>
                </c:pt>
                <c:pt idx="200">
                  <c:v>43250</c:v>
                </c:pt>
                <c:pt idx="201">
                  <c:v>43249</c:v>
                </c:pt>
                <c:pt idx="202">
                  <c:v>43248</c:v>
                </c:pt>
                <c:pt idx="203">
                  <c:v>43245</c:v>
                </c:pt>
                <c:pt idx="204">
                  <c:v>43244</c:v>
                </c:pt>
                <c:pt idx="205">
                  <c:v>43243</c:v>
                </c:pt>
                <c:pt idx="206">
                  <c:v>43242</c:v>
                </c:pt>
                <c:pt idx="207">
                  <c:v>43241</c:v>
                </c:pt>
                <c:pt idx="208">
                  <c:v>43238</c:v>
                </c:pt>
                <c:pt idx="209">
                  <c:v>43237</c:v>
                </c:pt>
                <c:pt idx="210">
                  <c:v>43236</c:v>
                </c:pt>
                <c:pt idx="211">
                  <c:v>43235</c:v>
                </c:pt>
                <c:pt idx="212">
                  <c:v>43234</c:v>
                </c:pt>
                <c:pt idx="213">
                  <c:v>43231</c:v>
                </c:pt>
                <c:pt idx="214">
                  <c:v>43230</c:v>
                </c:pt>
                <c:pt idx="215">
                  <c:v>43229</c:v>
                </c:pt>
                <c:pt idx="216">
                  <c:v>43228</c:v>
                </c:pt>
                <c:pt idx="217">
                  <c:v>43227</c:v>
                </c:pt>
                <c:pt idx="218">
                  <c:v>43224</c:v>
                </c:pt>
                <c:pt idx="219">
                  <c:v>43223</c:v>
                </c:pt>
                <c:pt idx="220">
                  <c:v>43222</c:v>
                </c:pt>
                <c:pt idx="221">
                  <c:v>43221</c:v>
                </c:pt>
                <c:pt idx="222">
                  <c:v>43220</c:v>
                </c:pt>
                <c:pt idx="223">
                  <c:v>43217</c:v>
                </c:pt>
                <c:pt idx="224">
                  <c:v>43216</c:v>
                </c:pt>
                <c:pt idx="225">
                  <c:v>43215</c:v>
                </c:pt>
                <c:pt idx="226">
                  <c:v>43214</c:v>
                </c:pt>
                <c:pt idx="227">
                  <c:v>43213</c:v>
                </c:pt>
                <c:pt idx="228">
                  <c:v>43210</c:v>
                </c:pt>
                <c:pt idx="229">
                  <c:v>43209</c:v>
                </c:pt>
                <c:pt idx="230">
                  <c:v>43208</c:v>
                </c:pt>
                <c:pt idx="231">
                  <c:v>43207</c:v>
                </c:pt>
                <c:pt idx="232">
                  <c:v>43206</c:v>
                </c:pt>
                <c:pt idx="233">
                  <c:v>43203</c:v>
                </c:pt>
                <c:pt idx="234">
                  <c:v>43202</c:v>
                </c:pt>
                <c:pt idx="235">
                  <c:v>43201</c:v>
                </c:pt>
                <c:pt idx="236">
                  <c:v>43200</c:v>
                </c:pt>
                <c:pt idx="237">
                  <c:v>43199</c:v>
                </c:pt>
                <c:pt idx="238">
                  <c:v>43196</c:v>
                </c:pt>
                <c:pt idx="239">
                  <c:v>43195</c:v>
                </c:pt>
                <c:pt idx="240">
                  <c:v>43194</c:v>
                </c:pt>
                <c:pt idx="241">
                  <c:v>43193</c:v>
                </c:pt>
                <c:pt idx="242">
                  <c:v>43192</c:v>
                </c:pt>
                <c:pt idx="243">
                  <c:v>43189</c:v>
                </c:pt>
                <c:pt idx="244">
                  <c:v>43188</c:v>
                </c:pt>
                <c:pt idx="245">
                  <c:v>43187</c:v>
                </c:pt>
                <c:pt idx="246">
                  <c:v>43186</c:v>
                </c:pt>
                <c:pt idx="247">
                  <c:v>43185</c:v>
                </c:pt>
                <c:pt idx="248">
                  <c:v>43182</c:v>
                </c:pt>
                <c:pt idx="249">
                  <c:v>43181</c:v>
                </c:pt>
                <c:pt idx="250">
                  <c:v>43180</c:v>
                </c:pt>
                <c:pt idx="251">
                  <c:v>43179</c:v>
                </c:pt>
                <c:pt idx="252">
                  <c:v>43178</c:v>
                </c:pt>
                <c:pt idx="253">
                  <c:v>43175</c:v>
                </c:pt>
                <c:pt idx="254">
                  <c:v>43174</c:v>
                </c:pt>
                <c:pt idx="255">
                  <c:v>43173</c:v>
                </c:pt>
                <c:pt idx="256">
                  <c:v>43172</c:v>
                </c:pt>
                <c:pt idx="257">
                  <c:v>43171</c:v>
                </c:pt>
                <c:pt idx="258">
                  <c:v>43168</c:v>
                </c:pt>
                <c:pt idx="259">
                  <c:v>43167</c:v>
                </c:pt>
                <c:pt idx="260">
                  <c:v>43166</c:v>
                </c:pt>
                <c:pt idx="261">
                  <c:v>43165</c:v>
                </c:pt>
                <c:pt idx="262">
                  <c:v>43164</c:v>
                </c:pt>
                <c:pt idx="263">
                  <c:v>43161</c:v>
                </c:pt>
                <c:pt idx="264">
                  <c:v>43160</c:v>
                </c:pt>
                <c:pt idx="265">
                  <c:v>43159</c:v>
                </c:pt>
                <c:pt idx="266">
                  <c:v>43158</c:v>
                </c:pt>
                <c:pt idx="267">
                  <c:v>43157</c:v>
                </c:pt>
                <c:pt idx="268">
                  <c:v>43154</c:v>
                </c:pt>
                <c:pt idx="269">
                  <c:v>43153</c:v>
                </c:pt>
                <c:pt idx="270">
                  <c:v>43152</c:v>
                </c:pt>
                <c:pt idx="271">
                  <c:v>43143</c:v>
                </c:pt>
                <c:pt idx="272">
                  <c:v>43140</c:v>
                </c:pt>
                <c:pt idx="273">
                  <c:v>43139</c:v>
                </c:pt>
                <c:pt idx="274">
                  <c:v>43138</c:v>
                </c:pt>
                <c:pt idx="275">
                  <c:v>43137</c:v>
                </c:pt>
                <c:pt idx="276">
                  <c:v>43136</c:v>
                </c:pt>
                <c:pt idx="277">
                  <c:v>43133</c:v>
                </c:pt>
                <c:pt idx="278">
                  <c:v>43132</c:v>
                </c:pt>
                <c:pt idx="279">
                  <c:v>43131</c:v>
                </c:pt>
                <c:pt idx="280">
                  <c:v>43130</c:v>
                </c:pt>
                <c:pt idx="281">
                  <c:v>43129</c:v>
                </c:pt>
                <c:pt idx="282">
                  <c:v>43126</c:v>
                </c:pt>
                <c:pt idx="283">
                  <c:v>43125</c:v>
                </c:pt>
                <c:pt idx="284">
                  <c:v>43124</c:v>
                </c:pt>
                <c:pt idx="285">
                  <c:v>43123</c:v>
                </c:pt>
                <c:pt idx="286">
                  <c:v>43122</c:v>
                </c:pt>
                <c:pt idx="287">
                  <c:v>43119</c:v>
                </c:pt>
                <c:pt idx="288">
                  <c:v>43118</c:v>
                </c:pt>
                <c:pt idx="289">
                  <c:v>43117</c:v>
                </c:pt>
                <c:pt idx="290">
                  <c:v>43116</c:v>
                </c:pt>
                <c:pt idx="291">
                  <c:v>43115</c:v>
                </c:pt>
                <c:pt idx="292">
                  <c:v>43112</c:v>
                </c:pt>
                <c:pt idx="293">
                  <c:v>43111</c:v>
                </c:pt>
                <c:pt idx="294">
                  <c:v>43110</c:v>
                </c:pt>
                <c:pt idx="295">
                  <c:v>43109</c:v>
                </c:pt>
                <c:pt idx="296">
                  <c:v>43108</c:v>
                </c:pt>
                <c:pt idx="297">
                  <c:v>43105</c:v>
                </c:pt>
                <c:pt idx="298">
                  <c:v>43104</c:v>
                </c:pt>
                <c:pt idx="299">
                  <c:v>43103</c:v>
                </c:pt>
                <c:pt idx="300">
                  <c:v>43102</c:v>
                </c:pt>
                <c:pt idx="301">
                  <c:v>43101</c:v>
                </c:pt>
                <c:pt idx="302">
                  <c:v>43098</c:v>
                </c:pt>
                <c:pt idx="303">
                  <c:v>43097</c:v>
                </c:pt>
                <c:pt idx="304">
                  <c:v>43096</c:v>
                </c:pt>
                <c:pt idx="305">
                  <c:v>43095</c:v>
                </c:pt>
                <c:pt idx="306">
                  <c:v>43094</c:v>
                </c:pt>
                <c:pt idx="307">
                  <c:v>43091</c:v>
                </c:pt>
                <c:pt idx="308">
                  <c:v>43090</c:v>
                </c:pt>
                <c:pt idx="309">
                  <c:v>43089</c:v>
                </c:pt>
                <c:pt idx="310">
                  <c:v>43088</c:v>
                </c:pt>
                <c:pt idx="311">
                  <c:v>43087</c:v>
                </c:pt>
                <c:pt idx="312">
                  <c:v>43084</c:v>
                </c:pt>
                <c:pt idx="313">
                  <c:v>43083</c:v>
                </c:pt>
                <c:pt idx="314">
                  <c:v>43082</c:v>
                </c:pt>
                <c:pt idx="315">
                  <c:v>43081</c:v>
                </c:pt>
                <c:pt idx="316">
                  <c:v>43080</c:v>
                </c:pt>
                <c:pt idx="317">
                  <c:v>43077</c:v>
                </c:pt>
                <c:pt idx="318">
                  <c:v>43076</c:v>
                </c:pt>
                <c:pt idx="319">
                  <c:v>43075</c:v>
                </c:pt>
                <c:pt idx="320">
                  <c:v>43074</c:v>
                </c:pt>
                <c:pt idx="321">
                  <c:v>43073</c:v>
                </c:pt>
                <c:pt idx="322">
                  <c:v>43070</c:v>
                </c:pt>
                <c:pt idx="323">
                  <c:v>43069</c:v>
                </c:pt>
                <c:pt idx="324">
                  <c:v>43068</c:v>
                </c:pt>
                <c:pt idx="325">
                  <c:v>43067</c:v>
                </c:pt>
                <c:pt idx="326">
                  <c:v>43066</c:v>
                </c:pt>
                <c:pt idx="327">
                  <c:v>43063</c:v>
                </c:pt>
                <c:pt idx="328">
                  <c:v>43062</c:v>
                </c:pt>
                <c:pt idx="329">
                  <c:v>43061</c:v>
                </c:pt>
                <c:pt idx="330">
                  <c:v>43060</c:v>
                </c:pt>
                <c:pt idx="331">
                  <c:v>43059</c:v>
                </c:pt>
                <c:pt idx="332">
                  <c:v>43056</c:v>
                </c:pt>
                <c:pt idx="333">
                  <c:v>43055</c:v>
                </c:pt>
                <c:pt idx="334">
                  <c:v>43054</c:v>
                </c:pt>
                <c:pt idx="335">
                  <c:v>43053</c:v>
                </c:pt>
                <c:pt idx="336">
                  <c:v>43052</c:v>
                </c:pt>
                <c:pt idx="337">
                  <c:v>43049</c:v>
                </c:pt>
                <c:pt idx="338">
                  <c:v>43048</c:v>
                </c:pt>
                <c:pt idx="339">
                  <c:v>43047</c:v>
                </c:pt>
                <c:pt idx="340">
                  <c:v>43046</c:v>
                </c:pt>
                <c:pt idx="341">
                  <c:v>43045</c:v>
                </c:pt>
                <c:pt idx="342">
                  <c:v>43042</c:v>
                </c:pt>
                <c:pt idx="343">
                  <c:v>43041</c:v>
                </c:pt>
                <c:pt idx="344">
                  <c:v>43040</c:v>
                </c:pt>
                <c:pt idx="345">
                  <c:v>43039</c:v>
                </c:pt>
                <c:pt idx="346">
                  <c:v>43038</c:v>
                </c:pt>
                <c:pt idx="347">
                  <c:v>43035</c:v>
                </c:pt>
                <c:pt idx="348">
                  <c:v>43034</c:v>
                </c:pt>
                <c:pt idx="349">
                  <c:v>43033</c:v>
                </c:pt>
                <c:pt idx="350">
                  <c:v>43032</c:v>
                </c:pt>
                <c:pt idx="351">
                  <c:v>43031</c:v>
                </c:pt>
                <c:pt idx="352">
                  <c:v>43028</c:v>
                </c:pt>
                <c:pt idx="353">
                  <c:v>43027</c:v>
                </c:pt>
                <c:pt idx="354">
                  <c:v>43026</c:v>
                </c:pt>
                <c:pt idx="355">
                  <c:v>43025</c:v>
                </c:pt>
                <c:pt idx="356">
                  <c:v>43024</c:v>
                </c:pt>
                <c:pt idx="357">
                  <c:v>43021</c:v>
                </c:pt>
                <c:pt idx="358">
                  <c:v>43020</c:v>
                </c:pt>
                <c:pt idx="359">
                  <c:v>43019</c:v>
                </c:pt>
                <c:pt idx="360">
                  <c:v>43018</c:v>
                </c:pt>
                <c:pt idx="361">
                  <c:v>43017</c:v>
                </c:pt>
                <c:pt idx="362">
                  <c:v>43014</c:v>
                </c:pt>
                <c:pt idx="363">
                  <c:v>43007</c:v>
                </c:pt>
                <c:pt idx="364">
                  <c:v>43006</c:v>
                </c:pt>
                <c:pt idx="365">
                  <c:v>43005</c:v>
                </c:pt>
                <c:pt idx="366">
                  <c:v>43004</c:v>
                </c:pt>
                <c:pt idx="367">
                  <c:v>43003</c:v>
                </c:pt>
                <c:pt idx="368">
                  <c:v>43000</c:v>
                </c:pt>
                <c:pt idx="369">
                  <c:v>42999</c:v>
                </c:pt>
                <c:pt idx="370">
                  <c:v>42998</c:v>
                </c:pt>
                <c:pt idx="371">
                  <c:v>42997</c:v>
                </c:pt>
                <c:pt idx="372">
                  <c:v>42996</c:v>
                </c:pt>
                <c:pt idx="373">
                  <c:v>42993</c:v>
                </c:pt>
                <c:pt idx="374">
                  <c:v>42992</c:v>
                </c:pt>
                <c:pt idx="375">
                  <c:v>42991</c:v>
                </c:pt>
                <c:pt idx="376">
                  <c:v>42990</c:v>
                </c:pt>
                <c:pt idx="377">
                  <c:v>42989</c:v>
                </c:pt>
                <c:pt idx="378">
                  <c:v>42986</c:v>
                </c:pt>
                <c:pt idx="379">
                  <c:v>42985</c:v>
                </c:pt>
                <c:pt idx="380">
                  <c:v>42984</c:v>
                </c:pt>
                <c:pt idx="381">
                  <c:v>42983</c:v>
                </c:pt>
                <c:pt idx="382">
                  <c:v>42982</c:v>
                </c:pt>
                <c:pt idx="383">
                  <c:v>42979</c:v>
                </c:pt>
                <c:pt idx="384">
                  <c:v>42978</c:v>
                </c:pt>
                <c:pt idx="385">
                  <c:v>42977</c:v>
                </c:pt>
                <c:pt idx="386">
                  <c:v>42976</c:v>
                </c:pt>
                <c:pt idx="387">
                  <c:v>42975</c:v>
                </c:pt>
                <c:pt idx="388">
                  <c:v>42972</c:v>
                </c:pt>
                <c:pt idx="389">
                  <c:v>42971</c:v>
                </c:pt>
                <c:pt idx="390">
                  <c:v>42970</c:v>
                </c:pt>
                <c:pt idx="391">
                  <c:v>42969</c:v>
                </c:pt>
                <c:pt idx="392">
                  <c:v>42968</c:v>
                </c:pt>
                <c:pt idx="393">
                  <c:v>42965</c:v>
                </c:pt>
                <c:pt idx="394">
                  <c:v>42964</c:v>
                </c:pt>
                <c:pt idx="395">
                  <c:v>42963</c:v>
                </c:pt>
                <c:pt idx="396">
                  <c:v>42962</c:v>
                </c:pt>
                <c:pt idx="397">
                  <c:v>42961</c:v>
                </c:pt>
                <c:pt idx="398">
                  <c:v>42958</c:v>
                </c:pt>
                <c:pt idx="399">
                  <c:v>42957</c:v>
                </c:pt>
                <c:pt idx="400">
                  <c:v>42956</c:v>
                </c:pt>
                <c:pt idx="401">
                  <c:v>42955</c:v>
                </c:pt>
                <c:pt idx="402">
                  <c:v>42954</c:v>
                </c:pt>
                <c:pt idx="403">
                  <c:v>42951</c:v>
                </c:pt>
                <c:pt idx="404">
                  <c:v>42950</c:v>
                </c:pt>
                <c:pt idx="405">
                  <c:v>42949</c:v>
                </c:pt>
                <c:pt idx="406">
                  <c:v>42948</c:v>
                </c:pt>
                <c:pt idx="407">
                  <c:v>42947</c:v>
                </c:pt>
                <c:pt idx="408">
                  <c:v>42944</c:v>
                </c:pt>
                <c:pt idx="409">
                  <c:v>42943</c:v>
                </c:pt>
                <c:pt idx="410">
                  <c:v>42942</c:v>
                </c:pt>
                <c:pt idx="411">
                  <c:v>42941</c:v>
                </c:pt>
                <c:pt idx="412">
                  <c:v>42940</c:v>
                </c:pt>
                <c:pt idx="413">
                  <c:v>42937</c:v>
                </c:pt>
                <c:pt idx="414">
                  <c:v>42936</c:v>
                </c:pt>
                <c:pt idx="415">
                  <c:v>42935</c:v>
                </c:pt>
                <c:pt idx="416">
                  <c:v>42934</c:v>
                </c:pt>
                <c:pt idx="417">
                  <c:v>42933</c:v>
                </c:pt>
                <c:pt idx="418">
                  <c:v>42930</c:v>
                </c:pt>
                <c:pt idx="419">
                  <c:v>42929</c:v>
                </c:pt>
                <c:pt idx="420">
                  <c:v>42928</c:v>
                </c:pt>
                <c:pt idx="421">
                  <c:v>42927</c:v>
                </c:pt>
                <c:pt idx="422">
                  <c:v>42926</c:v>
                </c:pt>
                <c:pt idx="423">
                  <c:v>42923</c:v>
                </c:pt>
                <c:pt idx="424">
                  <c:v>42922</c:v>
                </c:pt>
                <c:pt idx="425">
                  <c:v>42921</c:v>
                </c:pt>
                <c:pt idx="426">
                  <c:v>42920</c:v>
                </c:pt>
                <c:pt idx="427">
                  <c:v>42919</c:v>
                </c:pt>
                <c:pt idx="428">
                  <c:v>42916</c:v>
                </c:pt>
                <c:pt idx="429">
                  <c:v>42915</c:v>
                </c:pt>
                <c:pt idx="430">
                  <c:v>42914</c:v>
                </c:pt>
                <c:pt idx="431">
                  <c:v>42913</c:v>
                </c:pt>
                <c:pt idx="432">
                  <c:v>42912</c:v>
                </c:pt>
                <c:pt idx="433">
                  <c:v>42909</c:v>
                </c:pt>
                <c:pt idx="434">
                  <c:v>42908</c:v>
                </c:pt>
                <c:pt idx="435">
                  <c:v>42907</c:v>
                </c:pt>
                <c:pt idx="436">
                  <c:v>42906</c:v>
                </c:pt>
                <c:pt idx="437">
                  <c:v>42905</c:v>
                </c:pt>
                <c:pt idx="438">
                  <c:v>42902</c:v>
                </c:pt>
                <c:pt idx="439">
                  <c:v>42901</c:v>
                </c:pt>
                <c:pt idx="440">
                  <c:v>42900</c:v>
                </c:pt>
                <c:pt idx="441">
                  <c:v>42899</c:v>
                </c:pt>
                <c:pt idx="442">
                  <c:v>42898</c:v>
                </c:pt>
                <c:pt idx="443">
                  <c:v>42895</c:v>
                </c:pt>
                <c:pt idx="444">
                  <c:v>42894</c:v>
                </c:pt>
                <c:pt idx="445">
                  <c:v>42893</c:v>
                </c:pt>
                <c:pt idx="446">
                  <c:v>42892</c:v>
                </c:pt>
                <c:pt idx="447">
                  <c:v>42891</c:v>
                </c:pt>
                <c:pt idx="448">
                  <c:v>42888</c:v>
                </c:pt>
                <c:pt idx="449">
                  <c:v>42887</c:v>
                </c:pt>
                <c:pt idx="450">
                  <c:v>42886</c:v>
                </c:pt>
                <c:pt idx="451">
                  <c:v>42885</c:v>
                </c:pt>
                <c:pt idx="452">
                  <c:v>42884</c:v>
                </c:pt>
                <c:pt idx="453">
                  <c:v>42881</c:v>
                </c:pt>
                <c:pt idx="454">
                  <c:v>42880</c:v>
                </c:pt>
                <c:pt idx="455">
                  <c:v>42879</c:v>
                </c:pt>
                <c:pt idx="456">
                  <c:v>42878</c:v>
                </c:pt>
                <c:pt idx="457">
                  <c:v>42877</c:v>
                </c:pt>
                <c:pt idx="458">
                  <c:v>42874</c:v>
                </c:pt>
                <c:pt idx="459">
                  <c:v>42873</c:v>
                </c:pt>
                <c:pt idx="460">
                  <c:v>42872</c:v>
                </c:pt>
                <c:pt idx="461">
                  <c:v>42871</c:v>
                </c:pt>
                <c:pt idx="462">
                  <c:v>42870</c:v>
                </c:pt>
                <c:pt idx="463">
                  <c:v>42867</c:v>
                </c:pt>
                <c:pt idx="464">
                  <c:v>42866</c:v>
                </c:pt>
                <c:pt idx="465">
                  <c:v>42865</c:v>
                </c:pt>
                <c:pt idx="466">
                  <c:v>42864</c:v>
                </c:pt>
                <c:pt idx="467">
                  <c:v>42863</c:v>
                </c:pt>
                <c:pt idx="468">
                  <c:v>42860</c:v>
                </c:pt>
                <c:pt idx="469">
                  <c:v>42859</c:v>
                </c:pt>
                <c:pt idx="470">
                  <c:v>42858</c:v>
                </c:pt>
                <c:pt idx="471">
                  <c:v>42857</c:v>
                </c:pt>
                <c:pt idx="472">
                  <c:v>42856</c:v>
                </c:pt>
                <c:pt idx="473">
                  <c:v>42853</c:v>
                </c:pt>
                <c:pt idx="474">
                  <c:v>42852</c:v>
                </c:pt>
                <c:pt idx="475">
                  <c:v>42851</c:v>
                </c:pt>
                <c:pt idx="476">
                  <c:v>42850</c:v>
                </c:pt>
                <c:pt idx="477">
                  <c:v>42849</c:v>
                </c:pt>
                <c:pt idx="478">
                  <c:v>42846</c:v>
                </c:pt>
                <c:pt idx="479">
                  <c:v>42845</c:v>
                </c:pt>
                <c:pt idx="480">
                  <c:v>42844</c:v>
                </c:pt>
                <c:pt idx="481">
                  <c:v>42843</c:v>
                </c:pt>
                <c:pt idx="482">
                  <c:v>42842</c:v>
                </c:pt>
                <c:pt idx="483">
                  <c:v>42838</c:v>
                </c:pt>
                <c:pt idx="484">
                  <c:v>42837</c:v>
                </c:pt>
                <c:pt idx="485">
                  <c:v>42836</c:v>
                </c:pt>
                <c:pt idx="486">
                  <c:v>42835</c:v>
                </c:pt>
                <c:pt idx="487">
                  <c:v>42832</c:v>
                </c:pt>
                <c:pt idx="488">
                  <c:v>42831</c:v>
                </c:pt>
                <c:pt idx="489">
                  <c:v>42830</c:v>
                </c:pt>
                <c:pt idx="490">
                  <c:v>42829</c:v>
                </c:pt>
                <c:pt idx="491">
                  <c:v>42828</c:v>
                </c:pt>
                <c:pt idx="492">
                  <c:v>42825</c:v>
                </c:pt>
                <c:pt idx="493">
                  <c:v>42824</c:v>
                </c:pt>
                <c:pt idx="494">
                  <c:v>42823</c:v>
                </c:pt>
                <c:pt idx="495">
                  <c:v>42822</c:v>
                </c:pt>
                <c:pt idx="496">
                  <c:v>42821</c:v>
                </c:pt>
                <c:pt idx="497">
                  <c:v>42818</c:v>
                </c:pt>
                <c:pt idx="498">
                  <c:v>42817</c:v>
                </c:pt>
                <c:pt idx="499">
                  <c:v>42816</c:v>
                </c:pt>
                <c:pt idx="500">
                  <c:v>42815</c:v>
                </c:pt>
                <c:pt idx="501">
                  <c:v>42814</c:v>
                </c:pt>
                <c:pt idx="502">
                  <c:v>42811</c:v>
                </c:pt>
                <c:pt idx="503">
                  <c:v>42810</c:v>
                </c:pt>
                <c:pt idx="504">
                  <c:v>42809</c:v>
                </c:pt>
                <c:pt idx="505">
                  <c:v>42808</c:v>
                </c:pt>
                <c:pt idx="506">
                  <c:v>42807</c:v>
                </c:pt>
                <c:pt idx="507">
                  <c:v>42804</c:v>
                </c:pt>
                <c:pt idx="508">
                  <c:v>42803</c:v>
                </c:pt>
                <c:pt idx="509">
                  <c:v>42802</c:v>
                </c:pt>
                <c:pt idx="510">
                  <c:v>42801</c:v>
                </c:pt>
                <c:pt idx="511">
                  <c:v>42800</c:v>
                </c:pt>
                <c:pt idx="512">
                  <c:v>42797</c:v>
                </c:pt>
                <c:pt idx="513">
                  <c:v>42796</c:v>
                </c:pt>
                <c:pt idx="514">
                  <c:v>42795</c:v>
                </c:pt>
                <c:pt idx="515">
                  <c:v>42794</c:v>
                </c:pt>
                <c:pt idx="516">
                  <c:v>42793</c:v>
                </c:pt>
                <c:pt idx="517">
                  <c:v>42790</c:v>
                </c:pt>
                <c:pt idx="518">
                  <c:v>42789</c:v>
                </c:pt>
                <c:pt idx="519">
                  <c:v>42788</c:v>
                </c:pt>
                <c:pt idx="520">
                  <c:v>42787</c:v>
                </c:pt>
                <c:pt idx="521">
                  <c:v>42786</c:v>
                </c:pt>
                <c:pt idx="522">
                  <c:v>42783</c:v>
                </c:pt>
                <c:pt idx="523">
                  <c:v>42782</c:v>
                </c:pt>
                <c:pt idx="524">
                  <c:v>42781</c:v>
                </c:pt>
                <c:pt idx="525">
                  <c:v>42780</c:v>
                </c:pt>
                <c:pt idx="526">
                  <c:v>42779</c:v>
                </c:pt>
                <c:pt idx="527">
                  <c:v>42776</c:v>
                </c:pt>
                <c:pt idx="528">
                  <c:v>42775</c:v>
                </c:pt>
                <c:pt idx="529">
                  <c:v>42774</c:v>
                </c:pt>
                <c:pt idx="530">
                  <c:v>42773</c:v>
                </c:pt>
                <c:pt idx="531">
                  <c:v>42772</c:v>
                </c:pt>
                <c:pt idx="532">
                  <c:v>42769</c:v>
                </c:pt>
                <c:pt idx="533">
                  <c:v>42768</c:v>
                </c:pt>
                <c:pt idx="534">
                  <c:v>42767</c:v>
                </c:pt>
                <c:pt idx="535">
                  <c:v>42766</c:v>
                </c:pt>
                <c:pt idx="536">
                  <c:v>42765</c:v>
                </c:pt>
                <c:pt idx="537">
                  <c:v>42762</c:v>
                </c:pt>
                <c:pt idx="538">
                  <c:v>42761</c:v>
                </c:pt>
                <c:pt idx="539">
                  <c:v>42760</c:v>
                </c:pt>
                <c:pt idx="540">
                  <c:v>42759</c:v>
                </c:pt>
                <c:pt idx="541">
                  <c:v>42758</c:v>
                </c:pt>
                <c:pt idx="542">
                  <c:v>42755</c:v>
                </c:pt>
                <c:pt idx="543">
                  <c:v>42754</c:v>
                </c:pt>
                <c:pt idx="544">
                  <c:v>42753</c:v>
                </c:pt>
                <c:pt idx="545">
                  <c:v>42752</c:v>
                </c:pt>
                <c:pt idx="546">
                  <c:v>42751</c:v>
                </c:pt>
                <c:pt idx="547">
                  <c:v>42748</c:v>
                </c:pt>
                <c:pt idx="548">
                  <c:v>42747</c:v>
                </c:pt>
                <c:pt idx="549">
                  <c:v>42746</c:v>
                </c:pt>
                <c:pt idx="550">
                  <c:v>42745</c:v>
                </c:pt>
                <c:pt idx="551">
                  <c:v>42744</c:v>
                </c:pt>
                <c:pt idx="552">
                  <c:v>42741</c:v>
                </c:pt>
                <c:pt idx="553">
                  <c:v>42740</c:v>
                </c:pt>
                <c:pt idx="554">
                  <c:v>42739</c:v>
                </c:pt>
                <c:pt idx="555">
                  <c:v>42738</c:v>
                </c:pt>
                <c:pt idx="556">
                  <c:v>42734</c:v>
                </c:pt>
                <c:pt idx="557">
                  <c:v>42733</c:v>
                </c:pt>
                <c:pt idx="558">
                  <c:v>42732</c:v>
                </c:pt>
                <c:pt idx="559">
                  <c:v>42731</c:v>
                </c:pt>
                <c:pt idx="560">
                  <c:v>42727</c:v>
                </c:pt>
                <c:pt idx="561">
                  <c:v>42726</c:v>
                </c:pt>
                <c:pt idx="562">
                  <c:v>42725</c:v>
                </c:pt>
                <c:pt idx="563">
                  <c:v>42724</c:v>
                </c:pt>
                <c:pt idx="564">
                  <c:v>42723</c:v>
                </c:pt>
                <c:pt idx="565">
                  <c:v>42720</c:v>
                </c:pt>
                <c:pt idx="566">
                  <c:v>42719</c:v>
                </c:pt>
                <c:pt idx="567">
                  <c:v>42718</c:v>
                </c:pt>
                <c:pt idx="568">
                  <c:v>42717</c:v>
                </c:pt>
                <c:pt idx="569">
                  <c:v>42716</c:v>
                </c:pt>
                <c:pt idx="570">
                  <c:v>42713</c:v>
                </c:pt>
                <c:pt idx="571">
                  <c:v>42712</c:v>
                </c:pt>
                <c:pt idx="572">
                  <c:v>42711</c:v>
                </c:pt>
                <c:pt idx="573">
                  <c:v>42710</c:v>
                </c:pt>
                <c:pt idx="574">
                  <c:v>42709</c:v>
                </c:pt>
                <c:pt idx="575">
                  <c:v>42706</c:v>
                </c:pt>
                <c:pt idx="576">
                  <c:v>42705</c:v>
                </c:pt>
                <c:pt idx="577">
                  <c:v>42704</c:v>
                </c:pt>
                <c:pt idx="578">
                  <c:v>42703</c:v>
                </c:pt>
                <c:pt idx="579">
                  <c:v>42702</c:v>
                </c:pt>
                <c:pt idx="580">
                  <c:v>42699</c:v>
                </c:pt>
                <c:pt idx="581">
                  <c:v>42698</c:v>
                </c:pt>
                <c:pt idx="582">
                  <c:v>42697</c:v>
                </c:pt>
                <c:pt idx="583">
                  <c:v>42696</c:v>
                </c:pt>
                <c:pt idx="584">
                  <c:v>42695</c:v>
                </c:pt>
                <c:pt idx="585">
                  <c:v>42692</c:v>
                </c:pt>
                <c:pt idx="586">
                  <c:v>42691</c:v>
                </c:pt>
                <c:pt idx="587">
                  <c:v>42690</c:v>
                </c:pt>
                <c:pt idx="588">
                  <c:v>42689</c:v>
                </c:pt>
                <c:pt idx="589">
                  <c:v>42688</c:v>
                </c:pt>
                <c:pt idx="590">
                  <c:v>42685</c:v>
                </c:pt>
                <c:pt idx="591">
                  <c:v>42684</c:v>
                </c:pt>
                <c:pt idx="592">
                  <c:v>42683</c:v>
                </c:pt>
                <c:pt idx="593">
                  <c:v>42682</c:v>
                </c:pt>
                <c:pt idx="594">
                  <c:v>42681</c:v>
                </c:pt>
                <c:pt idx="595">
                  <c:v>42678</c:v>
                </c:pt>
                <c:pt idx="596">
                  <c:v>42677</c:v>
                </c:pt>
                <c:pt idx="597">
                  <c:v>42676</c:v>
                </c:pt>
                <c:pt idx="598">
                  <c:v>42675</c:v>
                </c:pt>
                <c:pt idx="599">
                  <c:v>42674</c:v>
                </c:pt>
                <c:pt idx="600">
                  <c:v>42671</c:v>
                </c:pt>
                <c:pt idx="601">
                  <c:v>42670</c:v>
                </c:pt>
                <c:pt idx="602">
                  <c:v>42669</c:v>
                </c:pt>
                <c:pt idx="603">
                  <c:v>42668</c:v>
                </c:pt>
                <c:pt idx="604">
                  <c:v>42667</c:v>
                </c:pt>
                <c:pt idx="605">
                  <c:v>42664</c:v>
                </c:pt>
                <c:pt idx="606">
                  <c:v>42663</c:v>
                </c:pt>
                <c:pt idx="607">
                  <c:v>42662</c:v>
                </c:pt>
                <c:pt idx="608">
                  <c:v>42661</c:v>
                </c:pt>
                <c:pt idx="609">
                  <c:v>42660</c:v>
                </c:pt>
                <c:pt idx="610">
                  <c:v>42657</c:v>
                </c:pt>
                <c:pt idx="611">
                  <c:v>42656</c:v>
                </c:pt>
                <c:pt idx="612">
                  <c:v>42655</c:v>
                </c:pt>
                <c:pt idx="613">
                  <c:v>42654</c:v>
                </c:pt>
                <c:pt idx="614">
                  <c:v>42653</c:v>
                </c:pt>
                <c:pt idx="615">
                  <c:v>42650</c:v>
                </c:pt>
                <c:pt idx="616">
                  <c:v>42649</c:v>
                </c:pt>
                <c:pt idx="617">
                  <c:v>42648</c:v>
                </c:pt>
                <c:pt idx="618">
                  <c:v>42647</c:v>
                </c:pt>
                <c:pt idx="619">
                  <c:v>42646</c:v>
                </c:pt>
                <c:pt idx="620">
                  <c:v>42643</c:v>
                </c:pt>
                <c:pt idx="621">
                  <c:v>42642</c:v>
                </c:pt>
                <c:pt idx="622">
                  <c:v>42641</c:v>
                </c:pt>
                <c:pt idx="623">
                  <c:v>42640</c:v>
                </c:pt>
                <c:pt idx="624">
                  <c:v>42639</c:v>
                </c:pt>
                <c:pt idx="625">
                  <c:v>42636</c:v>
                </c:pt>
                <c:pt idx="626">
                  <c:v>42635</c:v>
                </c:pt>
                <c:pt idx="627">
                  <c:v>42634</c:v>
                </c:pt>
                <c:pt idx="628">
                  <c:v>42633</c:v>
                </c:pt>
                <c:pt idx="629">
                  <c:v>42632</c:v>
                </c:pt>
                <c:pt idx="630">
                  <c:v>42629</c:v>
                </c:pt>
                <c:pt idx="631">
                  <c:v>42628</c:v>
                </c:pt>
                <c:pt idx="632">
                  <c:v>42627</c:v>
                </c:pt>
                <c:pt idx="633">
                  <c:v>42626</c:v>
                </c:pt>
                <c:pt idx="634">
                  <c:v>42625</c:v>
                </c:pt>
                <c:pt idx="635">
                  <c:v>42622</c:v>
                </c:pt>
                <c:pt idx="636">
                  <c:v>42621</c:v>
                </c:pt>
                <c:pt idx="637">
                  <c:v>42620</c:v>
                </c:pt>
                <c:pt idx="638">
                  <c:v>42619</c:v>
                </c:pt>
                <c:pt idx="639">
                  <c:v>42618</c:v>
                </c:pt>
                <c:pt idx="640">
                  <c:v>42615</c:v>
                </c:pt>
                <c:pt idx="641">
                  <c:v>42614</c:v>
                </c:pt>
                <c:pt idx="642">
                  <c:v>42613</c:v>
                </c:pt>
                <c:pt idx="643">
                  <c:v>42612</c:v>
                </c:pt>
                <c:pt idx="644">
                  <c:v>42611</c:v>
                </c:pt>
                <c:pt idx="645">
                  <c:v>42608</c:v>
                </c:pt>
                <c:pt idx="646">
                  <c:v>42607</c:v>
                </c:pt>
                <c:pt idx="647">
                  <c:v>42606</c:v>
                </c:pt>
                <c:pt idx="648">
                  <c:v>42605</c:v>
                </c:pt>
                <c:pt idx="649">
                  <c:v>42604</c:v>
                </c:pt>
                <c:pt idx="650">
                  <c:v>42601</c:v>
                </c:pt>
                <c:pt idx="651">
                  <c:v>42600</c:v>
                </c:pt>
                <c:pt idx="652">
                  <c:v>42599</c:v>
                </c:pt>
                <c:pt idx="653">
                  <c:v>42598</c:v>
                </c:pt>
                <c:pt idx="654">
                  <c:v>42597</c:v>
                </c:pt>
                <c:pt idx="655">
                  <c:v>42594</c:v>
                </c:pt>
                <c:pt idx="656">
                  <c:v>42593</c:v>
                </c:pt>
                <c:pt idx="657">
                  <c:v>42592</c:v>
                </c:pt>
                <c:pt idx="658">
                  <c:v>42591</c:v>
                </c:pt>
                <c:pt idx="659">
                  <c:v>42590</c:v>
                </c:pt>
                <c:pt idx="660">
                  <c:v>42587</c:v>
                </c:pt>
                <c:pt idx="661">
                  <c:v>42586</c:v>
                </c:pt>
                <c:pt idx="662">
                  <c:v>42585</c:v>
                </c:pt>
                <c:pt idx="663">
                  <c:v>42584</c:v>
                </c:pt>
                <c:pt idx="664">
                  <c:v>42583</c:v>
                </c:pt>
                <c:pt idx="665">
                  <c:v>42580</c:v>
                </c:pt>
                <c:pt idx="666">
                  <c:v>42579</c:v>
                </c:pt>
                <c:pt idx="667">
                  <c:v>42578</c:v>
                </c:pt>
                <c:pt idx="668">
                  <c:v>42577</c:v>
                </c:pt>
                <c:pt idx="669">
                  <c:v>42576</c:v>
                </c:pt>
                <c:pt idx="670">
                  <c:v>42573</c:v>
                </c:pt>
                <c:pt idx="671">
                  <c:v>42572</c:v>
                </c:pt>
                <c:pt idx="672">
                  <c:v>42571</c:v>
                </c:pt>
                <c:pt idx="673">
                  <c:v>42570</c:v>
                </c:pt>
                <c:pt idx="674">
                  <c:v>42569</c:v>
                </c:pt>
                <c:pt idx="675">
                  <c:v>42566</c:v>
                </c:pt>
                <c:pt idx="676">
                  <c:v>42565</c:v>
                </c:pt>
                <c:pt idx="677">
                  <c:v>42564</c:v>
                </c:pt>
                <c:pt idx="678">
                  <c:v>42563</c:v>
                </c:pt>
                <c:pt idx="679">
                  <c:v>42562</c:v>
                </c:pt>
                <c:pt idx="680">
                  <c:v>42559</c:v>
                </c:pt>
                <c:pt idx="681">
                  <c:v>42558</c:v>
                </c:pt>
                <c:pt idx="682">
                  <c:v>42557</c:v>
                </c:pt>
                <c:pt idx="683">
                  <c:v>42556</c:v>
                </c:pt>
                <c:pt idx="684">
                  <c:v>42555</c:v>
                </c:pt>
              </c:numCache>
            </c:numRef>
          </c:cat>
          <c:val>
            <c:numRef>
              <c:f>'世界-走势图'!$C$2:$C$686</c:f>
              <c:numCache>
                <c:formatCode>General</c:formatCode>
                <c:ptCount val="685"/>
                <c:pt idx="0">
                  <c:v>65.989999999999995</c:v>
                </c:pt>
                <c:pt idx="1">
                  <c:v>65.86</c:v>
                </c:pt>
                <c:pt idx="2">
                  <c:v>65.669999999999987</c:v>
                </c:pt>
                <c:pt idx="3">
                  <c:v>65.069999999999993</c:v>
                </c:pt>
                <c:pt idx="4">
                  <c:v>66.03</c:v>
                </c:pt>
                <c:pt idx="5">
                  <c:v>66.39</c:v>
                </c:pt>
                <c:pt idx="6">
                  <c:v>65.209999999999994</c:v>
                </c:pt>
                <c:pt idx="7">
                  <c:v>64.760000000000005</c:v>
                </c:pt>
                <c:pt idx="8">
                  <c:v>67.11999999999999</c:v>
                </c:pt>
                <c:pt idx="9">
                  <c:v>67.069999999999993</c:v>
                </c:pt>
                <c:pt idx="10">
                  <c:v>67.08</c:v>
                </c:pt>
                <c:pt idx="11">
                  <c:v>66.45</c:v>
                </c:pt>
                <c:pt idx="12">
                  <c:v>66.5</c:v>
                </c:pt>
                <c:pt idx="13">
                  <c:v>66.25</c:v>
                </c:pt>
                <c:pt idx="14">
                  <c:v>64.569999999999993</c:v>
                </c:pt>
                <c:pt idx="15">
                  <c:v>63.61</c:v>
                </c:pt>
                <c:pt idx="16">
                  <c:v>62.42</c:v>
                </c:pt>
                <c:pt idx="17">
                  <c:v>61.51</c:v>
                </c:pt>
                <c:pt idx="18">
                  <c:v>62.1</c:v>
                </c:pt>
                <c:pt idx="19">
                  <c:v>61.63</c:v>
                </c:pt>
                <c:pt idx="20">
                  <c:v>62.690000000000012</c:v>
                </c:pt>
                <c:pt idx="21">
                  <c:v>61.98</c:v>
                </c:pt>
                <c:pt idx="22">
                  <c:v>62.51</c:v>
                </c:pt>
                <c:pt idx="23">
                  <c:v>62.75</c:v>
                </c:pt>
                <c:pt idx="24">
                  <c:v>61.89</c:v>
                </c:pt>
                <c:pt idx="25">
                  <c:v>61.65</c:v>
                </c:pt>
                <c:pt idx="26">
                  <c:v>61.32</c:v>
                </c:pt>
                <c:pt idx="27">
                  <c:v>59.93</c:v>
                </c:pt>
                <c:pt idx="28">
                  <c:v>61.64</c:v>
                </c:pt>
                <c:pt idx="29">
                  <c:v>61.09</c:v>
                </c:pt>
                <c:pt idx="30">
                  <c:v>61.14</c:v>
                </c:pt>
                <c:pt idx="31">
                  <c:v>61.5</c:v>
                </c:pt>
                <c:pt idx="32">
                  <c:v>62.74</c:v>
                </c:pt>
                <c:pt idx="33">
                  <c:v>62.720000000000013</c:v>
                </c:pt>
                <c:pt idx="34">
                  <c:v>61.18</c:v>
                </c:pt>
                <c:pt idx="35">
                  <c:v>61.32</c:v>
                </c:pt>
                <c:pt idx="36">
                  <c:v>60.64</c:v>
                </c:pt>
                <c:pt idx="37">
                  <c:v>58.99</c:v>
                </c:pt>
                <c:pt idx="38">
                  <c:v>60.48</c:v>
                </c:pt>
                <c:pt idx="39">
                  <c:v>61.68</c:v>
                </c:pt>
                <c:pt idx="40">
                  <c:v>61.44</c:v>
                </c:pt>
                <c:pt idx="41">
                  <c:v>58.720000000000013</c:v>
                </c:pt>
                <c:pt idx="42">
                  <c:v>57.33</c:v>
                </c:pt>
                <c:pt idx="43">
                  <c:v>57.06</c:v>
                </c:pt>
                <c:pt idx="44">
                  <c:v>55.95</c:v>
                </c:pt>
                <c:pt idx="45">
                  <c:v>54.91</c:v>
                </c:pt>
                <c:pt idx="48">
                  <c:v>52.2</c:v>
                </c:pt>
                <c:pt idx="49">
                  <c:v>52.160000000000011</c:v>
                </c:pt>
                <c:pt idx="50">
                  <c:v>54.47</c:v>
                </c:pt>
                <c:pt idx="52">
                  <c:v>50.47</c:v>
                </c:pt>
                <c:pt idx="53">
                  <c:v>53.82</c:v>
                </c:pt>
                <c:pt idx="54">
                  <c:v>54.35</c:v>
                </c:pt>
                <c:pt idx="55">
                  <c:v>57.24</c:v>
                </c:pt>
                <c:pt idx="56">
                  <c:v>56.260000000000012</c:v>
                </c:pt>
                <c:pt idx="57">
                  <c:v>59.61</c:v>
                </c:pt>
                <c:pt idx="58">
                  <c:v>60.28</c:v>
                </c:pt>
                <c:pt idx="59">
                  <c:v>61.45</c:v>
                </c:pt>
                <c:pt idx="60">
                  <c:v>60.15</c:v>
                </c:pt>
                <c:pt idx="61">
                  <c:v>60.2</c:v>
                </c:pt>
                <c:pt idx="62">
                  <c:v>59.97</c:v>
                </c:pt>
                <c:pt idx="63">
                  <c:v>61.67</c:v>
                </c:pt>
                <c:pt idx="64">
                  <c:v>60.06</c:v>
                </c:pt>
                <c:pt idx="65">
                  <c:v>61.56</c:v>
                </c:pt>
                <c:pt idx="66">
                  <c:v>62.08</c:v>
                </c:pt>
                <c:pt idx="67">
                  <c:v>61.690000000000012</c:v>
                </c:pt>
                <c:pt idx="68">
                  <c:v>58.71</c:v>
                </c:pt>
                <c:pt idx="69">
                  <c:v>59.51</c:v>
                </c:pt>
                <c:pt idx="70">
                  <c:v>58.760000000000012</c:v>
                </c:pt>
                <c:pt idx="71">
                  <c:v>60.21</c:v>
                </c:pt>
                <c:pt idx="72">
                  <c:v>60.48</c:v>
                </c:pt>
                <c:pt idx="73">
                  <c:v>58.8</c:v>
                </c:pt>
                <c:pt idx="74">
                  <c:v>62.6</c:v>
                </c:pt>
                <c:pt idx="75">
                  <c:v>63.48</c:v>
                </c:pt>
                <c:pt idx="76">
                  <c:v>62.53</c:v>
                </c:pt>
                <c:pt idx="77">
                  <c:v>66.790000000000006</c:v>
                </c:pt>
                <c:pt idx="78">
                  <c:v>66.760000000000005</c:v>
                </c:pt>
                <c:pt idx="79">
                  <c:v>66.61999999999999</c:v>
                </c:pt>
                <c:pt idx="80">
                  <c:v>66.11999999999999</c:v>
                </c:pt>
                <c:pt idx="81">
                  <c:v>65.47</c:v>
                </c:pt>
                <c:pt idx="82">
                  <c:v>70.11999999999999</c:v>
                </c:pt>
                <c:pt idx="83">
                  <c:v>70.179999999999978</c:v>
                </c:pt>
                <c:pt idx="84">
                  <c:v>70.649999999999991</c:v>
                </c:pt>
                <c:pt idx="85">
                  <c:v>72.069999999999993</c:v>
                </c:pt>
                <c:pt idx="86">
                  <c:v>72.13</c:v>
                </c:pt>
                <c:pt idx="87">
                  <c:v>73.169999999999987</c:v>
                </c:pt>
                <c:pt idx="88">
                  <c:v>72.83</c:v>
                </c:pt>
                <c:pt idx="89">
                  <c:v>72.89</c:v>
                </c:pt>
                <c:pt idx="90">
                  <c:v>75.47</c:v>
                </c:pt>
                <c:pt idx="91">
                  <c:v>75.910000000000025</c:v>
                </c:pt>
                <c:pt idx="92">
                  <c:v>77.34</c:v>
                </c:pt>
                <c:pt idx="93">
                  <c:v>77.61999999999999</c:v>
                </c:pt>
                <c:pt idx="94">
                  <c:v>76.89</c:v>
                </c:pt>
                <c:pt idx="95">
                  <c:v>76.169999999999987</c:v>
                </c:pt>
                <c:pt idx="96">
                  <c:v>76.440000000000026</c:v>
                </c:pt>
                <c:pt idx="97">
                  <c:v>79.83</c:v>
                </c:pt>
                <c:pt idx="98">
                  <c:v>79.78</c:v>
                </c:pt>
                <c:pt idx="99">
                  <c:v>79.290000000000006</c:v>
                </c:pt>
                <c:pt idx="100">
                  <c:v>80.05</c:v>
                </c:pt>
                <c:pt idx="101">
                  <c:v>81.410000000000025</c:v>
                </c:pt>
                <c:pt idx="102">
                  <c:v>80.78</c:v>
                </c:pt>
                <c:pt idx="103">
                  <c:v>80.430000000000007</c:v>
                </c:pt>
                <c:pt idx="104">
                  <c:v>80.260000000000005</c:v>
                </c:pt>
                <c:pt idx="105">
                  <c:v>83.09</c:v>
                </c:pt>
                <c:pt idx="106">
                  <c:v>85</c:v>
                </c:pt>
                <c:pt idx="107">
                  <c:v>83.910000000000025</c:v>
                </c:pt>
                <c:pt idx="108">
                  <c:v>84.16</c:v>
                </c:pt>
                <c:pt idx="109">
                  <c:v>84.58</c:v>
                </c:pt>
                <c:pt idx="110">
                  <c:v>86.29</c:v>
                </c:pt>
                <c:pt idx="111">
                  <c:v>84.8</c:v>
                </c:pt>
                <c:pt idx="112">
                  <c:v>84.98</c:v>
                </c:pt>
                <c:pt idx="113">
                  <c:v>82.72</c:v>
                </c:pt>
                <c:pt idx="114">
                  <c:v>81.72</c:v>
                </c:pt>
                <c:pt idx="115">
                  <c:v>81.34</c:v>
                </c:pt>
                <c:pt idx="116">
                  <c:v>81.86999999999999</c:v>
                </c:pt>
                <c:pt idx="117">
                  <c:v>81.2</c:v>
                </c:pt>
                <c:pt idx="118">
                  <c:v>78.8</c:v>
                </c:pt>
                <c:pt idx="119">
                  <c:v>78.7</c:v>
                </c:pt>
                <c:pt idx="120">
                  <c:v>79.400000000000006</c:v>
                </c:pt>
                <c:pt idx="121">
                  <c:v>79.03</c:v>
                </c:pt>
                <c:pt idx="122">
                  <c:v>78.05</c:v>
                </c:pt>
                <c:pt idx="123">
                  <c:v>78.09</c:v>
                </c:pt>
                <c:pt idx="124">
                  <c:v>78.179999999999978</c:v>
                </c:pt>
                <c:pt idx="125">
                  <c:v>79.739999999999995</c:v>
                </c:pt>
                <c:pt idx="126">
                  <c:v>79.06</c:v>
                </c:pt>
                <c:pt idx="127">
                  <c:v>77.36999999999999</c:v>
                </c:pt>
                <c:pt idx="128">
                  <c:v>76.83</c:v>
                </c:pt>
                <c:pt idx="129">
                  <c:v>76.5</c:v>
                </c:pt>
                <c:pt idx="130">
                  <c:v>77.27</c:v>
                </c:pt>
                <c:pt idx="131">
                  <c:v>78.169999999999987</c:v>
                </c:pt>
                <c:pt idx="132">
                  <c:v>78.149999999999991</c:v>
                </c:pt>
                <c:pt idx="133">
                  <c:v>77.42</c:v>
                </c:pt>
                <c:pt idx="134">
                  <c:v>77.77</c:v>
                </c:pt>
                <c:pt idx="135">
                  <c:v>77.14</c:v>
                </c:pt>
                <c:pt idx="136">
                  <c:v>75.95</c:v>
                </c:pt>
                <c:pt idx="137">
                  <c:v>76.209999999999994</c:v>
                </c:pt>
                <c:pt idx="138">
                  <c:v>75.819999999999993</c:v>
                </c:pt>
                <c:pt idx="139">
                  <c:v>74.73</c:v>
                </c:pt>
                <c:pt idx="140">
                  <c:v>74.78</c:v>
                </c:pt>
                <c:pt idx="141">
                  <c:v>72.63</c:v>
                </c:pt>
                <c:pt idx="142">
                  <c:v>72.209999999999994</c:v>
                </c:pt>
                <c:pt idx="143">
                  <c:v>71.83</c:v>
                </c:pt>
                <c:pt idx="144">
                  <c:v>71.430000000000007</c:v>
                </c:pt>
                <c:pt idx="145">
                  <c:v>70.760000000000005</c:v>
                </c:pt>
                <c:pt idx="146">
                  <c:v>72.459999999999994</c:v>
                </c:pt>
                <c:pt idx="147">
                  <c:v>72.61</c:v>
                </c:pt>
                <c:pt idx="148">
                  <c:v>72.81</c:v>
                </c:pt>
                <c:pt idx="149">
                  <c:v>72.069999999999993</c:v>
                </c:pt>
                <c:pt idx="150">
                  <c:v>72.28</c:v>
                </c:pt>
                <c:pt idx="151">
                  <c:v>74.649999999999991</c:v>
                </c:pt>
                <c:pt idx="152">
                  <c:v>73.75</c:v>
                </c:pt>
                <c:pt idx="153">
                  <c:v>73.209999999999994</c:v>
                </c:pt>
                <c:pt idx="154">
                  <c:v>73.45</c:v>
                </c:pt>
                <c:pt idx="155">
                  <c:v>72.39</c:v>
                </c:pt>
                <c:pt idx="156">
                  <c:v>74.25</c:v>
                </c:pt>
                <c:pt idx="157">
                  <c:v>74.97</c:v>
                </c:pt>
                <c:pt idx="158">
                  <c:v>74.290000000000006</c:v>
                </c:pt>
                <c:pt idx="159">
                  <c:v>74.540000000000006</c:v>
                </c:pt>
                <c:pt idx="160">
                  <c:v>73.930000000000007</c:v>
                </c:pt>
                <c:pt idx="161">
                  <c:v>73.440000000000026</c:v>
                </c:pt>
                <c:pt idx="162">
                  <c:v>73.06</c:v>
                </c:pt>
                <c:pt idx="163">
                  <c:v>73.069999999999993</c:v>
                </c:pt>
                <c:pt idx="164">
                  <c:v>72.58</c:v>
                </c:pt>
                <c:pt idx="165">
                  <c:v>72.900000000000006</c:v>
                </c:pt>
                <c:pt idx="166">
                  <c:v>72.16</c:v>
                </c:pt>
                <c:pt idx="167">
                  <c:v>71.84</c:v>
                </c:pt>
                <c:pt idx="168">
                  <c:v>75.33</c:v>
                </c:pt>
                <c:pt idx="169">
                  <c:v>74.45</c:v>
                </c:pt>
                <c:pt idx="170">
                  <c:v>73.400000000000006</c:v>
                </c:pt>
                <c:pt idx="171">
                  <c:v>78.86</c:v>
                </c:pt>
                <c:pt idx="172">
                  <c:v>78.069999999999993</c:v>
                </c:pt>
                <c:pt idx="173">
                  <c:v>77.11</c:v>
                </c:pt>
                <c:pt idx="174">
                  <c:v>77.39</c:v>
                </c:pt>
                <c:pt idx="175">
                  <c:v>78.239999999999995</c:v>
                </c:pt>
                <c:pt idx="176">
                  <c:v>77.45</c:v>
                </c:pt>
                <c:pt idx="177">
                  <c:v>77.3</c:v>
                </c:pt>
                <c:pt idx="178">
                  <c:v>79.440000000000026</c:v>
                </c:pt>
                <c:pt idx="179">
                  <c:v>77.849999999999994</c:v>
                </c:pt>
                <c:pt idx="180">
                  <c:v>77.61999999999999</c:v>
                </c:pt>
                <c:pt idx="181">
                  <c:v>76.31</c:v>
                </c:pt>
                <c:pt idx="182">
                  <c:v>74.73</c:v>
                </c:pt>
                <c:pt idx="183">
                  <c:v>75.55</c:v>
                </c:pt>
                <c:pt idx="184">
                  <c:v>73.05</c:v>
                </c:pt>
                <c:pt idx="185">
                  <c:v>74.739999999999995</c:v>
                </c:pt>
                <c:pt idx="186">
                  <c:v>75.08</c:v>
                </c:pt>
                <c:pt idx="187">
                  <c:v>75.34</c:v>
                </c:pt>
                <c:pt idx="188">
                  <c:v>73.440000000000026</c:v>
                </c:pt>
                <c:pt idx="189">
                  <c:v>75.940000000000026</c:v>
                </c:pt>
                <c:pt idx="190">
                  <c:v>76.739999999999995</c:v>
                </c:pt>
                <c:pt idx="191">
                  <c:v>75.88</c:v>
                </c:pt>
                <c:pt idx="192">
                  <c:v>76.459999999999994</c:v>
                </c:pt>
                <c:pt idx="193">
                  <c:v>76.459999999999994</c:v>
                </c:pt>
                <c:pt idx="194">
                  <c:v>77.319999999999993</c:v>
                </c:pt>
                <c:pt idx="195">
                  <c:v>75.36</c:v>
                </c:pt>
                <c:pt idx="196">
                  <c:v>75.38</c:v>
                </c:pt>
                <c:pt idx="197">
                  <c:v>75.290000000000006</c:v>
                </c:pt>
                <c:pt idx="198">
                  <c:v>76.790000000000006</c:v>
                </c:pt>
                <c:pt idx="199">
                  <c:v>77.59</c:v>
                </c:pt>
                <c:pt idx="200">
                  <c:v>77.5</c:v>
                </c:pt>
                <c:pt idx="201">
                  <c:v>75.39</c:v>
                </c:pt>
                <c:pt idx="202">
                  <c:v>75.3</c:v>
                </c:pt>
                <c:pt idx="203">
                  <c:v>76.440000000000026</c:v>
                </c:pt>
                <c:pt idx="204">
                  <c:v>78.790000000000006</c:v>
                </c:pt>
                <c:pt idx="205">
                  <c:v>79.8</c:v>
                </c:pt>
                <c:pt idx="206">
                  <c:v>79.569999999999993</c:v>
                </c:pt>
                <c:pt idx="207">
                  <c:v>79.22</c:v>
                </c:pt>
                <c:pt idx="208">
                  <c:v>78.510000000000005</c:v>
                </c:pt>
                <c:pt idx="209">
                  <c:v>79.3</c:v>
                </c:pt>
                <c:pt idx="210">
                  <c:v>79.28</c:v>
                </c:pt>
                <c:pt idx="211">
                  <c:v>78.430000000000007</c:v>
                </c:pt>
                <c:pt idx="212">
                  <c:v>78.23</c:v>
                </c:pt>
                <c:pt idx="213">
                  <c:v>77.11999999999999</c:v>
                </c:pt>
                <c:pt idx="214">
                  <c:v>77.47</c:v>
                </c:pt>
                <c:pt idx="215">
                  <c:v>77.209999999999994</c:v>
                </c:pt>
                <c:pt idx="216">
                  <c:v>74.849999999999994</c:v>
                </c:pt>
                <c:pt idx="217">
                  <c:v>76.169999999999987</c:v>
                </c:pt>
                <c:pt idx="218">
                  <c:v>74.86999999999999</c:v>
                </c:pt>
                <c:pt idx="219">
                  <c:v>73.61999999999999</c:v>
                </c:pt>
                <c:pt idx="220">
                  <c:v>73.36</c:v>
                </c:pt>
                <c:pt idx="221">
                  <c:v>73.13</c:v>
                </c:pt>
                <c:pt idx="222">
                  <c:v>75.169999999999987</c:v>
                </c:pt>
                <c:pt idx="223">
                  <c:v>74.64</c:v>
                </c:pt>
                <c:pt idx="224">
                  <c:v>74.739999999999995</c:v>
                </c:pt>
                <c:pt idx="225">
                  <c:v>74</c:v>
                </c:pt>
                <c:pt idx="226">
                  <c:v>73.86</c:v>
                </c:pt>
                <c:pt idx="227">
                  <c:v>74.709999999999994</c:v>
                </c:pt>
                <c:pt idx="228">
                  <c:v>74.06</c:v>
                </c:pt>
                <c:pt idx="229">
                  <c:v>73.78</c:v>
                </c:pt>
                <c:pt idx="230">
                  <c:v>73.48</c:v>
                </c:pt>
                <c:pt idx="231">
                  <c:v>71.58</c:v>
                </c:pt>
                <c:pt idx="232">
                  <c:v>71.42</c:v>
                </c:pt>
                <c:pt idx="233">
                  <c:v>72.58</c:v>
                </c:pt>
                <c:pt idx="234">
                  <c:v>72.02</c:v>
                </c:pt>
                <c:pt idx="235">
                  <c:v>72.06</c:v>
                </c:pt>
                <c:pt idx="236">
                  <c:v>71.040000000000006</c:v>
                </c:pt>
                <c:pt idx="237">
                  <c:v>68.649999999999991</c:v>
                </c:pt>
                <c:pt idx="238">
                  <c:v>67.11</c:v>
                </c:pt>
                <c:pt idx="239">
                  <c:v>68.33</c:v>
                </c:pt>
                <c:pt idx="240">
                  <c:v>68.02</c:v>
                </c:pt>
                <c:pt idx="241">
                  <c:v>68.11999999999999</c:v>
                </c:pt>
                <c:pt idx="242">
                  <c:v>67.64</c:v>
                </c:pt>
                <c:pt idx="244">
                  <c:v>70.27</c:v>
                </c:pt>
                <c:pt idx="245">
                  <c:v>69.53</c:v>
                </c:pt>
                <c:pt idx="246">
                  <c:v>70.11</c:v>
                </c:pt>
                <c:pt idx="247">
                  <c:v>70.11999999999999</c:v>
                </c:pt>
                <c:pt idx="248">
                  <c:v>70.45</c:v>
                </c:pt>
                <c:pt idx="249">
                  <c:v>68.910000000000025</c:v>
                </c:pt>
                <c:pt idx="250">
                  <c:v>69.47</c:v>
                </c:pt>
                <c:pt idx="251">
                  <c:v>67.42</c:v>
                </c:pt>
                <c:pt idx="252">
                  <c:v>66.05</c:v>
                </c:pt>
                <c:pt idx="253">
                  <c:v>66.209999999999994</c:v>
                </c:pt>
                <c:pt idx="254">
                  <c:v>65.11999999999999</c:v>
                </c:pt>
                <c:pt idx="255">
                  <c:v>64.89</c:v>
                </c:pt>
                <c:pt idx="256">
                  <c:v>64.64</c:v>
                </c:pt>
                <c:pt idx="257">
                  <c:v>64.95</c:v>
                </c:pt>
                <c:pt idx="258">
                  <c:v>65.489999999999995</c:v>
                </c:pt>
                <c:pt idx="259">
                  <c:v>63.61</c:v>
                </c:pt>
                <c:pt idx="260">
                  <c:v>64.34</c:v>
                </c:pt>
                <c:pt idx="261">
                  <c:v>65.790000000000006</c:v>
                </c:pt>
                <c:pt idx="262">
                  <c:v>65.540000000000006</c:v>
                </c:pt>
                <c:pt idx="263">
                  <c:v>64.36999999999999</c:v>
                </c:pt>
                <c:pt idx="264">
                  <c:v>63.83</c:v>
                </c:pt>
                <c:pt idx="265">
                  <c:v>65.78</c:v>
                </c:pt>
                <c:pt idx="266">
                  <c:v>66.63</c:v>
                </c:pt>
                <c:pt idx="267">
                  <c:v>67.5</c:v>
                </c:pt>
                <c:pt idx="268">
                  <c:v>67.31</c:v>
                </c:pt>
                <c:pt idx="269">
                  <c:v>66.39</c:v>
                </c:pt>
                <c:pt idx="270">
                  <c:v>65.42</c:v>
                </c:pt>
                <c:pt idx="271">
                  <c:v>62.59</c:v>
                </c:pt>
                <c:pt idx="272">
                  <c:v>62.790000000000013</c:v>
                </c:pt>
                <c:pt idx="273">
                  <c:v>64.81</c:v>
                </c:pt>
                <c:pt idx="274">
                  <c:v>65.510000000000005</c:v>
                </c:pt>
                <c:pt idx="275">
                  <c:v>66.86</c:v>
                </c:pt>
                <c:pt idx="276">
                  <c:v>67.61999999999999</c:v>
                </c:pt>
                <c:pt idx="277">
                  <c:v>68.58</c:v>
                </c:pt>
                <c:pt idx="278">
                  <c:v>69.649999999999991</c:v>
                </c:pt>
                <c:pt idx="279">
                  <c:v>69.05</c:v>
                </c:pt>
                <c:pt idx="280">
                  <c:v>69.02</c:v>
                </c:pt>
                <c:pt idx="281">
                  <c:v>69.459999999999994</c:v>
                </c:pt>
                <c:pt idx="282">
                  <c:v>70.52</c:v>
                </c:pt>
                <c:pt idx="283">
                  <c:v>70.42</c:v>
                </c:pt>
                <c:pt idx="284">
                  <c:v>70.53</c:v>
                </c:pt>
                <c:pt idx="285">
                  <c:v>69.959999999999994</c:v>
                </c:pt>
                <c:pt idx="286">
                  <c:v>69.03</c:v>
                </c:pt>
                <c:pt idx="287">
                  <c:v>68.61</c:v>
                </c:pt>
                <c:pt idx="288">
                  <c:v>69.31</c:v>
                </c:pt>
                <c:pt idx="289">
                  <c:v>69.38</c:v>
                </c:pt>
                <c:pt idx="290">
                  <c:v>69.149999999999991</c:v>
                </c:pt>
                <c:pt idx="291">
                  <c:v>70.260000000000005</c:v>
                </c:pt>
                <c:pt idx="292">
                  <c:v>69.86999999999999</c:v>
                </c:pt>
                <c:pt idx="293">
                  <c:v>69.260000000000005</c:v>
                </c:pt>
                <c:pt idx="294">
                  <c:v>69.2</c:v>
                </c:pt>
                <c:pt idx="295">
                  <c:v>68.819999999999993</c:v>
                </c:pt>
                <c:pt idx="296">
                  <c:v>67.78</c:v>
                </c:pt>
                <c:pt idx="297">
                  <c:v>67.61999999999999</c:v>
                </c:pt>
                <c:pt idx="298">
                  <c:v>68.069999999999993</c:v>
                </c:pt>
                <c:pt idx="299">
                  <c:v>67.84</c:v>
                </c:pt>
                <c:pt idx="300">
                  <c:v>66.569999999999993</c:v>
                </c:pt>
                <c:pt idx="302">
                  <c:v>66.86999999999999</c:v>
                </c:pt>
                <c:pt idx="303">
                  <c:v>66.72</c:v>
                </c:pt>
                <c:pt idx="304">
                  <c:v>66.440000000000026</c:v>
                </c:pt>
                <c:pt idx="305">
                  <c:v>67.02</c:v>
                </c:pt>
                <c:pt idx="307">
                  <c:v>65.25</c:v>
                </c:pt>
                <c:pt idx="308">
                  <c:v>64.900000000000006</c:v>
                </c:pt>
                <c:pt idx="309">
                  <c:v>64.56</c:v>
                </c:pt>
                <c:pt idx="310">
                  <c:v>63.8</c:v>
                </c:pt>
                <c:pt idx="311">
                  <c:v>63.41</c:v>
                </c:pt>
                <c:pt idx="312">
                  <c:v>63.230000000000011</c:v>
                </c:pt>
                <c:pt idx="313">
                  <c:v>63.31</c:v>
                </c:pt>
                <c:pt idx="314">
                  <c:v>62.44</c:v>
                </c:pt>
                <c:pt idx="315">
                  <c:v>63.34</c:v>
                </c:pt>
                <c:pt idx="316">
                  <c:v>64.69</c:v>
                </c:pt>
                <c:pt idx="317">
                  <c:v>63.4</c:v>
                </c:pt>
                <c:pt idx="318">
                  <c:v>62.2</c:v>
                </c:pt>
                <c:pt idx="319">
                  <c:v>61.220000000000013</c:v>
                </c:pt>
                <c:pt idx="320">
                  <c:v>62.86</c:v>
                </c:pt>
                <c:pt idx="321">
                  <c:v>62.45</c:v>
                </c:pt>
                <c:pt idx="322">
                  <c:v>63.730000000000011</c:v>
                </c:pt>
                <c:pt idx="323">
                  <c:v>63.57</c:v>
                </c:pt>
                <c:pt idx="324">
                  <c:v>63.11</c:v>
                </c:pt>
                <c:pt idx="325">
                  <c:v>63.61</c:v>
                </c:pt>
                <c:pt idx="326">
                  <c:v>63.84</c:v>
                </c:pt>
                <c:pt idx="327">
                  <c:v>63.86</c:v>
                </c:pt>
                <c:pt idx="328">
                  <c:v>63.55</c:v>
                </c:pt>
                <c:pt idx="329">
                  <c:v>63.32</c:v>
                </c:pt>
                <c:pt idx="330">
                  <c:v>62.57</c:v>
                </c:pt>
                <c:pt idx="331">
                  <c:v>62.220000000000013</c:v>
                </c:pt>
                <c:pt idx="332">
                  <c:v>62.720000000000013</c:v>
                </c:pt>
                <c:pt idx="333">
                  <c:v>61.36</c:v>
                </c:pt>
                <c:pt idx="334">
                  <c:v>61.87</c:v>
                </c:pt>
                <c:pt idx="335">
                  <c:v>62.21</c:v>
                </c:pt>
                <c:pt idx="336">
                  <c:v>63.160000000000011</c:v>
                </c:pt>
                <c:pt idx="337">
                  <c:v>63.52</c:v>
                </c:pt>
                <c:pt idx="338">
                  <c:v>63.93</c:v>
                </c:pt>
                <c:pt idx="339">
                  <c:v>63.49</c:v>
                </c:pt>
                <c:pt idx="340">
                  <c:v>63.690000000000012</c:v>
                </c:pt>
                <c:pt idx="341">
                  <c:v>64.27</c:v>
                </c:pt>
                <c:pt idx="342">
                  <c:v>62.07</c:v>
                </c:pt>
                <c:pt idx="343">
                  <c:v>60.620000000000012</c:v>
                </c:pt>
                <c:pt idx="344">
                  <c:v>60.49</c:v>
                </c:pt>
                <c:pt idx="345">
                  <c:v>61.37</c:v>
                </c:pt>
                <c:pt idx="346">
                  <c:v>60.9</c:v>
                </c:pt>
                <c:pt idx="347">
                  <c:v>60.44</c:v>
                </c:pt>
                <c:pt idx="348">
                  <c:v>59.3</c:v>
                </c:pt>
                <c:pt idx="349">
                  <c:v>58.44</c:v>
                </c:pt>
                <c:pt idx="350">
                  <c:v>58.33</c:v>
                </c:pt>
                <c:pt idx="351">
                  <c:v>57.37</c:v>
                </c:pt>
                <c:pt idx="352">
                  <c:v>57.75</c:v>
                </c:pt>
                <c:pt idx="353">
                  <c:v>57.230000000000011</c:v>
                </c:pt>
                <c:pt idx="354">
                  <c:v>58.15</c:v>
                </c:pt>
                <c:pt idx="355">
                  <c:v>57.88</c:v>
                </c:pt>
                <c:pt idx="356">
                  <c:v>57.82</c:v>
                </c:pt>
                <c:pt idx="357">
                  <c:v>57.17</c:v>
                </c:pt>
                <c:pt idx="358">
                  <c:v>56.25</c:v>
                </c:pt>
                <c:pt idx="359">
                  <c:v>56.94</c:v>
                </c:pt>
                <c:pt idx="360">
                  <c:v>56.61</c:v>
                </c:pt>
                <c:pt idx="361">
                  <c:v>55.790000000000013</c:v>
                </c:pt>
                <c:pt idx="362">
                  <c:v>55.620000000000012</c:v>
                </c:pt>
                <c:pt idx="363">
                  <c:v>57.54</c:v>
                </c:pt>
                <c:pt idx="364">
                  <c:v>57.49</c:v>
                </c:pt>
                <c:pt idx="365">
                  <c:v>57.9</c:v>
                </c:pt>
                <c:pt idx="366">
                  <c:v>58.44</c:v>
                </c:pt>
                <c:pt idx="367">
                  <c:v>59.02</c:v>
                </c:pt>
                <c:pt idx="368">
                  <c:v>56.86</c:v>
                </c:pt>
                <c:pt idx="369">
                  <c:v>56.43</c:v>
                </c:pt>
                <c:pt idx="370">
                  <c:v>56.290000000000013</c:v>
                </c:pt>
                <c:pt idx="371">
                  <c:v>55.14</c:v>
                </c:pt>
                <c:pt idx="372">
                  <c:v>55.48</c:v>
                </c:pt>
                <c:pt idx="373">
                  <c:v>55.620000000000012</c:v>
                </c:pt>
                <c:pt idx="374">
                  <c:v>55.47</c:v>
                </c:pt>
                <c:pt idx="375">
                  <c:v>55.160000000000011</c:v>
                </c:pt>
                <c:pt idx="376">
                  <c:v>54.27</c:v>
                </c:pt>
                <c:pt idx="377">
                  <c:v>53.84</c:v>
                </c:pt>
                <c:pt idx="378">
                  <c:v>53.78</c:v>
                </c:pt>
                <c:pt idx="379">
                  <c:v>54.49</c:v>
                </c:pt>
                <c:pt idx="380">
                  <c:v>54.2</c:v>
                </c:pt>
                <c:pt idx="381">
                  <c:v>53.38</c:v>
                </c:pt>
                <c:pt idx="382">
                  <c:v>52.34</c:v>
                </c:pt>
                <c:pt idx="383">
                  <c:v>52.75</c:v>
                </c:pt>
                <c:pt idx="384">
                  <c:v>52.38</c:v>
                </c:pt>
                <c:pt idx="385">
                  <c:v>50.86</c:v>
                </c:pt>
                <c:pt idx="386">
                  <c:v>52</c:v>
                </c:pt>
                <c:pt idx="387">
                  <c:v>51.89</c:v>
                </c:pt>
                <c:pt idx="388">
                  <c:v>52.41</c:v>
                </c:pt>
                <c:pt idx="389">
                  <c:v>52.04</c:v>
                </c:pt>
                <c:pt idx="390">
                  <c:v>52.57</c:v>
                </c:pt>
                <c:pt idx="391">
                  <c:v>51.87</c:v>
                </c:pt>
                <c:pt idx="392">
                  <c:v>51.660000000000011</c:v>
                </c:pt>
                <c:pt idx="393">
                  <c:v>52.720000000000013</c:v>
                </c:pt>
                <c:pt idx="394">
                  <c:v>51.03</c:v>
                </c:pt>
                <c:pt idx="395">
                  <c:v>50.27</c:v>
                </c:pt>
                <c:pt idx="396">
                  <c:v>50.8</c:v>
                </c:pt>
                <c:pt idx="397">
                  <c:v>50.730000000000011</c:v>
                </c:pt>
                <c:pt idx="398">
                  <c:v>52.1</c:v>
                </c:pt>
                <c:pt idx="399">
                  <c:v>51.9</c:v>
                </c:pt>
                <c:pt idx="400">
                  <c:v>52.7</c:v>
                </c:pt>
                <c:pt idx="401">
                  <c:v>52.14</c:v>
                </c:pt>
                <c:pt idx="402">
                  <c:v>52.37</c:v>
                </c:pt>
                <c:pt idx="403">
                  <c:v>52.42</c:v>
                </c:pt>
                <c:pt idx="404">
                  <c:v>52.01</c:v>
                </c:pt>
                <c:pt idx="405">
                  <c:v>52.36</c:v>
                </c:pt>
                <c:pt idx="406">
                  <c:v>51.78</c:v>
                </c:pt>
                <c:pt idx="407">
                  <c:v>52.65</c:v>
                </c:pt>
                <c:pt idx="408">
                  <c:v>52.52</c:v>
                </c:pt>
                <c:pt idx="409">
                  <c:v>51.49</c:v>
                </c:pt>
                <c:pt idx="410">
                  <c:v>50.97</c:v>
                </c:pt>
                <c:pt idx="411">
                  <c:v>50.2</c:v>
                </c:pt>
                <c:pt idx="412">
                  <c:v>48.6</c:v>
                </c:pt>
                <c:pt idx="413">
                  <c:v>48.06</c:v>
                </c:pt>
                <c:pt idx="414">
                  <c:v>49.3</c:v>
                </c:pt>
                <c:pt idx="415">
                  <c:v>49.7</c:v>
                </c:pt>
                <c:pt idx="416">
                  <c:v>48.84</c:v>
                </c:pt>
                <c:pt idx="417">
                  <c:v>48.42</c:v>
                </c:pt>
                <c:pt idx="418">
                  <c:v>48.91</c:v>
                </c:pt>
                <c:pt idx="419">
                  <c:v>48.42</c:v>
                </c:pt>
                <c:pt idx="420">
                  <c:v>47.74</c:v>
                </c:pt>
                <c:pt idx="421">
                  <c:v>47.52</c:v>
                </c:pt>
                <c:pt idx="422">
                  <c:v>46.88</c:v>
                </c:pt>
                <c:pt idx="423">
                  <c:v>46.71</c:v>
                </c:pt>
                <c:pt idx="424">
                  <c:v>48.11</c:v>
                </c:pt>
                <c:pt idx="425">
                  <c:v>47.790000000000013</c:v>
                </c:pt>
                <c:pt idx="426">
                  <c:v>49.68</c:v>
                </c:pt>
                <c:pt idx="427">
                  <c:v>49.68</c:v>
                </c:pt>
                <c:pt idx="428">
                  <c:v>47.92</c:v>
                </c:pt>
                <c:pt idx="429">
                  <c:v>47.42</c:v>
                </c:pt>
                <c:pt idx="430">
                  <c:v>47.31</c:v>
                </c:pt>
                <c:pt idx="431">
                  <c:v>46.65</c:v>
                </c:pt>
                <c:pt idx="432">
                  <c:v>45.83</c:v>
                </c:pt>
                <c:pt idx="433">
                  <c:v>45.54</c:v>
                </c:pt>
                <c:pt idx="434">
                  <c:v>45.220000000000013</c:v>
                </c:pt>
                <c:pt idx="435">
                  <c:v>44.82</c:v>
                </c:pt>
                <c:pt idx="436">
                  <c:v>46.06</c:v>
                </c:pt>
                <c:pt idx="437">
                  <c:v>46.91</c:v>
                </c:pt>
                <c:pt idx="438">
                  <c:v>47.37</c:v>
                </c:pt>
                <c:pt idx="439">
                  <c:v>46.92</c:v>
                </c:pt>
                <c:pt idx="440">
                  <c:v>47</c:v>
                </c:pt>
                <c:pt idx="441">
                  <c:v>48.720000000000013</c:v>
                </c:pt>
                <c:pt idx="442">
                  <c:v>48.290000000000013</c:v>
                </c:pt>
                <c:pt idx="443">
                  <c:v>48.15</c:v>
                </c:pt>
                <c:pt idx="444">
                  <c:v>47.86</c:v>
                </c:pt>
                <c:pt idx="445">
                  <c:v>48.06</c:v>
                </c:pt>
                <c:pt idx="446">
                  <c:v>50.120000000000012</c:v>
                </c:pt>
                <c:pt idx="447">
                  <c:v>49.47</c:v>
                </c:pt>
                <c:pt idx="448">
                  <c:v>49.95</c:v>
                </c:pt>
                <c:pt idx="449">
                  <c:v>50.63</c:v>
                </c:pt>
                <c:pt idx="450">
                  <c:v>50.31</c:v>
                </c:pt>
                <c:pt idx="451">
                  <c:v>51.84</c:v>
                </c:pt>
                <c:pt idx="452">
                  <c:v>52.290000000000013</c:v>
                </c:pt>
                <c:pt idx="453">
                  <c:v>52.15</c:v>
                </c:pt>
                <c:pt idx="454">
                  <c:v>51.46</c:v>
                </c:pt>
                <c:pt idx="455">
                  <c:v>53.96</c:v>
                </c:pt>
                <c:pt idx="456">
                  <c:v>54.15</c:v>
                </c:pt>
                <c:pt idx="457">
                  <c:v>53.87</c:v>
                </c:pt>
                <c:pt idx="458">
                  <c:v>53.61</c:v>
                </c:pt>
                <c:pt idx="459">
                  <c:v>52.51</c:v>
                </c:pt>
                <c:pt idx="460">
                  <c:v>52.21</c:v>
                </c:pt>
                <c:pt idx="461">
                  <c:v>51.65</c:v>
                </c:pt>
                <c:pt idx="462">
                  <c:v>51.82</c:v>
                </c:pt>
                <c:pt idx="463">
                  <c:v>50.84</c:v>
                </c:pt>
                <c:pt idx="464">
                  <c:v>50.77</c:v>
                </c:pt>
                <c:pt idx="465">
                  <c:v>50.220000000000013</c:v>
                </c:pt>
                <c:pt idx="466">
                  <c:v>48.730000000000011</c:v>
                </c:pt>
                <c:pt idx="467">
                  <c:v>49.34</c:v>
                </c:pt>
                <c:pt idx="468">
                  <c:v>49.1</c:v>
                </c:pt>
                <c:pt idx="469">
                  <c:v>48.38</c:v>
                </c:pt>
                <c:pt idx="470">
                  <c:v>50.790000000000013</c:v>
                </c:pt>
                <c:pt idx="471">
                  <c:v>50.46</c:v>
                </c:pt>
                <c:pt idx="472">
                  <c:v>51.52</c:v>
                </c:pt>
                <c:pt idx="473">
                  <c:v>51.730000000000011</c:v>
                </c:pt>
                <c:pt idx="474">
                  <c:v>51.44</c:v>
                </c:pt>
                <c:pt idx="475">
                  <c:v>51.82</c:v>
                </c:pt>
                <c:pt idx="476">
                  <c:v>52.1</c:v>
                </c:pt>
                <c:pt idx="477">
                  <c:v>51.6</c:v>
                </c:pt>
                <c:pt idx="478">
                  <c:v>51.96</c:v>
                </c:pt>
                <c:pt idx="479">
                  <c:v>52.99</c:v>
                </c:pt>
                <c:pt idx="480">
                  <c:v>52.93</c:v>
                </c:pt>
                <c:pt idx="481">
                  <c:v>54.89</c:v>
                </c:pt>
                <c:pt idx="482">
                  <c:v>55.36</c:v>
                </c:pt>
                <c:pt idx="483">
                  <c:v>55.89</c:v>
                </c:pt>
                <c:pt idx="484">
                  <c:v>55.86</c:v>
                </c:pt>
                <c:pt idx="485">
                  <c:v>56.230000000000011</c:v>
                </c:pt>
                <c:pt idx="486">
                  <c:v>55.98</c:v>
                </c:pt>
                <c:pt idx="487">
                  <c:v>55.24</c:v>
                </c:pt>
                <c:pt idx="488">
                  <c:v>54.89</c:v>
                </c:pt>
                <c:pt idx="489">
                  <c:v>54.36</c:v>
                </c:pt>
                <c:pt idx="490">
                  <c:v>54.17</c:v>
                </c:pt>
                <c:pt idx="491">
                  <c:v>53.120000000000012</c:v>
                </c:pt>
                <c:pt idx="492">
                  <c:v>52.83</c:v>
                </c:pt>
                <c:pt idx="493">
                  <c:v>52.96</c:v>
                </c:pt>
                <c:pt idx="494">
                  <c:v>52.42</c:v>
                </c:pt>
                <c:pt idx="495">
                  <c:v>51.33</c:v>
                </c:pt>
                <c:pt idx="496">
                  <c:v>50.75</c:v>
                </c:pt>
                <c:pt idx="497">
                  <c:v>50.8</c:v>
                </c:pt>
                <c:pt idx="498">
                  <c:v>50.56</c:v>
                </c:pt>
                <c:pt idx="499">
                  <c:v>50.64</c:v>
                </c:pt>
                <c:pt idx="500">
                  <c:v>50.96</c:v>
                </c:pt>
                <c:pt idx="501">
                  <c:v>51.620000000000012</c:v>
                </c:pt>
                <c:pt idx="502">
                  <c:v>51.760000000000012</c:v>
                </c:pt>
                <c:pt idx="503">
                  <c:v>51.74</c:v>
                </c:pt>
                <c:pt idx="504">
                  <c:v>51.81</c:v>
                </c:pt>
                <c:pt idx="505">
                  <c:v>50.9</c:v>
                </c:pt>
                <c:pt idx="506">
                  <c:v>51.35</c:v>
                </c:pt>
                <c:pt idx="507">
                  <c:v>51.37</c:v>
                </c:pt>
                <c:pt idx="508">
                  <c:v>52.190000000000012</c:v>
                </c:pt>
                <c:pt idx="509">
                  <c:v>53.11</c:v>
                </c:pt>
                <c:pt idx="510">
                  <c:v>55.92</c:v>
                </c:pt>
                <c:pt idx="511">
                  <c:v>56.01</c:v>
                </c:pt>
                <c:pt idx="512">
                  <c:v>55.9</c:v>
                </c:pt>
                <c:pt idx="513">
                  <c:v>55.08</c:v>
                </c:pt>
                <c:pt idx="514">
                  <c:v>56.36</c:v>
                </c:pt>
                <c:pt idx="515">
                  <c:v>55.59</c:v>
                </c:pt>
                <c:pt idx="516">
                  <c:v>55.93</c:v>
                </c:pt>
                <c:pt idx="517">
                  <c:v>55.99</c:v>
                </c:pt>
                <c:pt idx="518">
                  <c:v>56.58</c:v>
                </c:pt>
                <c:pt idx="519">
                  <c:v>55.84</c:v>
                </c:pt>
                <c:pt idx="520">
                  <c:v>56.660000000000011</c:v>
                </c:pt>
                <c:pt idx="521">
                  <c:v>56.18</c:v>
                </c:pt>
                <c:pt idx="522">
                  <c:v>55.81</c:v>
                </c:pt>
                <c:pt idx="523">
                  <c:v>55.65</c:v>
                </c:pt>
                <c:pt idx="524">
                  <c:v>55.75</c:v>
                </c:pt>
                <c:pt idx="525">
                  <c:v>55.97</c:v>
                </c:pt>
                <c:pt idx="526">
                  <c:v>55.59</c:v>
                </c:pt>
                <c:pt idx="527">
                  <c:v>56.7</c:v>
                </c:pt>
                <c:pt idx="528">
                  <c:v>55.63</c:v>
                </c:pt>
                <c:pt idx="529">
                  <c:v>55.120000000000012</c:v>
                </c:pt>
                <c:pt idx="530">
                  <c:v>55.05</c:v>
                </c:pt>
                <c:pt idx="531">
                  <c:v>55.720000000000013</c:v>
                </c:pt>
                <c:pt idx="532">
                  <c:v>56.81</c:v>
                </c:pt>
                <c:pt idx="533">
                  <c:v>56.56</c:v>
                </c:pt>
                <c:pt idx="534">
                  <c:v>56.8</c:v>
                </c:pt>
                <c:pt idx="535">
                  <c:v>55.7</c:v>
                </c:pt>
                <c:pt idx="536">
                  <c:v>55.230000000000011</c:v>
                </c:pt>
                <c:pt idx="537">
                  <c:v>55.52</c:v>
                </c:pt>
                <c:pt idx="538">
                  <c:v>56.24</c:v>
                </c:pt>
                <c:pt idx="539">
                  <c:v>55.08</c:v>
                </c:pt>
                <c:pt idx="540">
                  <c:v>55.44</c:v>
                </c:pt>
                <c:pt idx="541">
                  <c:v>55.230000000000011</c:v>
                </c:pt>
                <c:pt idx="542">
                  <c:v>55.49</c:v>
                </c:pt>
                <c:pt idx="543">
                  <c:v>54.160000000000011</c:v>
                </c:pt>
                <c:pt idx="544">
                  <c:v>53.92</c:v>
                </c:pt>
                <c:pt idx="545">
                  <c:v>55.47</c:v>
                </c:pt>
                <c:pt idx="546">
                  <c:v>53.9</c:v>
                </c:pt>
                <c:pt idx="547">
                  <c:v>55.45</c:v>
                </c:pt>
                <c:pt idx="548">
                  <c:v>56.01</c:v>
                </c:pt>
                <c:pt idx="549">
                  <c:v>55.1</c:v>
                </c:pt>
                <c:pt idx="550">
                  <c:v>53.64</c:v>
                </c:pt>
                <c:pt idx="551">
                  <c:v>54.94</c:v>
                </c:pt>
                <c:pt idx="552">
                  <c:v>57.1</c:v>
                </c:pt>
                <c:pt idx="553">
                  <c:v>56.89</c:v>
                </c:pt>
                <c:pt idx="554">
                  <c:v>56.46</c:v>
                </c:pt>
                <c:pt idx="555">
                  <c:v>55.47</c:v>
                </c:pt>
                <c:pt idx="556">
                  <c:v>56.82</c:v>
                </c:pt>
                <c:pt idx="557">
                  <c:v>56.14</c:v>
                </c:pt>
                <c:pt idx="558">
                  <c:v>56.220000000000013</c:v>
                </c:pt>
                <c:pt idx="559">
                  <c:v>56.09</c:v>
                </c:pt>
                <c:pt idx="560">
                  <c:v>55.160000000000011</c:v>
                </c:pt>
                <c:pt idx="561">
                  <c:v>55.05</c:v>
                </c:pt>
                <c:pt idx="562">
                  <c:v>54.46</c:v>
                </c:pt>
                <c:pt idx="563">
                  <c:v>55.35</c:v>
                </c:pt>
                <c:pt idx="564">
                  <c:v>54.92</c:v>
                </c:pt>
                <c:pt idx="565">
                  <c:v>55.21</c:v>
                </c:pt>
                <c:pt idx="566">
                  <c:v>54.02</c:v>
                </c:pt>
                <c:pt idx="567">
                  <c:v>53.9</c:v>
                </c:pt>
                <c:pt idx="568">
                  <c:v>55.720000000000013</c:v>
                </c:pt>
                <c:pt idx="569">
                  <c:v>55.690000000000012</c:v>
                </c:pt>
                <c:pt idx="570">
                  <c:v>54.33</c:v>
                </c:pt>
                <c:pt idx="571">
                  <c:v>53.89</c:v>
                </c:pt>
                <c:pt idx="572">
                  <c:v>53</c:v>
                </c:pt>
                <c:pt idx="573">
                  <c:v>53.93</c:v>
                </c:pt>
                <c:pt idx="574">
                  <c:v>54.94</c:v>
                </c:pt>
                <c:pt idx="575">
                  <c:v>54.46</c:v>
                </c:pt>
                <c:pt idx="576">
                  <c:v>53.94</c:v>
                </c:pt>
                <c:pt idx="577">
                  <c:v>50.47</c:v>
                </c:pt>
                <c:pt idx="578">
                  <c:v>46.38</c:v>
                </c:pt>
                <c:pt idx="579">
                  <c:v>48.24</c:v>
                </c:pt>
                <c:pt idx="580">
                  <c:v>47.24</c:v>
                </c:pt>
                <c:pt idx="581">
                  <c:v>49</c:v>
                </c:pt>
                <c:pt idx="582">
                  <c:v>48.95</c:v>
                </c:pt>
                <c:pt idx="583">
                  <c:v>49.120000000000012</c:v>
                </c:pt>
                <c:pt idx="584">
                  <c:v>48.9</c:v>
                </c:pt>
                <c:pt idx="585">
                  <c:v>46.86</c:v>
                </c:pt>
                <c:pt idx="586">
                  <c:v>46.49</c:v>
                </c:pt>
                <c:pt idx="587">
                  <c:v>46.63</c:v>
                </c:pt>
                <c:pt idx="588">
                  <c:v>46.95</c:v>
                </c:pt>
                <c:pt idx="589">
                  <c:v>44.43</c:v>
                </c:pt>
                <c:pt idx="590">
                  <c:v>44.75</c:v>
                </c:pt>
                <c:pt idx="591">
                  <c:v>45.84</c:v>
                </c:pt>
                <c:pt idx="592">
                  <c:v>46.36</c:v>
                </c:pt>
                <c:pt idx="593">
                  <c:v>46.04</c:v>
                </c:pt>
                <c:pt idx="594">
                  <c:v>46.15</c:v>
                </c:pt>
                <c:pt idx="595">
                  <c:v>45.58</c:v>
                </c:pt>
                <c:pt idx="596">
                  <c:v>46.35</c:v>
                </c:pt>
                <c:pt idx="597">
                  <c:v>46.86</c:v>
                </c:pt>
                <c:pt idx="598">
                  <c:v>48.14</c:v>
                </c:pt>
                <c:pt idx="599">
                  <c:v>48.3</c:v>
                </c:pt>
                <c:pt idx="600">
                  <c:v>49.71</c:v>
                </c:pt>
                <c:pt idx="601">
                  <c:v>50.47</c:v>
                </c:pt>
                <c:pt idx="602">
                  <c:v>49.98</c:v>
                </c:pt>
                <c:pt idx="603">
                  <c:v>50.790000000000013</c:v>
                </c:pt>
                <c:pt idx="604">
                  <c:v>51.46</c:v>
                </c:pt>
                <c:pt idx="605">
                  <c:v>51.78</c:v>
                </c:pt>
                <c:pt idx="606">
                  <c:v>51.38</c:v>
                </c:pt>
                <c:pt idx="607">
                  <c:v>52.67</c:v>
                </c:pt>
                <c:pt idx="608">
                  <c:v>51.68</c:v>
                </c:pt>
                <c:pt idx="609">
                  <c:v>51.52</c:v>
                </c:pt>
                <c:pt idx="610">
                  <c:v>51.95</c:v>
                </c:pt>
                <c:pt idx="611">
                  <c:v>52.03</c:v>
                </c:pt>
                <c:pt idx="612">
                  <c:v>51.81</c:v>
                </c:pt>
                <c:pt idx="613">
                  <c:v>52.41</c:v>
                </c:pt>
                <c:pt idx="614">
                  <c:v>53.14</c:v>
                </c:pt>
                <c:pt idx="615">
                  <c:v>51.93</c:v>
                </c:pt>
                <c:pt idx="616">
                  <c:v>52.51</c:v>
                </c:pt>
                <c:pt idx="617">
                  <c:v>51.86</c:v>
                </c:pt>
                <c:pt idx="618">
                  <c:v>50.87</c:v>
                </c:pt>
                <c:pt idx="619">
                  <c:v>50.89</c:v>
                </c:pt>
                <c:pt idx="620">
                  <c:v>49.06</c:v>
                </c:pt>
                <c:pt idx="621">
                  <c:v>49.24</c:v>
                </c:pt>
                <c:pt idx="622">
                  <c:v>48.690000000000012</c:v>
                </c:pt>
                <c:pt idx="623">
                  <c:v>45.97</c:v>
                </c:pt>
                <c:pt idx="624">
                  <c:v>47.35</c:v>
                </c:pt>
                <c:pt idx="625">
                  <c:v>45.89</c:v>
                </c:pt>
                <c:pt idx="626">
                  <c:v>47.65</c:v>
                </c:pt>
                <c:pt idx="627">
                  <c:v>46.83</c:v>
                </c:pt>
                <c:pt idx="628">
                  <c:v>45.88</c:v>
                </c:pt>
                <c:pt idx="629">
                  <c:v>45.95</c:v>
                </c:pt>
                <c:pt idx="630">
                  <c:v>45.77</c:v>
                </c:pt>
                <c:pt idx="631">
                  <c:v>46.59</c:v>
                </c:pt>
                <c:pt idx="632">
                  <c:v>45.85</c:v>
                </c:pt>
                <c:pt idx="633">
                  <c:v>47.1</c:v>
                </c:pt>
                <c:pt idx="634">
                  <c:v>48.32</c:v>
                </c:pt>
                <c:pt idx="635">
                  <c:v>48.01</c:v>
                </c:pt>
                <c:pt idx="636">
                  <c:v>49.99</c:v>
                </c:pt>
                <c:pt idx="637">
                  <c:v>47.98</c:v>
                </c:pt>
                <c:pt idx="638">
                  <c:v>47.260000000000012</c:v>
                </c:pt>
                <c:pt idx="639">
                  <c:v>47.63</c:v>
                </c:pt>
                <c:pt idx="640">
                  <c:v>46.83</c:v>
                </c:pt>
                <c:pt idx="641">
                  <c:v>45.45</c:v>
                </c:pt>
                <c:pt idx="642">
                  <c:v>47.04</c:v>
                </c:pt>
                <c:pt idx="643">
                  <c:v>48.37</c:v>
                </c:pt>
                <c:pt idx="644">
                  <c:v>49.260000000000012</c:v>
                </c:pt>
                <c:pt idx="645">
                  <c:v>49.92</c:v>
                </c:pt>
                <c:pt idx="646">
                  <c:v>49.67</c:v>
                </c:pt>
                <c:pt idx="647">
                  <c:v>49.05</c:v>
                </c:pt>
                <c:pt idx="648">
                  <c:v>49.96</c:v>
                </c:pt>
                <c:pt idx="649">
                  <c:v>49.160000000000011</c:v>
                </c:pt>
                <c:pt idx="650">
                  <c:v>50.88</c:v>
                </c:pt>
                <c:pt idx="651">
                  <c:v>50.89</c:v>
                </c:pt>
                <c:pt idx="652">
                  <c:v>49.85</c:v>
                </c:pt>
                <c:pt idx="653">
                  <c:v>49.230000000000011</c:v>
                </c:pt>
                <c:pt idx="654">
                  <c:v>48.35</c:v>
                </c:pt>
                <c:pt idx="655">
                  <c:v>46.97</c:v>
                </c:pt>
                <c:pt idx="656">
                  <c:v>43.49</c:v>
                </c:pt>
                <c:pt idx="657">
                  <c:v>44.05</c:v>
                </c:pt>
                <c:pt idx="658">
                  <c:v>44.98</c:v>
                </c:pt>
                <c:pt idx="659">
                  <c:v>45.39</c:v>
                </c:pt>
                <c:pt idx="660">
                  <c:v>44.27</c:v>
                </c:pt>
                <c:pt idx="661">
                  <c:v>44.290000000000013</c:v>
                </c:pt>
                <c:pt idx="662">
                  <c:v>43.1</c:v>
                </c:pt>
                <c:pt idx="663">
                  <c:v>41.8</c:v>
                </c:pt>
                <c:pt idx="664">
                  <c:v>42.14</c:v>
                </c:pt>
                <c:pt idx="665">
                  <c:v>42.46</c:v>
                </c:pt>
                <c:pt idx="666">
                  <c:v>42.7</c:v>
                </c:pt>
                <c:pt idx="667">
                  <c:v>43.47</c:v>
                </c:pt>
                <c:pt idx="668">
                  <c:v>44.87</c:v>
                </c:pt>
                <c:pt idx="669">
                  <c:v>44.720000000000013</c:v>
                </c:pt>
                <c:pt idx="670">
                  <c:v>45.690000000000012</c:v>
                </c:pt>
                <c:pt idx="671">
                  <c:v>46.2</c:v>
                </c:pt>
                <c:pt idx="672">
                  <c:v>47.17</c:v>
                </c:pt>
                <c:pt idx="673">
                  <c:v>46.660000000000011</c:v>
                </c:pt>
                <c:pt idx="674">
                  <c:v>46.96</c:v>
                </c:pt>
                <c:pt idx="675">
                  <c:v>47.61</c:v>
                </c:pt>
                <c:pt idx="676">
                  <c:v>47.37</c:v>
                </c:pt>
                <c:pt idx="677">
                  <c:v>46.260000000000012</c:v>
                </c:pt>
                <c:pt idx="678">
                  <c:v>48.47</c:v>
                </c:pt>
                <c:pt idx="679">
                  <c:v>46.25</c:v>
                </c:pt>
                <c:pt idx="680">
                  <c:v>46.760000000000012</c:v>
                </c:pt>
                <c:pt idx="681">
                  <c:v>46.4</c:v>
                </c:pt>
                <c:pt idx="682">
                  <c:v>48.8</c:v>
                </c:pt>
                <c:pt idx="683">
                  <c:v>47.96</c:v>
                </c:pt>
                <c:pt idx="684">
                  <c:v>50.04</c:v>
                </c:pt>
              </c:numCache>
            </c:numRef>
          </c:val>
        </c:ser>
        <c:ser>
          <c:idx val="2"/>
          <c:order val="2"/>
          <c:tx>
            <c:strRef>
              <c:f>'世界-走势图'!$D$1</c:f>
              <c:strCache>
                <c:ptCount val="1"/>
                <c:pt idx="0">
                  <c:v>迪拜</c:v>
                </c:pt>
              </c:strCache>
            </c:strRef>
          </c:tx>
          <c:marker>
            <c:symbol val="none"/>
          </c:marker>
          <c:cat>
            <c:numRef>
              <c:f>'世界-走势图'!$A$39:$A$686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'世界-走势图'!$D$77:$D$686</c:f>
            </c:numRef>
          </c:val>
        </c:ser>
        <c:ser>
          <c:idx val="3"/>
          <c:order val="3"/>
          <c:tx>
            <c:strRef>
              <c:f>'世界-走势图'!$E$1</c:f>
              <c:strCache>
                <c:ptCount val="1"/>
                <c:pt idx="0">
                  <c:v>阿曼</c:v>
                </c:pt>
              </c:strCache>
            </c:strRef>
          </c:tx>
          <c:marker>
            <c:symbol val="none"/>
          </c:marker>
          <c:cat>
            <c:numRef>
              <c:f>'世界-走势图'!$A$39:$A$686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'世界-走势图'!$E$77:$E$686</c:f>
            </c:numRef>
          </c:val>
        </c:ser>
        <c:ser>
          <c:idx val="4"/>
          <c:order val="4"/>
          <c:tx>
            <c:strRef>
              <c:f>'世界-走势图'!$F$1</c:f>
              <c:strCache>
                <c:ptCount val="1"/>
                <c:pt idx="0">
                  <c:v>米纳斯</c:v>
                </c:pt>
              </c:strCache>
            </c:strRef>
          </c:tx>
          <c:marker>
            <c:symbol val="none"/>
          </c:marker>
          <c:cat>
            <c:numRef>
              <c:f>'世界-走势图'!$A$39:$A$686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'世界-走势图'!$F$77:$F$686</c:f>
            </c:numRef>
          </c:val>
        </c:ser>
        <c:ser>
          <c:idx val="5"/>
          <c:order val="5"/>
          <c:tx>
            <c:strRef>
              <c:f>'世界-走势图'!$G$1</c:f>
              <c:strCache>
                <c:ptCount val="1"/>
                <c:pt idx="0">
                  <c:v>塔皮斯</c:v>
                </c:pt>
              </c:strCache>
            </c:strRef>
          </c:tx>
          <c:marker>
            <c:symbol val="none"/>
          </c:marker>
          <c:cat>
            <c:numRef>
              <c:f>'世界-走势图'!$A$39:$A$686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'世界-走势图'!$G$77:$G$686</c:f>
            </c:numRef>
          </c:val>
        </c:ser>
        <c:marker val="1"/>
        <c:axId val="225554816"/>
        <c:axId val="225568640"/>
      </c:lineChart>
      <c:dateAx>
        <c:axId val="225554816"/>
        <c:scaling>
          <c:orientation val="minMax"/>
          <c:max val="43530"/>
          <c:min val="43165"/>
        </c:scaling>
        <c:axPos val="b"/>
        <c:numFmt formatCode="yy/m/d;@" sourceLinked="0"/>
        <c:majorTickMark val="in"/>
        <c:tickLblPos val="nextTo"/>
        <c:spPr>
          <a:ln w="3175" cap="flat" cmpd="sng" algn="ctr">
            <a:solidFill>
              <a:srgbClr val="000000">
                <a:alpha val="100000"/>
              </a:srgbClr>
            </a:solidFill>
            <a:prstDash val="solid"/>
            <a:round/>
          </a:ln>
        </c:spPr>
        <c:txPr>
          <a:bodyPr rot="0" vert="horz"/>
          <a:lstStyle/>
          <a:p>
            <a:pPr>
              <a:defRPr sz="800" b="0" i="0" u="none" strike="noStrike" baseline="0">
                <a:solidFill>
                  <a:srgbClr val="000000"/>
                </a:solidFill>
                <a:latin typeface="Arial"/>
                <a:ea typeface="Arial"/>
                <a:cs typeface="Arial"/>
              </a:defRPr>
            </a:pPr>
            <a:endParaRPr lang="zh-CN"/>
          </a:p>
        </c:txPr>
        <c:crossAx val="225568640"/>
        <c:crossesAt val="20"/>
        <c:auto val="1"/>
        <c:lblOffset val="100"/>
        <c:baseTimeUnit val="days"/>
        <c:majorUnit val="2"/>
        <c:majorTimeUnit val="months"/>
        <c:minorUnit val="1"/>
        <c:minorTimeUnit val="days"/>
      </c:dateAx>
      <c:valAx>
        <c:axId val="225568640"/>
        <c:scaling>
          <c:orientation val="minMax"/>
          <c:max val="90"/>
          <c:min val="40"/>
        </c:scaling>
        <c:axPos val="l"/>
        <c:title>
          <c:tx>
            <c:rich>
              <a:bodyPr rot="0" vert="horz"/>
              <a:lstStyle/>
              <a:p>
                <a:pPr algn="ctr">
                  <a:defRPr sz="1100" b="0" i="0" u="none" strike="noStrike" baseline="0">
                    <a:solidFill>
                      <a:srgbClr val="000000"/>
                    </a:solidFill>
                    <a:latin typeface="宋体"/>
                    <a:ea typeface="宋体"/>
                    <a:cs typeface="宋体"/>
                  </a:defRPr>
                </a:pPr>
                <a:r>
                  <a:rPr lang="zh-CN" altLang="en-US" sz="975" b="0" i="0" strike="noStrike">
                    <a:solidFill>
                      <a:srgbClr val="000000"/>
                    </a:solidFill>
                    <a:latin typeface="宋体"/>
                    <a:ea typeface="宋体"/>
                  </a:rPr>
                  <a:t>美元</a:t>
                </a:r>
                <a:r>
                  <a:rPr lang="en-US" altLang="zh-CN" sz="975" b="0" i="0" strike="noStrike">
                    <a:solidFill>
                      <a:srgbClr val="000000"/>
                    </a:solidFill>
                    <a:latin typeface="宋体"/>
                    <a:ea typeface="宋体"/>
                  </a:rPr>
                  <a:t>/</a:t>
                </a:r>
                <a:r>
                  <a:rPr lang="zh-CN" altLang="en-US" sz="975" b="0" i="0" strike="noStrike">
                    <a:solidFill>
                      <a:srgbClr val="000000"/>
                    </a:solidFill>
                    <a:latin typeface="宋体"/>
                    <a:ea typeface="宋体"/>
                  </a:rPr>
                  <a:t>桶</a:t>
                </a:r>
              </a:p>
            </c:rich>
          </c:tx>
          <c:layout>
            <c:manualLayout>
              <c:xMode val="edge"/>
              <c:yMode val="edge"/>
              <c:x val="0.71025766145429003"/>
              <c:y val="0.16424896479220777"/>
            </c:manualLayout>
          </c:layout>
        </c:title>
        <c:numFmt formatCode="0_ " sourceLinked="0"/>
        <c:majorTickMark val="in"/>
        <c:tickLblPos val="nextTo"/>
        <c:spPr>
          <a:ln w="3175" cap="flat" cmpd="sng" algn="ctr">
            <a:solidFill>
              <a:srgbClr val="000000">
                <a:alpha val="100000"/>
              </a:srgbClr>
            </a:solidFill>
            <a:prstDash val="solid"/>
            <a:round/>
          </a:ln>
        </c:spPr>
        <c:txPr>
          <a:bodyPr rot="0" vert="horz"/>
          <a:lstStyle/>
          <a:p>
            <a:pPr>
              <a:defRPr sz="975" b="0" i="0" u="none" strike="noStrike" baseline="0">
                <a:solidFill>
                  <a:srgbClr val="000000"/>
                </a:solidFill>
                <a:latin typeface="Arial"/>
                <a:ea typeface="Arial"/>
                <a:cs typeface="Arial"/>
              </a:defRPr>
            </a:pPr>
            <a:endParaRPr lang="zh-CN"/>
          </a:p>
        </c:txPr>
        <c:crossAx val="225554816"/>
        <c:crossesAt val="42481"/>
        <c:crossBetween val="between"/>
        <c:majorUnit val="10"/>
        <c:minorUnit val="10"/>
      </c:valAx>
      <c:spPr>
        <a:noFill/>
        <a:ln w="25400">
          <a:noFill/>
        </a:ln>
      </c:spPr>
    </c:plotArea>
    <c:legend>
      <c:legendPos val="r"/>
      <c:layout>
        <c:manualLayout>
          <c:xMode val="edge"/>
          <c:yMode val="edge"/>
          <c:x val="0.16173154412036536"/>
          <c:y val="0.15473377816873721"/>
          <c:w val="0.17681656870355977"/>
          <c:h val="0.14232959299706074"/>
        </c:manualLayout>
      </c:layout>
      <c:spPr>
        <a:solidFill>
          <a:srgbClr val="FFFFFF">
            <a:alpha val="100000"/>
          </a:srgbClr>
        </a:solidFill>
        <a:ln w="3175">
          <a:noFill/>
        </a:ln>
      </c:spPr>
      <c:txPr>
        <a:bodyPr/>
        <a:lstStyle/>
        <a:p>
          <a:pPr>
            <a:defRPr sz="900" b="1" i="0" u="none" strike="noStrike" baseline="0">
              <a:solidFill>
                <a:srgbClr val="000000"/>
              </a:solidFill>
              <a:latin typeface="宋体"/>
              <a:ea typeface="宋体"/>
              <a:cs typeface="宋体"/>
            </a:defRPr>
          </a:pPr>
          <a:endParaRPr lang="zh-CN"/>
        </a:p>
      </c:txPr>
    </c:legend>
    <c:plotVisOnly val="1"/>
    <c:dispBlanksAs val="gap"/>
  </c:chart>
  <c:spPr>
    <a:solidFill>
      <a:srgbClr val="FFFFFF">
        <a:alpha val="100000"/>
      </a:srgbClr>
    </a:solidFill>
    <a:ln w="3175" cap="flat" cmpd="sng" algn="ctr">
      <a:noFill/>
      <a:prstDash val="solid"/>
      <a:round/>
    </a:ln>
  </c:spPr>
  <c:txPr>
    <a:bodyPr/>
    <a:lstStyle/>
    <a:p>
      <a:pPr>
        <a:defRPr sz="850"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zh-CN" altLang="en-US"/>
              <a:t>山东地炼石脑油价格走势图</a:t>
            </a:r>
          </a:p>
        </c:rich>
      </c:tx>
      <c:layout>
        <c:manualLayout>
          <c:xMode val="edge"/>
          <c:yMode val="edge"/>
          <c:x val="0.36012451931880657"/>
          <c:y val="4.3586406962287633E-2"/>
        </c:manualLayout>
      </c:layout>
    </c:title>
    <c:plotArea>
      <c:layout>
        <c:manualLayout>
          <c:layoutTarget val="inner"/>
          <c:xMode val="edge"/>
          <c:yMode val="edge"/>
          <c:x val="8.1198294608225294E-2"/>
          <c:y val="0.10155325321176964"/>
          <c:w val="0.87483862221669995"/>
          <c:h val="0.5686186793022554"/>
        </c:manualLayout>
      </c:layout>
      <c:lineChart>
        <c:grouping val="standard"/>
        <c:ser>
          <c:idx val="8"/>
          <c:order val="0"/>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'溶剂油周报-石脑油价格走势图表'!$B$298:$B$354</c:f>
            </c:numRef>
          </c:val>
        </c:ser>
        <c:ser>
          <c:idx val="10"/>
          <c:order val="1"/>
          <c:spPr>
            <a:ln w="38100" cap="rnd" cmpd="sng" algn="ctr">
              <a:solidFill>
                <a:srgbClr val="00B050"/>
              </a:solidFill>
              <a:prstDash val="solid"/>
              <a:roun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'溶剂油周报-石脑油价格走势图表'!$C$298:$C$354</c:f>
            </c:numRef>
          </c:val>
        </c:ser>
        <c:ser>
          <c:idx val="1"/>
          <c:order val="2"/>
          <c:tx>
            <c:strRef>
              <c:f>'溶剂油周报-石脑油价格走势图表'!$D$282</c:f>
              <c:strCache>
                <c:ptCount val="1"/>
                <c:pt idx="0">
                  <c:v>鑫泰石化</c:v>
                </c:pt>
              </c:strCache>
            </c:strRef>
          </c:tx>
          <c:spPr>
            <a:ln w="38100">
              <a:solidFill>
                <a:srgbClr val="FF00FF"/>
              </a:solidFill>
              <a:prstDash val="solid"/>
            </a:ln>
          </c:spPr>
          <c:marker>
            <c:symbol val="none"/>
          </c:marker>
          <c:cat>
            <c:numRef>
              <c:f>'溶剂油周报-石脑油价格走势图表'!$A$298:$A$355</c:f>
              <c:numCache>
                <c:formatCode>yyyy/m/d</c:formatCode>
                <c:ptCount val="58"/>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numCache>
            </c:numRef>
          </c:cat>
          <c:val>
            <c:numRef>
              <c:f>'溶剂油周报-石脑油价格走势图表'!$D$298:$D$355</c:f>
              <c:numCache>
                <c:formatCode>General</c:formatCode>
                <c:ptCount val="58"/>
                <c:pt idx="0">
                  <c:v>6150</c:v>
                </c:pt>
                <c:pt idx="1">
                  <c:v>6300</c:v>
                </c:pt>
                <c:pt idx="2">
                  <c:v>6300</c:v>
                </c:pt>
                <c:pt idx="3">
                  <c:v>6300</c:v>
                </c:pt>
                <c:pt idx="4">
                  <c:v>6250</c:v>
                </c:pt>
                <c:pt idx="5">
                  <c:v>6150</c:v>
                </c:pt>
                <c:pt idx="6">
                  <c:v>6300</c:v>
                </c:pt>
                <c:pt idx="7">
                  <c:v>6150</c:v>
                </c:pt>
                <c:pt idx="8">
                  <c:v>6150</c:v>
                </c:pt>
                <c:pt idx="9">
                  <c:v>6150</c:v>
                </c:pt>
                <c:pt idx="10">
                  <c:v>6150</c:v>
                </c:pt>
                <c:pt idx="11">
                  <c:v>6150</c:v>
                </c:pt>
                <c:pt idx="12">
                  <c:v>6350</c:v>
                </c:pt>
                <c:pt idx="13">
                  <c:v>6250</c:v>
                </c:pt>
                <c:pt idx="14">
                  <c:v>6250</c:v>
                </c:pt>
                <c:pt idx="15">
                  <c:v>6300</c:v>
                </c:pt>
                <c:pt idx="16">
                  <c:v>6350</c:v>
                </c:pt>
                <c:pt idx="17">
                  <c:v>6600</c:v>
                </c:pt>
                <c:pt idx="18">
                  <c:v>6650</c:v>
                </c:pt>
                <c:pt idx="19">
                  <c:v>6650</c:v>
                </c:pt>
                <c:pt idx="20">
                  <c:v>6450</c:v>
                </c:pt>
                <c:pt idx="21">
                  <c:v>6450</c:v>
                </c:pt>
                <c:pt idx="22">
                  <c:v>6450</c:v>
                </c:pt>
                <c:pt idx="23">
                  <c:v>6400</c:v>
                </c:pt>
                <c:pt idx="24">
                  <c:v>6400</c:v>
                </c:pt>
                <c:pt idx="25">
                  <c:v>6650</c:v>
                </c:pt>
                <c:pt idx="26">
                  <c:v>6600</c:v>
                </c:pt>
                <c:pt idx="27">
                  <c:v>6600</c:v>
                </c:pt>
                <c:pt idx="28">
                  <c:v>6800</c:v>
                </c:pt>
                <c:pt idx="29">
                  <c:v>6800</c:v>
                </c:pt>
                <c:pt idx="30">
                  <c:v>7200</c:v>
                </c:pt>
                <c:pt idx="31">
                  <c:v>7200</c:v>
                </c:pt>
                <c:pt idx="32">
                  <c:v>7200</c:v>
                </c:pt>
                <c:pt idx="33">
                  <c:v>7650</c:v>
                </c:pt>
                <c:pt idx="34">
                  <c:v>7950</c:v>
                </c:pt>
                <c:pt idx="35">
                  <c:v>7700</c:v>
                </c:pt>
                <c:pt idx="36">
                  <c:v>7750</c:v>
                </c:pt>
                <c:pt idx="37">
                  <c:v>7900</c:v>
                </c:pt>
                <c:pt idx="38">
                  <c:v>0</c:v>
                </c:pt>
                <c:pt idx="39">
                  <c:v>7850</c:v>
                </c:pt>
                <c:pt idx="40">
                  <c:v>7500</c:v>
                </c:pt>
                <c:pt idx="41">
                  <c:v>7300</c:v>
                </c:pt>
                <c:pt idx="42">
                  <c:v>7300</c:v>
                </c:pt>
                <c:pt idx="43">
                  <c:v>6700</c:v>
                </c:pt>
                <c:pt idx="44">
                  <c:v>6300</c:v>
                </c:pt>
                <c:pt idx="45">
                  <c:v>6500</c:v>
                </c:pt>
                <c:pt idx="46">
                  <c:v>6550</c:v>
                </c:pt>
                <c:pt idx="47">
                  <c:v>6200</c:v>
                </c:pt>
                <c:pt idx="48">
                  <c:v>5800</c:v>
                </c:pt>
                <c:pt idx="49">
                  <c:v>5800</c:v>
                </c:pt>
                <c:pt idx="50">
                  <c:v>6500</c:v>
                </c:pt>
                <c:pt idx="51">
                  <c:v>6500</c:v>
                </c:pt>
                <c:pt idx="52">
                  <c:v>6500</c:v>
                </c:pt>
                <c:pt idx="53">
                  <c:v>5925</c:v>
                </c:pt>
                <c:pt idx="54">
                  <c:v>5925</c:v>
                </c:pt>
                <c:pt idx="55">
                  <c:v>5925</c:v>
                </c:pt>
                <c:pt idx="56">
                  <c:v>5925</c:v>
                </c:pt>
                <c:pt idx="57">
                  <c:v>5925</c:v>
                </c:pt>
              </c:numCache>
            </c:numRef>
          </c:val>
        </c:ser>
        <c:ser>
          <c:idx val="5"/>
          <c:order val="3"/>
          <c:tx>
            <c:strRef>
              <c:f>'溶剂油周报-石脑油价格走势图表'!$E$282</c:f>
              <c:strCache>
                <c:ptCount val="1"/>
                <c:pt idx="0">
                  <c:v>利津石化</c:v>
                </c:pt>
              </c:strCache>
            </c:strRef>
          </c:tx>
          <c:spPr>
            <a:ln w="38100">
              <a:solidFill>
                <a:srgbClr val="800000"/>
              </a:solidFill>
              <a:prstDash val="soli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'溶剂油周报-石脑油价格走势图表'!$E$298:$E$354</c:f>
              <c:numCache>
                <c:formatCode>General</c:formatCode>
                <c:ptCount val="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numCache>
            </c:numRef>
          </c:val>
        </c:ser>
        <c:ser>
          <c:idx val="6"/>
          <c:order val="4"/>
          <c:tx>
            <c:strRef>
              <c:f>'溶剂油周报-石脑油价格走势图表'!$F$282</c:f>
              <c:strCache>
                <c:ptCount val="1"/>
                <c:pt idx="0">
                  <c:v>安邦石化</c:v>
                </c:pt>
              </c:strCache>
            </c:strRef>
          </c:tx>
          <c:spPr>
            <a:ln w="38100">
              <a:solidFill>
                <a:srgbClr val="0000FF"/>
              </a:solidFill>
              <a:prstDash val="solid"/>
            </a:ln>
          </c:spPr>
          <c:marker>
            <c:symbol val="none"/>
          </c:marker>
          <c:cat>
            <c:numRef>
              <c:f>'溶剂油周报-石脑油价格走势图表'!$A$298:$A$355</c:f>
              <c:numCache>
                <c:formatCode>yyyy/m/d</c:formatCode>
                <c:ptCount val="58"/>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numCache>
            </c:numRef>
          </c:cat>
          <c:val>
            <c:numRef>
              <c:f>'溶剂油周报-石脑油价格走势图表'!$F$298:$F$355</c:f>
              <c:numCache>
                <c:formatCode>General</c:formatCode>
                <c:ptCount val="58"/>
                <c:pt idx="0">
                  <c:v>5960</c:v>
                </c:pt>
                <c:pt idx="1">
                  <c:v>6400</c:v>
                </c:pt>
                <c:pt idx="2">
                  <c:v>6250</c:v>
                </c:pt>
                <c:pt idx="3">
                  <c:v>6200</c:v>
                </c:pt>
                <c:pt idx="4">
                  <c:v>5990</c:v>
                </c:pt>
                <c:pt idx="5">
                  <c:v>5840</c:v>
                </c:pt>
                <c:pt idx="6">
                  <c:v>5950</c:v>
                </c:pt>
                <c:pt idx="7">
                  <c:v>5950</c:v>
                </c:pt>
                <c:pt idx="8">
                  <c:v>5900</c:v>
                </c:pt>
                <c:pt idx="9">
                  <c:v>5920</c:v>
                </c:pt>
                <c:pt idx="10">
                  <c:v>6000</c:v>
                </c:pt>
                <c:pt idx="11">
                  <c:v>6080</c:v>
                </c:pt>
                <c:pt idx="12">
                  <c:v>6130</c:v>
                </c:pt>
                <c:pt idx="13">
                  <c:v>6150</c:v>
                </c:pt>
                <c:pt idx="14">
                  <c:v>6250</c:v>
                </c:pt>
                <c:pt idx="15">
                  <c:v>6150</c:v>
                </c:pt>
                <c:pt idx="16">
                  <c:v>6450</c:v>
                </c:pt>
                <c:pt idx="17">
                  <c:v>6600</c:v>
                </c:pt>
                <c:pt idx="18">
                  <c:v>6650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7600</c:v>
                </c:pt>
                <c:pt idx="33">
                  <c:v>7500</c:v>
                </c:pt>
                <c:pt idx="34">
                  <c:v>7730</c:v>
                </c:pt>
                <c:pt idx="35">
                  <c:v>7630</c:v>
                </c:pt>
                <c:pt idx="36">
                  <c:v>7580</c:v>
                </c:pt>
                <c:pt idx="37">
                  <c:v>7500</c:v>
                </c:pt>
                <c:pt idx="38">
                  <c:v>7500</c:v>
                </c:pt>
                <c:pt idx="39">
                  <c:v>7450</c:v>
                </c:pt>
                <c:pt idx="40">
                  <c:v>7500</c:v>
                </c:pt>
                <c:pt idx="41">
                  <c:v>7500</c:v>
                </c:pt>
                <c:pt idx="42">
                  <c:v>6350</c:v>
                </c:pt>
                <c:pt idx="43">
                  <c:v>6150</c:v>
                </c:pt>
                <c:pt idx="44">
                  <c:v>6150</c:v>
                </c:pt>
                <c:pt idx="45">
                  <c:v>0</c:v>
                </c:pt>
                <c:pt idx="46">
                  <c:v>0</c:v>
                </c:pt>
                <c:pt idx="47">
                  <c:v>0</c:v>
                </c:pt>
                <c:pt idx="48">
                  <c:v>0</c:v>
                </c:pt>
                <c:pt idx="49">
                  <c:v>0</c:v>
                </c:pt>
                <c:pt idx="50">
                  <c:v>0</c:v>
                </c:pt>
                <c:pt idx="51">
                  <c:v>0</c:v>
                </c:pt>
                <c:pt idx="52">
                  <c:v>0</c:v>
                </c:pt>
                <c:pt idx="53">
                  <c:v>0</c:v>
                </c:pt>
                <c:pt idx="54">
                  <c:v>0</c:v>
                </c:pt>
                <c:pt idx="55">
                  <c:v>0</c:v>
                </c:pt>
                <c:pt idx="56">
                  <c:v>0</c:v>
                </c:pt>
                <c:pt idx="57">
                  <c:v>0</c:v>
                </c:pt>
              </c:numCache>
            </c:numRef>
          </c:val>
        </c:ser>
        <c:ser>
          <c:idx val="0"/>
          <c:order val="5"/>
          <c:tx>
            <c:strRef>
              <c:f>'溶剂油周报-石脑油价格走势图表'!$G$282</c:f>
              <c:strCache>
                <c:ptCount val="1"/>
                <c:pt idx="0">
                  <c:v>富海石化</c:v>
                </c:pt>
              </c:strCache>
            </c:strRef>
          </c:tx>
          <c:marker>
            <c:symbol val="none"/>
          </c:marker>
          <c:cat>
            <c:numRef>
              <c:f>'溶剂油周报-石脑油价格走势图表'!$A$298:$C$355</c:f>
              <c:numCache>
                <c:formatCode>yyyy/m/d</c:formatCode>
                <c:ptCount val="58"/>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numCache>
            </c:numRef>
          </c:cat>
          <c:val>
            <c:numRef>
              <c:f>'溶剂油周报-石脑油价格走势图表'!$G$298:$G$355</c:f>
              <c:numCache>
                <c:formatCode>General</c:formatCode>
                <c:ptCount val="58"/>
                <c:pt idx="0">
                  <c:v>5210</c:v>
                </c:pt>
                <c:pt idx="1">
                  <c:v>5210</c:v>
                </c:pt>
                <c:pt idx="2">
                  <c:v>5670</c:v>
                </c:pt>
                <c:pt idx="3">
                  <c:v>5500</c:v>
                </c:pt>
                <c:pt idx="4">
                  <c:v>5200</c:v>
                </c:pt>
                <c:pt idx="5">
                  <c:v>5200</c:v>
                </c:pt>
                <c:pt idx="6">
                  <c:v>5290</c:v>
                </c:pt>
                <c:pt idx="7">
                  <c:v>5310</c:v>
                </c:pt>
                <c:pt idx="8">
                  <c:v>5210</c:v>
                </c:pt>
                <c:pt idx="9">
                  <c:v>5080</c:v>
                </c:pt>
                <c:pt idx="10">
                  <c:v>4800</c:v>
                </c:pt>
                <c:pt idx="11">
                  <c:v>4800</c:v>
                </c:pt>
                <c:pt idx="12">
                  <c:v>4800</c:v>
                </c:pt>
                <c:pt idx="13">
                  <c:v>4860</c:v>
                </c:pt>
                <c:pt idx="14">
                  <c:v>4840</c:v>
                </c:pt>
                <c:pt idx="15">
                  <c:v>4760</c:v>
                </c:pt>
                <c:pt idx="16">
                  <c:v>4920</c:v>
                </c:pt>
                <c:pt idx="17">
                  <c:v>5100</c:v>
                </c:pt>
                <c:pt idx="18">
                  <c:v>5110</c:v>
                </c:pt>
                <c:pt idx="19">
                  <c:v>4890</c:v>
                </c:pt>
                <c:pt idx="20">
                  <c:v>4730</c:v>
                </c:pt>
                <c:pt idx="21">
                  <c:v>4760</c:v>
                </c:pt>
                <c:pt idx="22">
                  <c:v>4760</c:v>
                </c:pt>
                <c:pt idx="23">
                  <c:v>4760</c:v>
                </c:pt>
                <c:pt idx="24">
                  <c:v>4780</c:v>
                </c:pt>
                <c:pt idx="25">
                  <c:v>4830</c:v>
                </c:pt>
                <c:pt idx="26">
                  <c:v>5010</c:v>
                </c:pt>
                <c:pt idx="27">
                  <c:v>5010</c:v>
                </c:pt>
                <c:pt idx="28">
                  <c:v>5010</c:v>
                </c:pt>
                <c:pt idx="29">
                  <c:v>5010</c:v>
                </c:pt>
                <c:pt idx="30">
                  <c:v>5010</c:v>
                </c:pt>
                <c:pt idx="31">
                  <c:v>5010</c:v>
                </c:pt>
                <c:pt idx="32">
                  <c:v>5470</c:v>
                </c:pt>
                <c:pt idx="33">
                  <c:v>5550</c:v>
                </c:pt>
                <c:pt idx="34">
                  <c:v>5700</c:v>
                </c:pt>
                <c:pt idx="35">
                  <c:v>5620</c:v>
                </c:pt>
                <c:pt idx="36">
                  <c:v>5620</c:v>
                </c:pt>
                <c:pt idx="37">
                  <c:v>5750</c:v>
                </c:pt>
                <c:pt idx="38">
                  <c:v>5600</c:v>
                </c:pt>
                <c:pt idx="39">
                  <c:v>5570</c:v>
                </c:pt>
                <c:pt idx="40">
                  <c:v>5570</c:v>
                </c:pt>
                <c:pt idx="41">
                  <c:v>5270</c:v>
                </c:pt>
                <c:pt idx="42">
                  <c:v>4960</c:v>
                </c:pt>
                <c:pt idx="43">
                  <c:v>4960</c:v>
                </c:pt>
                <c:pt idx="44">
                  <c:v>4370</c:v>
                </c:pt>
                <c:pt idx="45">
                  <c:v>0</c:v>
                </c:pt>
                <c:pt idx="46">
                  <c:v>0</c:v>
                </c:pt>
                <c:pt idx="47">
                  <c:v>0</c:v>
                </c:pt>
                <c:pt idx="48">
                  <c:v>0</c:v>
                </c:pt>
                <c:pt idx="49">
                  <c:v>0</c:v>
                </c:pt>
                <c:pt idx="50">
                  <c:v>0</c:v>
                </c:pt>
                <c:pt idx="51">
                  <c:v>0</c:v>
                </c:pt>
                <c:pt idx="52">
                  <c:v>0</c:v>
                </c:pt>
                <c:pt idx="53">
                  <c:v>0</c:v>
                </c:pt>
                <c:pt idx="54">
                  <c:v>0</c:v>
                </c:pt>
                <c:pt idx="55">
                  <c:v>0</c:v>
                </c:pt>
                <c:pt idx="56">
                  <c:v>0</c:v>
                </c:pt>
                <c:pt idx="57">
                  <c:v>0</c:v>
                </c:pt>
              </c:numCache>
            </c:numRef>
          </c:val>
        </c:ser>
        <c:ser>
          <c:idx val="2"/>
          <c:order val="6"/>
          <c:tx>
            <c:strRef>
              <c:f>'溶剂油周报-石脑油价格走势图表'!$H$282</c:f>
              <c:strCache>
                <c:ptCount val="1"/>
                <c:pt idx="0">
                  <c:v>寿光石化</c:v>
                </c:pt>
              </c:strCache>
            </c:strRef>
          </c:tx>
          <c:marker>
            <c:symbol val="none"/>
          </c:marker>
          <c:cat>
            <c:numRef>
              <c:f>'溶剂油周报-石脑油价格走势图表'!$A$298:$A$355</c:f>
              <c:numCache>
                <c:formatCode>yyyy/m/d</c:formatCode>
                <c:ptCount val="58"/>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numCache>
            </c:numRef>
          </c:cat>
          <c:val>
            <c:numRef>
              <c:f>'溶剂油周报-石脑油价格走势图表'!$H$298:$H$355</c:f>
              <c:numCache>
                <c:formatCode>General</c:formatCode>
                <c:ptCount val="5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4500</c:v>
                </c:pt>
                <c:pt idx="46">
                  <c:v>4500</c:v>
                </c:pt>
                <c:pt idx="47">
                  <c:v>4500</c:v>
                </c:pt>
                <c:pt idx="48">
                  <c:v>4500</c:v>
                </c:pt>
                <c:pt idx="49">
                  <c:v>4500</c:v>
                </c:pt>
                <c:pt idx="50">
                  <c:v>5600</c:v>
                </c:pt>
                <c:pt idx="51">
                  <c:v>5600</c:v>
                </c:pt>
                <c:pt idx="52">
                  <c:v>5600</c:v>
                </c:pt>
                <c:pt idx="53">
                  <c:v>5600</c:v>
                </c:pt>
                <c:pt idx="54">
                  <c:v>5600</c:v>
                </c:pt>
                <c:pt idx="55">
                  <c:v>5600</c:v>
                </c:pt>
                <c:pt idx="56">
                  <c:v>5600</c:v>
                </c:pt>
                <c:pt idx="57">
                  <c:v>5600</c:v>
                </c:pt>
              </c:numCache>
            </c:numRef>
          </c:val>
        </c:ser>
        <c:marker val="1"/>
        <c:axId val="213796352"/>
        <c:axId val="213798272"/>
      </c:lineChart>
      <c:dateAx>
        <c:axId val="213796352"/>
        <c:scaling>
          <c:orientation val="minMax"/>
          <c:max val="43532"/>
          <c:min val="43167"/>
        </c:scaling>
        <c:axPos val="b"/>
        <c:title>
          <c:tx>
            <c:rich>
              <a:bodyPr/>
              <a:lstStyle/>
              <a:p>
                <a:pPr>
                  <a:defRPr sz="1100" b="0" i="0" u="none" strike="noStrike" baseline="0">
                    <a:solidFill>
                      <a:srgbClr val="000000"/>
                    </a:solidFill>
                    <a:latin typeface="宋体"/>
                    <a:ea typeface="宋体"/>
                    <a:cs typeface="宋体"/>
                  </a:defRPr>
                </a:pPr>
                <a:r>
                  <a:rPr lang="zh-CN" altLang="en-US" sz="1000" b="0" i="0" strike="noStrike">
                    <a:solidFill>
                      <a:srgbClr val="000000"/>
                    </a:solidFill>
                    <a:latin typeface="宋体"/>
                    <a:ea typeface="宋体"/>
                  </a:rPr>
                  <a:t>元</a:t>
                </a:r>
                <a:r>
                  <a:rPr lang="en-US" altLang="zh-CN" sz="1000" b="0" i="0" strike="noStrike">
                    <a:solidFill>
                      <a:srgbClr val="000000"/>
                    </a:solidFill>
                    <a:latin typeface="宋体"/>
                    <a:ea typeface="宋体"/>
                  </a:rPr>
                  <a:t>/</a:t>
                </a:r>
                <a:r>
                  <a:rPr lang="zh-CN" altLang="en-US" sz="1000" b="0" i="0" strike="noStrike">
                    <a:solidFill>
                      <a:srgbClr val="000000"/>
                    </a:solidFill>
                    <a:latin typeface="宋体"/>
                    <a:ea typeface="宋体"/>
                  </a:rPr>
                  <a:t>吨</a:t>
                </a:r>
              </a:p>
            </c:rich>
          </c:tx>
          <c:layout>
            <c:manualLayout>
              <c:xMode val="edge"/>
              <c:yMode val="edge"/>
              <c:x val="8.1893251715628501E-2"/>
              <c:y val="0.14033291891145186"/>
            </c:manualLayout>
          </c:layout>
        </c:title>
        <c:numFmt formatCode="yyyy/m/d;@" sourceLinked="0"/>
        <c:majorTickMark val="in"/>
        <c:tickLblPos val="nextTo"/>
        <c:spPr>
          <a:ln w="3175" cap="flat" cmpd="sng" algn="ctr">
            <a:solidFill>
              <a:srgbClr val="000000">
                <a:alpha val="100000"/>
              </a:srgbClr>
            </a:solidFill>
            <a:prstDash val="solid"/>
            <a:round/>
          </a:ln>
        </c:spPr>
        <c:txPr>
          <a:bodyPr rot="-5400000" vert="horz"/>
          <a:lstStyle/>
          <a:p>
            <a:pPr>
              <a:defRPr sz="1000" b="0" i="0" u="none" strike="noStrike" baseline="0">
                <a:solidFill>
                  <a:srgbClr val="000000"/>
                </a:solidFill>
                <a:latin typeface="宋体"/>
                <a:ea typeface="宋体"/>
                <a:cs typeface="宋体"/>
              </a:defRPr>
            </a:pPr>
            <a:endParaRPr lang="zh-CN"/>
          </a:p>
        </c:txPr>
        <c:crossAx val="213798272"/>
        <c:crossesAt val="2000"/>
        <c:auto val="1"/>
        <c:lblOffset val="100"/>
        <c:baseTimeUnit val="days"/>
        <c:majorUnit val="1"/>
        <c:majorTimeUnit val="months"/>
        <c:minorUnit val="1"/>
        <c:minorTimeUnit val="months"/>
      </c:dateAx>
      <c:valAx>
        <c:axId val="213798272"/>
        <c:scaling>
          <c:orientation val="minMax"/>
          <c:max val="8500"/>
          <c:min val="2000"/>
        </c:scaling>
        <c:axPos val="l"/>
        <c:numFmt formatCode="General"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宋体"/>
                <a:ea typeface="宋体"/>
                <a:cs typeface="宋体"/>
              </a:defRPr>
            </a:pPr>
            <a:endParaRPr lang="zh-CN"/>
          </a:p>
        </c:txPr>
        <c:crossAx val="213796352"/>
        <c:crossesAt val="42241"/>
        <c:crossBetween val="between"/>
        <c:majorUnit val="500"/>
        <c:minorUnit val="100"/>
      </c:valAx>
      <c:spPr>
        <a:solidFill>
          <a:srgbClr val="FFFFFF"/>
        </a:solidFill>
        <a:ln w="25400">
          <a:noFill/>
        </a:ln>
      </c:spPr>
    </c:plotArea>
    <c:legend>
      <c:legendPos val="r"/>
      <c:layout>
        <c:manualLayout>
          <c:xMode val="edge"/>
          <c:yMode val="edge"/>
          <c:x val="5.0858468272861244E-2"/>
          <c:y val="0.89119795551871805"/>
          <c:w val="0.9206128303729475"/>
          <c:h val="8.3918497029976558E-2"/>
        </c:manualLayout>
      </c:layout>
      <c:spPr>
        <a:solidFill>
          <a:srgbClr val="FFFFFF">
            <a:alpha val="100000"/>
          </a:srgbClr>
        </a:solidFill>
        <a:ln w="3175">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macro="" textlink="">
      <cdr:nvSpPr>
        <cdr:cNvPr id="2" name="矩形 1"/>
        <cdr:cNvSpPr/>
      </cdr:nvSpPr>
      <cdr:spPr>
        <a:xfrm xmlns:a="http://schemas.openxmlformats.org/drawingml/2006/main">
          <a:off x="3234835" y="3063721"/>
          <a:ext cx="48403" cy="128602"/>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dr:relSizeAnchor xmlns:cdr="http://schemas.openxmlformats.org/drawingml/2006/chartDrawing">
    <cdr:from>
      <cdr:x>0.53313</cdr:x>
      <cdr:y>0.57857</cdr:y>
    </cdr:from>
    <cdr:to>
      <cdr:x>0.53899</cdr:x>
      <cdr:y>0.59825</cdr:y>
    </cdr:to>
    <cdr:sp macro="" textlink="">
      <cdr:nvSpPr>
        <cdr:cNvPr id="3" name="矩形 2"/>
        <cdr:cNvSpPr/>
      </cdr:nvSpPr>
      <cdr:spPr>
        <a:xfrm xmlns:a="http://schemas.openxmlformats.org/drawingml/2006/main">
          <a:off x="3254616" y="3015409"/>
          <a:ext cx="45374" cy="129923"/>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1B755-34C7-4A6B-B010-24D22F37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44</Pages>
  <Words>3011</Words>
  <Characters>17166</Characters>
  <Application>Microsoft Office Word</Application>
  <DocSecurity>0</DocSecurity>
  <Lines>143</Lines>
  <Paragraphs>40</Paragraphs>
  <ScaleCrop>false</ScaleCrop>
  <Company>china</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33</cp:revision>
  <dcterms:created xsi:type="dcterms:W3CDTF">2018-08-31T06:57:00Z</dcterms:created>
  <dcterms:modified xsi:type="dcterms:W3CDTF">2019-03-08T02:40:00Z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