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6" w:name="_Toc505349996"/>
                            <w:bookmarkStart w:id="77" w:name="_Toc485828984"/>
                            <w:r>
                              <w:rPr>
                                <w:rFonts w:hint="eastAsia"/>
                                <w:kern w:val="2"/>
                              </w:rPr>
                              <w:t>201</w:t>
                            </w:r>
                            <w:r>
                              <w:rPr>
                                <w:rFonts w:hint="eastAsia"/>
                                <w:kern w:val="2"/>
                                <w:lang w:val="en-US" w:eastAsia="zh-CN"/>
                              </w:rPr>
                              <w:t>9</w:t>
                            </w:r>
                            <w:r>
                              <w:rPr>
                                <w:rFonts w:hint="eastAsia"/>
                                <w:kern w:val="2"/>
                              </w:rPr>
                              <w:t>.</w:t>
                            </w:r>
                            <w:bookmarkEnd w:id="76"/>
                            <w:bookmarkEnd w:id="77"/>
                            <w:r>
                              <w:rPr>
                                <w:rFonts w:hint="eastAsia"/>
                                <w:kern w:val="2"/>
                                <w:lang w:val="en-US" w:eastAsia="zh-CN"/>
                              </w:rPr>
                              <w:t>1</w:t>
                            </w:r>
                            <w:r>
                              <w:rPr>
                                <w:rFonts w:hint="eastAsia"/>
                                <w:kern w:val="2"/>
                              </w:rPr>
                              <w:t>.</w:t>
                            </w:r>
                            <w:r>
                              <w:rPr>
                                <w:rFonts w:hint="eastAsia"/>
                                <w:kern w:val="2"/>
                                <w:lang w:val="en-US" w:eastAsia="zh-CN"/>
                              </w:rPr>
                              <w:t>18</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6" w:name="_Toc505349996"/>
                      <w:bookmarkStart w:id="77" w:name="_Toc485828984"/>
                      <w:r>
                        <w:rPr>
                          <w:rFonts w:hint="eastAsia"/>
                          <w:kern w:val="2"/>
                        </w:rPr>
                        <w:t>201</w:t>
                      </w:r>
                      <w:r>
                        <w:rPr>
                          <w:rFonts w:hint="eastAsia"/>
                          <w:kern w:val="2"/>
                          <w:lang w:val="en-US" w:eastAsia="zh-CN"/>
                        </w:rPr>
                        <w:t>9</w:t>
                      </w:r>
                      <w:r>
                        <w:rPr>
                          <w:rFonts w:hint="eastAsia"/>
                          <w:kern w:val="2"/>
                        </w:rPr>
                        <w:t>.</w:t>
                      </w:r>
                      <w:bookmarkEnd w:id="76"/>
                      <w:bookmarkEnd w:id="77"/>
                      <w:r>
                        <w:rPr>
                          <w:rFonts w:hint="eastAsia"/>
                          <w:kern w:val="2"/>
                          <w:lang w:val="en-US" w:eastAsia="zh-CN"/>
                        </w:rPr>
                        <w:t>1</w:t>
                      </w:r>
                      <w:r>
                        <w:rPr>
                          <w:rFonts w:hint="eastAsia"/>
                          <w:kern w:val="2"/>
                        </w:rPr>
                        <w:t>.</w:t>
                      </w:r>
                      <w:r>
                        <w:rPr>
                          <w:rFonts w:hint="eastAsia"/>
                          <w:kern w:val="2"/>
                          <w:lang w:val="en-US" w:eastAsia="zh-CN"/>
                        </w:rPr>
                        <w:t>18</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w:t>
                            </w:r>
                            <w:r>
                              <w:rPr>
                                <w:rStyle w:val="24"/>
                                <w:rFonts w:hint="eastAsia" w:cs="Arial"/>
                                <w:bCs/>
                                <w:kern w:val="0"/>
                                <w:lang w:val="en-US" w:eastAsia="zh-CN"/>
                              </w:rPr>
                              <w:t>11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w:t>
                            </w:r>
                            <w:r>
                              <w:rPr>
                                <w:rStyle w:val="24"/>
                                <w:rFonts w:hint="eastAsia" w:ascii="黑体"/>
                                <w:lang w:val="en-US" w:eastAsia="zh-CN"/>
                              </w:rPr>
                              <w:t>11</w:t>
                            </w:r>
                            <w:r>
                              <w:rPr>
                                <w:rStyle w:val="24"/>
                                <w:rFonts w:hint="eastAsia" w:ascii="黑体"/>
                              </w:rPr>
                              <w:t>月中国溶剂</w:t>
                            </w:r>
                            <w:r>
                              <w:rPr>
                                <w:rStyle w:val="24"/>
                                <w:rFonts w:hint="eastAsia" w:ascii="黑体"/>
                                <w:lang w:eastAsia="zh-CN"/>
                              </w:rPr>
                              <w:t>油</w:t>
                            </w:r>
                            <w:r>
                              <w:rPr>
                                <w:rStyle w:val="24"/>
                                <w:rFonts w:hint="eastAsia" w:ascii="黑体"/>
                              </w:rPr>
                              <w:t>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w:t>
                      </w:r>
                      <w:r>
                        <w:rPr>
                          <w:rStyle w:val="24"/>
                          <w:rFonts w:hint="eastAsia" w:cs="Arial"/>
                          <w:bCs/>
                          <w:kern w:val="0"/>
                          <w:lang w:val="en-US" w:eastAsia="zh-CN"/>
                        </w:rPr>
                        <w:t>11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w:t>
                      </w:r>
                      <w:r>
                        <w:rPr>
                          <w:rStyle w:val="24"/>
                          <w:rFonts w:hint="eastAsia" w:ascii="黑体"/>
                          <w:lang w:val="en-US" w:eastAsia="zh-CN"/>
                        </w:rPr>
                        <w:t>11</w:t>
                      </w:r>
                      <w:r>
                        <w:rPr>
                          <w:rStyle w:val="24"/>
                          <w:rFonts w:hint="eastAsia" w:ascii="黑体"/>
                        </w:rPr>
                        <w:t>月中国溶剂</w:t>
                      </w:r>
                      <w:r>
                        <w:rPr>
                          <w:rStyle w:val="24"/>
                          <w:rFonts w:hint="eastAsia" w:ascii="黑体"/>
                          <w:lang w:eastAsia="zh-CN"/>
                        </w:rPr>
                        <w:t>油</w:t>
                      </w:r>
                      <w:r>
                        <w:rPr>
                          <w:rStyle w:val="24"/>
                          <w:rFonts w:hint="eastAsia" w:ascii="黑体"/>
                        </w:rPr>
                        <w:t>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505349997"/>
      <w:bookmarkStart w:id="2" w:name="_Toc460250399"/>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hint="eastAsia" w:ascii="黑体" w:hAnsi="宋体" w:eastAsia="黑体" w:cs="Arial"/>
          <w:b w:val="0"/>
          <w:kern w:val="0"/>
          <w:sz w:val="30"/>
          <w:szCs w:val="30"/>
        </w:rPr>
      </w:pPr>
      <w:bookmarkStart w:id="4" w:name="_Toc296600805"/>
      <w:bookmarkStart w:id="5" w:name="_Toc460250400"/>
      <w:bookmarkStart w:id="6" w:name="_Toc28156819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19"/>
        <w:gridCol w:w="917"/>
        <w:gridCol w:w="920"/>
        <w:gridCol w:w="6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1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2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2019-1-16</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52.31</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61.32</w:t>
            </w:r>
          </w:p>
        </w:tc>
        <w:tc>
          <w:tcPr>
            <w:tcW w:w="6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美国库存报告好坏参半令油价日内整体承压，不过美元涨势受阻依然为油价提供有效支撑，昨日收盘小幅上涨。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52.11</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60.64</w:t>
            </w:r>
          </w:p>
        </w:tc>
        <w:tc>
          <w:tcPr>
            <w:tcW w:w="6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中国实施经济刺激政策为原油需求面带来有效支撑，不过美元反弹令油价的上行空间部分受限，昨日收盘录得上涨。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2019-1-14</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50.51</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58.99</w:t>
            </w:r>
          </w:p>
        </w:tc>
        <w:tc>
          <w:tcPr>
            <w:tcW w:w="6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因中国经济数据表现疲软加大了市场的担忧情绪，同时股市下跌也拖累了投资者的风险情绪，昨日收盘小幅下跌。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51.59</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60.48</w:t>
            </w:r>
          </w:p>
        </w:tc>
        <w:tc>
          <w:tcPr>
            <w:tcW w:w="6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在连续多日上涨后部分投资者锁定获利，油价进入正常回调修正轨道，昨日收盘小幅下跌。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5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2019-1-10</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52.59</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61.68</w:t>
            </w:r>
          </w:p>
        </w:tc>
        <w:tc>
          <w:tcPr>
            <w:tcW w:w="6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中美贸易谈判的乐观预期有所消退，这令多头信心受到冲击，同时美元适度反弹也限制了油价的上行空间，油价收盘仅录得小幅上涨。</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rFonts w:hint="eastAsia" w:eastAsia="宋体"/>
          <w:sz w:val="20"/>
          <w:szCs w:val="20"/>
          <w:lang w:val="en-US" w:eastAsia="zh-CN"/>
        </w:rPr>
      </w:pPr>
      <w:r>
        <w:rPr>
          <w:rFonts w:hint="eastAsia"/>
          <w:sz w:val="20"/>
          <w:szCs w:val="20"/>
          <w:lang w:val="en-US" w:eastAsia="zh-CN"/>
        </w:rPr>
        <w:t xml:space="preserve"> </w:t>
      </w:r>
      <w:r>
        <w:drawing>
          <wp:inline distT="0" distB="0" distL="114300" distR="114300">
            <wp:extent cx="5029200" cy="3401695"/>
            <wp:effectExtent l="0" t="0" r="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029200" cy="3401695"/>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460250402"/>
      <w:bookmarkStart w:id="10" w:name="_Toc505350001"/>
      <w:bookmarkStart w:id="11" w:name="_Toc296600809"/>
      <w:bookmarkStart w:id="12" w:name="_Toc281568199"/>
      <w:bookmarkStart w:id="13" w:name="_Toc239847712"/>
      <w:bookmarkStart w:id="14" w:name="_Toc158203127"/>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美国能源信息署数据显示，截止1月11日当周，美国原油库存量4.37055亿桶，比前一周下降268万桶;美国汽油库存总量2.55565亿桶，比前一周增长750万桶;馏分油库存量为1.43009亿桶，比前一周增长297万桶。原油库存比去年同期高5.9%;比过去五年同期高8%;汽油库存比去年同期高6.1%;比过去五年同期高6%;馏份油库存比去年同期高2.7%，比过去五年同期低3%。美国商业石油库存总量增长497万桶。美国炼厂加工总量平均每天1722.3万桶，比前一周减少34.3万桶;炼油厂开工率94.6%，比前一周下降1.5个百分点。上周美国原油进口量平均每天752.7万桶，比前一周下降31.9万桶，成品油日均进口量239.5桶，比前一周增长31.0万桶。美国俄克拉荷马州库欣地区原油库存4151.9万桶，减少74.3万桶。美国1月11日当周API原油库存 -56万桶，前值 -612.7万桶。美国1月11日当周API库欣地区原油库存 -79.6万桶，前值 +33.1万桶。美国1月11日当周API汽油库存 +599.1万桶，前值 +550万桶。美国1月11日当周API精炼油库存 +321.4万桶，前值 +1020万桶。</w:t>
      </w:r>
    </w:p>
    <w:p>
      <w:pPr>
        <w:pStyle w:val="19"/>
        <w:keepNext w:val="0"/>
        <w:keepLines w:val="0"/>
        <w:widowControl/>
        <w:suppressLineNumbers w:val="0"/>
        <w:rPr>
          <w:rFonts w:hint="eastAsia" w:ascii="华文仿宋" w:hAnsi="华文仿宋" w:eastAsia="华文仿宋" w:cs="华文仿宋"/>
          <w:sz w:val="28"/>
          <w:szCs w:val="28"/>
        </w:rPr>
      </w:pPr>
    </w:p>
    <w:p>
      <w:pPr>
        <w:pStyle w:val="19"/>
        <w:wordWrap w:val="0"/>
        <w:spacing w:line="288" w:lineRule="auto"/>
        <w:rPr>
          <w:rFonts w:hint="eastAsia" w:ascii="华文仿宋" w:hAnsi="华文仿宋" w:eastAsia="华文仿宋" w:cs="华文仿宋"/>
          <w:sz w:val="28"/>
          <w:szCs w:val="28"/>
        </w:rPr>
      </w:pPr>
    </w:p>
    <w:p>
      <w:pPr>
        <w:pStyle w:val="19"/>
        <w:rPr>
          <w:rFonts w:hint="eastAsia" w:ascii="华文仿宋" w:hAnsi="华文仿宋" w:eastAsia="华文仿宋"/>
          <w:sz w:val="28"/>
          <w:szCs w:val="28"/>
        </w:rPr>
      </w:pP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北京时间17日凌晨，美股周三收高，道指上涨超过140点，银行板块领涨。高盛创10年来最大单日涨幅。美国银行与高盛等银行巨头公布的强劲财报提振了市场情绪。</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美东时间1月16日16：00(北京时间1月17日05：00)，道指涨141.57点，或0.59%，报24207.16点;标普500指数涨5.80点，或0.22%，报2616.10点;纳指涨10.86点，或0.15%，报7034.69点。</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银行板块引领美股攀升。高盛(GS)股价大涨9.5%，创10年来的最大单日涨幅，此前该公司宣布业绩远超预期。</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美国银行(BAC)跃升7.2%。花旗集团(C)、JP摩根大通(JPM)以及富国银行(WFC)等已经公布财报的银行股票普遍上扬。摩根士丹利(MS)将在周四发布财报，该股收高3.8%。</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CFRAResearch分析师KenLeon表示：“对于美国银行来说，他们在传统银行领域表现良好。我们的确看到该行的储蓄与贷款增长超出行业水平。他们在消费者银行业务也有着良好的增长。”他认为，美国银行比其他银行更均衡、前景更乐观。</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他还表示：“整体而言，高盛上一季度表现很好。我们没有看到该行因为马来西亚丑闻而拨备巨额资金，但还是应该高度关注此事。”</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除了银行板块之外，航空板块也普遍上涨。联合大陆航空上涨6%，达美航空与美国航空也悉数攀升。</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市场驱动力量是什么?</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投资者正在评估一些美国上市公司的财报及其发布的业绩前瞻。已公布的企业财报大多强劲，而且美国企业高管发布的业绩前瞻也多数显示出对国内经济增长的信心，但同时也指出全球经济增长面临减速风险。</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英国政治局势的不确定性因素备受瞩目。英国议会针对首相特蕾莎-梅(TheresaMay)政府16日在反对党提出的议会不信任投票中，以325对306票的微弱优势涉险过关。</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虽然挺过了不信任投票，但特雷莎-梅还面临一个棘手的难题，即在下周一(21日)提出新“脱欧”方案，并提交议会表决。她早前还表示，如果通过投票，就召开跨党派的协商，决定“脱欧”下一步的方向。</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在此之前，在周二晚间的议会投票中，特蕾莎-梅提出的英国“脱欧”方案以432票反对、202票赞成的投票结果遭到失败，这是自1920年以来英国当届政府遭遇的最悬殊投票惨败。</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梅上次提出的脱欧方案遭到议会否决，使人怀疑英国能否有序脱欧、不对全球市场造成冲击。</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美国政府部分关门进入26天。特朗普政府周二呼吁近5万联邦雇员复工，以降低联邦政府“部分”关门的影响。目前特朗普仍在继续寻求支持、以绕开民主党领袖佩洛西而修建边境墙，但国会民主党已经拒绝了他发起的周三白宫午餐的邀约。</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民主党众议院多数派领袖StenyHoyer指出，民主党很团结，如果下周美国政府仍然部分关门，众议院下周不会按预定日程休会。</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在周四之后众议院预定将有10日的休会，但Hoyer的办公室表示，议员们周末将待命24小时，预备对重启政府进行投票，如有需要众议院将在1月22-25日保持会议状态。</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尽管美国政府部分关门，但美联储的经济景气状况褐皮书报告仍如期发布。美联储公布的褐皮书称，12月至1月初，美国大多数地区的经济温和增长，但增速出现疲软迹象。</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报告称，由于金融市场波动性上升、短期利率上涨、能源价格下跌、以及贸易和政治不确定性加剧等缘故，许多地区报告称乐观情绪降温。在12个地方联储辖区里，八个地区报告经济活动增速温和，大部分地区的物价增幅温和。</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褐皮书还表示，大多数地区表示，制造业扩张，但增长放缓，特别是在汽车和能源领域。汽车销售持平，其他领域的销售增速温和。</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此外，市场还注意到中国人民银行通过逆回购向市场注资的操作。</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其他市场表现</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纽约商品交易所的西德州中质原油(WTI)期货价格上涨20美分，或0.4%，收于52.31美元/桶。伦敦布伦特原油期货价格上涨68美分，或1.1%，报61.32美元/桶。</w:t>
      </w:r>
    </w:p>
    <w:p>
      <w:pPr>
        <w:pStyle w:val="19"/>
        <w:ind w:firstLine="560" w:firstLineChars="200"/>
        <w:rPr>
          <w:rFonts w:ascii="华文仿宋" w:hAnsi="华文仿宋" w:eastAsia="华文仿宋"/>
          <w:sz w:val="28"/>
          <w:szCs w:val="28"/>
        </w:rPr>
      </w:pPr>
    </w:p>
    <w:p>
      <w:pPr>
        <w:pStyle w:val="19"/>
        <w:rPr>
          <w:rFonts w:hint="eastAsia" w:ascii="宋体" w:hAnsi="宋体" w:cs="Arial"/>
          <w:b/>
          <w:bCs/>
          <w:kern w:val="0"/>
          <w:sz w:val="32"/>
          <w:szCs w:val="32"/>
          <w:lang w:val="en-US" w:eastAsia="zh-CN" w:bidi="ar-SA"/>
        </w:rPr>
      </w:pPr>
      <w:bookmarkStart w:id="18" w:name="_Toc504051941"/>
      <w:r>
        <w:rPr>
          <w:rFonts w:hint="eastAsia" w:cs="Arial"/>
          <w:b/>
          <w:bCs/>
          <w:kern w:val="0"/>
          <w:sz w:val="32"/>
          <w:szCs w:val="32"/>
          <w:lang w:val="en-US" w:eastAsia="zh-CN" w:bidi="ar-SA"/>
        </w:rPr>
        <w:t>3.</w:t>
      </w:r>
      <w:r>
        <w:rPr>
          <w:rFonts w:hint="eastAsia" w:ascii="宋体" w:hAnsi="宋体" w:cs="Arial"/>
          <w:b/>
          <w:bCs/>
          <w:kern w:val="0"/>
          <w:sz w:val="32"/>
          <w:szCs w:val="32"/>
          <w:lang w:val="en-US" w:eastAsia="zh-CN" w:bidi="ar-SA"/>
        </w:rPr>
        <w:t>世界经济形势</w:t>
      </w:r>
      <w:bookmarkEnd w:id="18"/>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美国联邦储备委员会16日发布的全国经济形势调查报告显示，去年12月初至今年1月上旬，美国经济继续温和扩张，但美国企业对经济前景的乐观程度有所下降。</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美联储当天发布的报告根据下属12家地区储备银行的最新调查结果编制而成，也称“褐皮书”。报告显示，美国整体经济活动继续温和扩张，但大部分地区制造业扩张速度放缓，特别是汽车业和能源业。</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报告认为美国经济增长前景总体积极，但由于金融市场波动增加、短期利率上升、能源价格下跌、贸易与政治不确定性上升，多数辖区报告显示美国企业对经济前景的乐观程度有所下降。</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报告称，大部分地区物价保持温和上涨，受原材料和运输价格上涨、以及美国对进口产品加征关税影响，美国企业生产成本有所上升。此外，多数地区劳动力市场持续偏紧，工资温和上涨，企业为吸引和留住员工以及新的最低工资法律生效提高了工资水平。</w:t>
      </w:r>
    </w:p>
    <w:p>
      <w:pPr>
        <w:pStyle w:val="19"/>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美联储主席杰罗姆·鲍威尔10日表示，美联储注意到了市场对全球经济放缓等风险因素的担心，但当前美国经济发生衰退的风险并未上升。他指出，美联储对后续加息没有预定计划，将“保持耐心”，根据经济形势发展“灵活而迅速地调整政策”。</w:t>
      </w:r>
    </w:p>
    <w:p>
      <w:pPr>
        <w:pStyle w:val="19"/>
        <w:ind w:firstLine="560" w:firstLineChars="200"/>
        <w:rPr>
          <w:rFonts w:hint="eastAsia" w:ascii="华文仿宋" w:hAnsi="华文仿宋" w:eastAsia="华文仿宋"/>
          <w:sz w:val="28"/>
          <w:szCs w:val="28"/>
          <w:lang w:val="en-US" w:eastAsia="zh-CN"/>
        </w:rPr>
      </w:pPr>
    </w:p>
    <w:p>
      <w:pPr>
        <w:pStyle w:val="19"/>
        <w:ind w:firstLine="560" w:firstLineChars="200"/>
        <w:rPr>
          <w:rFonts w:ascii="华文仿宋" w:hAnsi="华文仿宋" w:eastAsia="华文仿宋"/>
          <w:sz w:val="28"/>
          <w:szCs w:val="28"/>
        </w:rPr>
      </w:pPr>
    </w:p>
    <w:p>
      <w:pPr>
        <w:pStyle w:val="19"/>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p>
    <w:p>
      <w:pPr>
        <w:outlineLvl w:val="1"/>
        <w:rPr>
          <w:rFonts w:ascii="宋体" w:hAnsi="宋体" w:cs="Arial"/>
          <w:b/>
          <w:bCs/>
          <w:kern w:val="0"/>
          <w:sz w:val="32"/>
          <w:szCs w:val="32"/>
        </w:rPr>
      </w:pPr>
      <w:r>
        <w:rPr>
          <w:rFonts w:hint="eastAsia" w:ascii="宋体" w:hAnsi="宋体" w:cs="宋体"/>
          <w:b/>
          <w:sz w:val="32"/>
          <w:szCs w:val="32"/>
          <w:lang w:val="en-US" w:eastAsia="zh-CN"/>
        </w:rPr>
        <w:t>(</w:t>
      </w:r>
      <w:r>
        <w:rPr>
          <w:rFonts w:hint="eastAsia" w:ascii="宋体" w:hAnsi="宋体" w:cs="宋体"/>
          <w:b/>
          <w:sz w:val="32"/>
          <w:szCs w:val="32"/>
        </w:rPr>
        <w:t>三</w:t>
      </w:r>
      <w:r>
        <w:rPr>
          <w:rFonts w:hint="eastAsia" w:ascii="宋体" w:hAnsi="宋体" w:cs="宋体"/>
          <w:b/>
          <w:sz w:val="32"/>
          <w:szCs w:val="32"/>
          <w:lang w:val="en-US" w:eastAsia="zh-CN"/>
        </w:rPr>
        <w:t>)</w:t>
      </w:r>
      <w:r>
        <w:rPr>
          <w:rFonts w:hint="eastAsia" w:ascii="宋体" w:hAnsi="宋体" w:cs="Arial"/>
          <w:b/>
          <w:bCs/>
          <w:kern w:val="0"/>
          <w:sz w:val="32"/>
          <w:szCs w:val="32"/>
        </w:rPr>
        <w:t>、2018年</w:t>
      </w:r>
      <w:r>
        <w:rPr>
          <w:rFonts w:hint="eastAsia" w:ascii="宋体" w:hAnsi="宋体" w:cs="Arial"/>
          <w:b/>
          <w:bCs/>
          <w:kern w:val="0"/>
          <w:sz w:val="32"/>
          <w:szCs w:val="32"/>
          <w:lang w:val="en-US" w:eastAsia="zh-CN"/>
        </w:rPr>
        <w:t>11</w:t>
      </w:r>
      <w:r>
        <w:rPr>
          <w:rFonts w:hint="eastAsia" w:ascii="宋体" w:hAnsi="宋体" w:cs="Arial"/>
          <w:b/>
          <w:bCs/>
          <w:kern w:val="0"/>
          <w:sz w:val="32"/>
          <w:szCs w:val="32"/>
        </w:rPr>
        <w:t>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w:t>
      </w:r>
    </w:p>
    <w:tbl>
      <w:tblPr>
        <w:tblStyle w:val="25"/>
        <w:tblW w:w="9756" w:type="dxa"/>
        <w:tblInd w:w="-5" w:type="dxa"/>
        <w:shd w:val="clear" w:color="auto" w:fill="FFFFFF"/>
        <w:tblLayout w:type="fixed"/>
        <w:tblCellMar>
          <w:top w:w="0" w:type="dxa"/>
          <w:left w:w="0" w:type="dxa"/>
          <w:bottom w:w="0" w:type="dxa"/>
          <w:right w:w="0" w:type="dxa"/>
        </w:tblCellMar>
      </w:tblPr>
      <w:tblGrid>
        <w:gridCol w:w="1369"/>
        <w:gridCol w:w="629"/>
        <w:gridCol w:w="402"/>
        <w:gridCol w:w="533"/>
        <w:gridCol w:w="1628"/>
        <w:gridCol w:w="2092"/>
        <w:gridCol w:w="1320"/>
        <w:gridCol w:w="1783"/>
      </w:tblGrid>
      <w:tr>
        <w:tblPrEx>
          <w:shd w:val="clear" w:color="auto" w:fill="FFFFFF"/>
          <w:tblLayout w:type="fixed"/>
          <w:tblCellMar>
            <w:top w:w="0" w:type="dxa"/>
            <w:left w:w="0" w:type="dxa"/>
            <w:bottom w:w="0" w:type="dxa"/>
            <w:right w:w="0" w:type="dxa"/>
          </w:tblCellMar>
        </w:tblPrEx>
        <w:trPr>
          <w:trHeight w:val="270" w:hRule="atLeast"/>
        </w:trPr>
        <w:tc>
          <w:tcPr>
            <w:tcW w:w="1369" w:type="dxa"/>
            <w:tcBorders>
              <w:top w:val="single" w:color="333333" w:sz="4" w:space="0"/>
              <w:left w:val="single" w:color="333333" w:sz="4" w:space="0"/>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产品</w:t>
            </w:r>
          </w:p>
        </w:tc>
        <w:tc>
          <w:tcPr>
            <w:tcW w:w="629"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年度</w:t>
            </w:r>
          </w:p>
        </w:tc>
        <w:tc>
          <w:tcPr>
            <w:tcW w:w="402"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月份</w:t>
            </w:r>
          </w:p>
        </w:tc>
        <w:tc>
          <w:tcPr>
            <w:tcW w:w="533"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333333"/>
                <w:kern w:val="0"/>
                <w:sz w:val="28"/>
                <w:szCs w:val="28"/>
              </w:rPr>
              <w:t>产销国</w:t>
            </w:r>
          </w:p>
        </w:tc>
        <w:tc>
          <w:tcPr>
            <w:tcW w:w="1628"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进口数量/吨</w:t>
            </w:r>
          </w:p>
        </w:tc>
        <w:tc>
          <w:tcPr>
            <w:tcW w:w="2092"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进口金额/美元</w:t>
            </w:r>
          </w:p>
        </w:tc>
        <w:tc>
          <w:tcPr>
            <w:tcW w:w="1320"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出口数量/吨</w:t>
            </w:r>
          </w:p>
        </w:tc>
        <w:tc>
          <w:tcPr>
            <w:tcW w:w="1783"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出口金额/美元</w:t>
            </w:r>
          </w:p>
        </w:tc>
      </w:tr>
      <w:tr>
        <w:tblPrEx>
          <w:tblLayout w:type="fixed"/>
          <w:tblCellMar>
            <w:top w:w="0" w:type="dxa"/>
            <w:left w:w="0" w:type="dxa"/>
            <w:bottom w:w="0" w:type="dxa"/>
            <w:right w:w="0" w:type="dxa"/>
          </w:tblCellMar>
        </w:tblPrEx>
        <w:trPr>
          <w:trHeight w:val="270" w:hRule="atLeast"/>
        </w:trPr>
        <w:tc>
          <w:tcPr>
            <w:tcW w:w="1369" w:type="dxa"/>
            <w:vMerge w:val="restart"/>
            <w:tcBorders>
              <w:top w:val="single" w:color="333333" w:sz="4" w:space="0"/>
              <w:left w:val="single" w:color="333333" w:sz="4" w:space="0"/>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石油原油(包括从沥青矿物提取的原油)</w:t>
            </w: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印度尼西亚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40653.34</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25346064.00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沙特阿拉伯</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6559086.72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3799894948.00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喀麦隆</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274520.10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159589495.00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苏丹</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142372.63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79205819.00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伊朗</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1597505.00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912909959.00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泰国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25362.03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15565737.00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刚果(布)</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911835.95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488114205.00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南苏丹共和国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248895.93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113509343.00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科威特</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1873420.00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1066267344.00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也门</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350540.93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203670399.00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赤道几内亚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225072.70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129964020.00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挪威</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133437.19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85050562.00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阿曼</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2776447.67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1570404500.00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阿尔及利亚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268525.13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164163889.00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利比亚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885974.67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523180489.00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马来西亚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833188.20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491653771.00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越南</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44414.44</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28043616.00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加蓬</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425818.46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246914969.00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阿塞拜疆</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369626.55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240045038.00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蒙古</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103478.90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42882263.00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哈萨克斯坦</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382055.19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219528579.00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加纳</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395143.42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247439810.00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俄罗斯联邦</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6548835.91</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3790140429.00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伊拉克</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4489405.62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2460243791.00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阿联酋</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1683047.16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989595428.00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埃及</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314221.95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158188628.00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英国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1010539.66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602684272.00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卡塔尔</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105875.29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73199655.00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安哥拉</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3864267.16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2157921285.00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尼日利亚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138935.00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80985584.00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厄瓜多尔</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198688.82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109511633.00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委内瑞拉</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1139778.98</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529498771.00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墨西哥</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69175.22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35411984.00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哥伦比亚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889238.87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455402631.00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美国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137908.22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59015354.00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巴西</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2983655.73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1586112356.00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澳大利亚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190534.01</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112246681.00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加拿大</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240940.87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103341004.00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日本</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131987.46</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75223977.00</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新加坡</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130508.98</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80170232.00</w:t>
            </w:r>
          </w:p>
        </w:tc>
      </w:tr>
      <w:tr>
        <w:tblPrEx>
          <w:tblLayout w:type="fixed"/>
        </w:tblPrEx>
        <w:trPr>
          <w:trHeight w:val="270" w:hRule="atLeast"/>
        </w:trPr>
        <w:tc>
          <w:tcPr>
            <w:tcW w:w="2933" w:type="dxa"/>
            <w:gridSpan w:val="4"/>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2018年11月合计</w:t>
            </w:r>
          </w:p>
        </w:tc>
        <w:tc>
          <w:tcPr>
            <w:tcW w:w="1628"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42872423.61</w:t>
            </w:r>
          </w:p>
        </w:tc>
        <w:tc>
          <w:tcPr>
            <w:tcW w:w="2092"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24156844305.00</w:t>
            </w:r>
          </w:p>
        </w:tc>
        <w:tc>
          <w:tcPr>
            <w:tcW w:w="1320"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262496.44</w:t>
            </w:r>
          </w:p>
        </w:tc>
        <w:tc>
          <w:tcPr>
            <w:tcW w:w="1783"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155394209.00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lang w:val="en-US" w:eastAsia="zh-CN"/>
        </w:rPr>
        <w:t>50.51</w:t>
      </w:r>
      <w:r>
        <w:rPr>
          <w:rFonts w:ascii="华文仿宋" w:hAnsi="华文仿宋" w:eastAsia="华文仿宋"/>
          <w:sz w:val="28"/>
          <w:szCs w:val="28"/>
        </w:rPr>
        <w:t>-</w:t>
      </w:r>
      <w:r>
        <w:rPr>
          <w:rFonts w:hint="eastAsia" w:ascii="华文仿宋" w:hAnsi="华文仿宋" w:eastAsia="华文仿宋"/>
          <w:sz w:val="28"/>
          <w:szCs w:val="28"/>
          <w:lang w:val="en-US" w:eastAsia="zh-CN"/>
        </w:rPr>
        <w:t>52.59</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58.99</w:t>
      </w:r>
      <w:r>
        <w:rPr>
          <w:rFonts w:ascii="华文仿宋" w:hAnsi="华文仿宋" w:eastAsia="华文仿宋"/>
          <w:sz w:val="28"/>
          <w:szCs w:val="28"/>
        </w:rPr>
        <w:t>-</w:t>
      </w:r>
      <w:r>
        <w:rPr>
          <w:rFonts w:hint="eastAsia" w:ascii="华文仿宋" w:hAnsi="华文仿宋" w:eastAsia="华文仿宋"/>
          <w:sz w:val="28"/>
          <w:szCs w:val="28"/>
          <w:lang w:val="en-US" w:eastAsia="zh-CN"/>
        </w:rPr>
        <w:t>61.68</w:t>
      </w:r>
      <w:r>
        <w:rPr>
          <w:rFonts w:ascii="华文仿宋" w:hAnsi="华文仿宋" w:eastAsia="华文仿宋"/>
          <w:sz w:val="28"/>
          <w:szCs w:val="28"/>
        </w:rPr>
        <w:t>美元/桶震荡</w:t>
      </w:r>
      <w:r>
        <w:rPr>
          <w:rFonts w:hint="eastAsia" w:ascii="华文仿宋" w:hAnsi="华文仿宋" w:eastAsia="华文仿宋"/>
          <w:sz w:val="28"/>
          <w:szCs w:val="28"/>
        </w:rPr>
        <w:t>。</w:t>
      </w:r>
      <w:r>
        <w:rPr>
          <w:rFonts w:ascii="华文仿宋" w:hAnsi="华文仿宋" w:eastAsia="华文仿宋"/>
          <w:sz w:val="28"/>
          <w:szCs w:val="28"/>
        </w:rPr>
        <w:t>周内</w:t>
      </w:r>
      <w:r>
        <w:rPr>
          <w:rFonts w:hint="eastAsia" w:ascii="华文仿宋" w:hAnsi="华文仿宋" w:eastAsia="华文仿宋"/>
          <w:sz w:val="28"/>
          <w:szCs w:val="28"/>
          <w:lang w:eastAsia="zh-CN"/>
        </w:rPr>
        <w:t>国际油价震荡小幅走高</w:t>
      </w:r>
      <w:r>
        <w:rPr>
          <w:rFonts w:ascii="华文仿宋" w:hAnsi="华文仿宋" w:eastAsia="华文仿宋"/>
          <w:sz w:val="28"/>
          <w:szCs w:val="28"/>
        </w:rPr>
        <w:t>。美国库存报告好坏参半令油价日内整体承压，不过美元涨势受阻依然为油价提供有效支撑。美国WTI原油期货价格盘中最高触及52.52美元/桶，布伦特原油期货价格盘中最高触及61.45美元/桶。美国12月进口物价连续第二个月下滑，因石油产品成本大跌，且美元走强抑制其他商品价格，导致两年多来最大年度降幅。美国能源信息署(EIA)周三(1月16日)公布报告显示，截至1月11日当周，美国原油库存减少268.3万桶至4.371亿桶，市场预估为减少132.3万桶。更多数据显示，上周俄克拉荷马州库欣原油库存减少74.3万桶，连续7周录得增长后再度录得下滑，且创2018年9月21日当周(17周)以来最大降幅。石油输出国组织(OPEC)和俄罗斯等非OPEC产油国已经推动新一轮减产计划，双方将合力减产120万桶/日，其中OPEC负责80万桶/日的减幅。相关数据显示，11月沙特原油产量已经从纪录高位的1020万桶/日下降80万桶/日，同时该国表示沙特2月原油出口将在1月720万桶/日的基础上再减少10万桶/日。美国能源信息署(EIA)周三(1月16日)公布报告显示，截至1月11日当周，美国精炼油库存增加296.7万桶，连续4周录得增长，市场预估为增加156.5万桶。美国汽油库存增加750.3万桶，连续7周录得增长，市场预估为增加276.9万桶。此外，上周美国国内原油产量急增20万桶至1190万桶/日，续刷历史新高。中国财政部部长助理许宏才在新闻发布会上表示，中国将降低部分行业增值税税率，扩大减轻小微企业所得税负担的优惠政策。同时中国政府还将加大企业研发费用税收减免力度，提高出口退税率，加大制造业减税降费力度。分析师认为此举将有效改善经济放缓局面，从而为原油需求面带来积极影响。综合来看，预测下周WTI油价将触及52-57美元/桶，布油在之后几个月触及62-67美元/桶。</w:t>
      </w:r>
    </w:p>
    <w:p>
      <w:pPr>
        <w:pStyle w:val="19"/>
        <w:keepNext w:val="0"/>
        <w:keepLines w:val="0"/>
        <w:widowControl/>
        <w:suppressLineNumbers w:val="0"/>
        <w:ind w:firstLine="560" w:firstLineChars="200"/>
        <w:rPr>
          <w:rFonts w:ascii="华文仿宋" w:hAnsi="华文仿宋" w:eastAsia="华文仿宋"/>
          <w:sz w:val="28"/>
          <w:szCs w:val="28"/>
        </w:rPr>
      </w:pPr>
    </w:p>
    <w:p>
      <w:pPr>
        <w:pStyle w:val="19"/>
        <w:keepNext w:val="0"/>
        <w:keepLines w:val="0"/>
        <w:widowControl/>
        <w:suppressLineNumbers w:val="0"/>
        <w:ind w:firstLine="602" w:firstLineChars="200"/>
        <w:rPr>
          <w:rFonts w:hint="eastAsia" w:ascii="仿宋_GB2312" w:hAnsi="宋体" w:eastAsia="仿宋_GB2312" w:cs="Arial"/>
          <w:b/>
          <w:bCs/>
          <w:kern w:val="0"/>
          <w:sz w:val="30"/>
          <w:szCs w:val="30"/>
          <w:lang w:val="en-US" w:eastAsia="zh-CN"/>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83"/>
        <w:gridCol w:w="2099"/>
        <w:gridCol w:w="1579"/>
        <w:gridCol w:w="2131"/>
        <w:gridCol w:w="23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81568202"/>
            <w:bookmarkStart w:id="24" w:name="_Toc239847715"/>
            <w:bookmarkStart w:id="25" w:name="_Toc296600812"/>
            <w:bookmarkStart w:id="26" w:name="_Toc460250405"/>
            <w:bookmarkStart w:id="27" w:name="_Toc505350009"/>
            <w:r>
              <w:rPr>
                <w:rFonts w:hint="eastAsia" w:ascii="华文仿宋" w:hAnsi="华文仿宋" w:eastAsia="华文仿宋" w:cs="华文仿宋"/>
                <w:color w:val="000000"/>
                <w:sz w:val="28"/>
                <w:szCs w:val="28"/>
                <w:lang w:val="en-US" w:eastAsia="zh-CN"/>
              </w:rPr>
              <w:t>1月17日</w:t>
            </w:r>
          </w:p>
        </w:tc>
        <w:tc>
          <w:tcPr>
            <w:tcW w:w="20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7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31"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364"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52.85美元/桶</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52.89美元/桶</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-0.36</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125.833-125.929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493.25</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495.75</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-3.00</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130.489-131.151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456.46</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458.96</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-3.00</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120.757-121.418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460.00</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460.50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-1.25</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122.995-123.128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456.00</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456.50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-1.25</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121.925-122.059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434.25</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434.75</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-1.25</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116.110-116.243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449.00</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449.50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-1.25</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120.053-120.187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485.08</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485.18</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1.91美分/加仑</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138.550-138.650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0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3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 </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内地炼石脑油市场处于高位回调阶段，需求疲软导致成交均线不断下移。美国原油产量再度刷新记录高点，且成品油库存延续大幅增加态势施压供需基本面，而经济增长疑虑对金融及大宗商品市场形成拉拽，原油短线恐将弱势下修，17日欧美原油期货价格运行方向预期为跌。国内地炼石脑油市场正处于弱势盘整格局，场内交投受到近日原油回升提振，个别加氢裂化单位出货量有所增加，但整体供需环境难言乐观，短线预期原油回落，石脑油市场弱势盘整。</w:t>
      </w:r>
    </w:p>
    <w:p>
      <w:pPr>
        <w:pStyle w:val="19"/>
        <w:keepNext w:val="0"/>
        <w:keepLines w:val="0"/>
        <w:widowControl/>
        <w:suppressLineNumbers w:val="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281568203"/>
      <w:bookmarkStart w:id="29" w:name="_Toc460250406"/>
      <w:bookmarkStart w:id="30" w:name="_Toc505350010"/>
      <w:bookmarkStart w:id="31" w:name="_Toc29660081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2019-1-18</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5940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96600814"/>
      <w:bookmarkStart w:id="33" w:name="_Toc281568204"/>
      <w:bookmarkStart w:id="34" w:name="_Toc460250407"/>
      <w:bookmarkStart w:id="35" w:name="_Toc505350011"/>
      <w:bookmarkStart w:id="36" w:name="_Toc158203132"/>
      <w:bookmarkStart w:id="37" w:name="_Toc239847719"/>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6188075" cy="5335270"/>
            <wp:effectExtent l="0" t="0" r="3175" b="17780"/>
            <wp:docPr id="634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296600816"/>
      <w:bookmarkStart w:id="39" w:name="_Toc505350012"/>
      <w:bookmarkStart w:id="40" w:name="_Toc460250408"/>
      <w:bookmarkStart w:id="41" w:name="_Toc237428455"/>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296600817"/>
      <w:bookmarkStart w:id="44" w:name="_Toc460250409"/>
      <w:bookmarkStart w:id="45" w:name="_Toc281568207"/>
      <w:bookmarkStart w:id="46" w:name="_Toc176571903"/>
      <w:bookmarkStart w:id="47" w:name="_Toc237428456"/>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hint="eastAsia" w:ascii="华文仿宋" w:hAnsi="华文仿宋" w:eastAsia="华文仿宋" w:cs="华文仿宋"/>
          <w:sz w:val="28"/>
          <w:szCs w:val="28"/>
        </w:rPr>
      </w:pPr>
      <w:bookmarkStart w:id="49" w:name="_Toc505350014"/>
      <w:bookmarkStart w:id="50" w:name="_Toc369858747"/>
      <w:bookmarkStart w:id="51" w:name="_Toc180485827"/>
      <w:bookmarkStart w:id="52" w:name="_Toc296600818"/>
      <w:bookmarkStart w:id="53" w:name="_Toc460250410"/>
      <w:bookmarkStart w:id="54" w:name="_Toc281568208"/>
      <w:bookmarkStart w:id="55" w:name="_Toc281568211"/>
      <w:bookmarkStart w:id="56" w:name="_Toc296600819"/>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际原油期货震荡上行，国内成品油市场购销氛围清淡，各地主营单位汽柴油价格下调。与此同时，山东地炼成品油行情先抑后扬，各炼厂实际成交保持100-200元/吨优惠。具体来看出货方面：周初，受原油弱势打压，区内油市观望气氛浓厚，下游买家购进意向淡薄，市场交投气氛平平。临近周末，外盘油价续涨再次提振业者心态，中下游商家入市采购积极性提升，从而使得地炼整体出货情况有所好转，其中以柴油推价为主。进入下周，国际原油期价将继续保持震荡的趋势，WTI运行区间在49-53(均值51)美元/桶之间。在无实质性利好因素带动下，山东地区成品油行情涨势难起，买卖双方操作谨慎，市场观望气氛仍存。综上所述，预计下周山东地炼汽柴油价格窄幅震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主营成品油行情跌势扩大，成交气氛延续平淡。分析来看，尽管本周一(1月14日)零售价兑现上调，且新一轮变化率仍正向区间延伸，但国内成品油市场却不涨反跌，成交均维持宽松优惠政策。主要原因是，已至一月中旬，终端需求面延续低迷态势，加之2月份将进入春节假期，主营单位销售压力加重，为促进出货纷纷加大优惠力度，多提前追赶销售任务。据悉中下游用户逢低按需购进，市场交投气氛有一定好转，随着补仓到位后购销气氛转淡。后市而言，国际油价维持震荡走势，零售价“二连涨”预期浓郁，但随着年关将至需求面持续转淡，尤其是柴油方面将降至冰点，因此预计下周华北地区汽柴行情走势难以向好，汽强柴弱格局将延续。</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小幅下跌，市场交投气氛明显转淡。具体来看，国际原油期货震荡上涨，零售价上调如期兑现，步入新一轮计价周期，变化率依然正向区间运行，消息方面利好犹存。尽管如此，受山东地炼汽柴油价格明显下跌影响，主营外采成本降低。与此同时，经过前期集中补仓，当前业者消化库存为主，主营单位出货阻力增大，汽柴油价格承压小跌，汽油价格下跌20元/吨左右，柴油价格下跌30元/吨，市场购销氛围明显转淡。后市来看，本轮零售价上调概率犹存，消息方面仍存支撑。另外，随着春节脚步临近，部分业者或入市适量购进汽油，柴油需求萎靡不振，主营单位以出货为主，预计下周区内汽柴油行情仍有小幅下探可能。</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中市场缺乏需求支撑，主营价格波动有限。具体分析如下，周内国际原油均价较上周有所提升，周一零售价兑现年内首涨，且新一轮变化率正向加深运行，消息面利好指引。但周边地炼价格连跌，外采成本下降，且下游需求疲软，库存消耗周期延长，市场基本面趋弱，主营价格波动有限，实际成交优惠宽松。业者入市较为谨慎，部分前期已补货到位，市场交投仍以小单为主。后市来看，国际原油或保持震荡走势，零售价兑现“二连涨”的概率较大，消息面仍存一定支撑。但主营出货依然承压，价格上涨乏力。故预计近期内华中地区成品油价格维持横盘整理为主，实盘出货按量优惠。</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小幅回落，市场交投氛围较为清淡。具体来看，近期国际油价走势震荡，零售价迎来年内首涨，新一轮变化率仍处于正向区间运行，消息面对华东成品油市场仍有支撑。不过，受山东地炼汽柴价格快速下跌影响，华东主营外采成本降低，同时市场观望气氛亦逐步升温，业者入市采购寥寥，主营出货明显转淡，江苏、浙江部分主营汽柴价格下滑，尤其江苏跌幅较大，上海市场相对平稳。区内主营月度计划完成不一，部分单位已经提前完成任务，其他则仍追赶销量，实际销售政策较为灵活。后市而言，国际油价或难改震荡，零售价“二连涨”预期较强，消息面或仍有一定支撑。下周为春节前最后的补货周期，华东主营或借机进一步促销追量，汽柴成交重心或仍有下移空间。</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北地炼汽柴行情跌后趋稳，市场成交气氛平平。分析来看：本周一成品油零售价兑现年内首涨，但陕西地炼前期价格涨幅较大，业者抵触情绪明显，因此零售价落实之后，区内行情不涨反降。其中，柴油跌幅明显，在350元/吨，汽油跌50元/吨。周内，国际原油期价震荡上行，新一轮计价周期，变化率维持正向区间延伸，消息面对市场仍有支撑。不过，柴油需求维持低迷，业者补货意愿持低;汽油需求较有支撑，但节前备货尚未开启，业者仍消耗前期库存为主，市场成交气氛平平。进入下周，国际油价或维持区间震荡，零售价上调预期仍存。同时，随着春节临近，节前备货陆续开启，汽油成交或将逐步改善，但当前汽油价格高位，因此后期上行空间不大;柴油成交难有提升，整体行情延续弱势。</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涨后回落，市场成交难有起色。分析来看：本周一成品油零售价上调兑现，区内主营报价略有跟涨。之后，国际油价仍维持震荡上行走势，新一轮变化率正向区间延伸，消息面对市场仍有支撑。不过，当前柴油正处于消费淡季，而汽油备货行情暂未开启。此外，区内主营汽柴价格偏高，业者仍消耗前期库存为主，入市补货稀少，市场成交气氛寡淡。主营单位出货压力增加，部分地区价格开始回落，其中，柴油缺乏利好支撑，跌幅更为明显。进入下周，国际油价或维持区间震荡，变化率正向区间波动，上调预期仍存。同时，业者节前汽油陆续开始备货，市场成交或将增量，整体行情相对坚挺。柴油需求持续萎靡，市场成交气氛冷淡，另外，主营中下旬积极追赶销售任务，整体行情或继续承压。</w:t>
      </w:r>
    </w:p>
    <w:p>
      <w:pPr>
        <w:pStyle w:val="19"/>
        <w:keepNext w:val="0"/>
        <w:keepLines w:val="0"/>
        <w:widowControl/>
        <w:suppressLineNumbers w:val="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步入下周，国际油价连续收涨，欧洲和美国的汽油库存也都处于高位，消息面亦难有支撑。需求面依旧难有改善，市场寻购计划不多。国内主营及地方炼厂均无新增检修炼厂，开工率无明显波动，市场资源供应量仍然充足。冬季部分工矿基建等企业开工略受影响，柴油需求较为平淡;汽油需求面波动不大，对整体行情亦无明显提振。下周山东地炼汽柴价格仍存下行压力，主营外采成本或降低，炼厂或将继续降价提振下游需求的积极性。多重利空因素影响下，国内汽柴油市场仍未出现实质性好转迹象，仍然看空为主。</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pStyle w:val="19"/>
        <w:keepNext w:val="0"/>
        <w:keepLines w:val="0"/>
        <w:widowControl/>
        <w:suppressLineNumbers w:val="0"/>
        <w:rPr>
          <w:rFonts w:hint="eastAsia" w:ascii="华文仿宋" w:hAnsi="华文仿宋" w:eastAsia="华文仿宋" w:cs="华文仿宋"/>
          <w:sz w:val="28"/>
          <w:szCs w:val="28"/>
        </w:rPr>
      </w:pPr>
      <w:bookmarkStart w:id="57" w:name="_Toc505350015"/>
      <w:bookmarkStart w:id="58" w:name="_Toc460250411"/>
      <w:r>
        <w:rPr>
          <w:sz w:val="21"/>
          <w:szCs w:val="21"/>
        </w:rPr>
        <w:t>　</w:t>
      </w:r>
      <w:r>
        <w:rPr>
          <w:rFonts w:hint="eastAsia" w:ascii="华文仿宋" w:hAnsi="华文仿宋" w:eastAsia="华文仿宋" w:cs="华文仿宋"/>
          <w:sz w:val="28"/>
          <w:szCs w:val="28"/>
          <w:lang w:eastAsia="zh-CN"/>
        </w:rPr>
        <w:t>　</w:t>
      </w:r>
      <w:bookmarkStart w:id="78" w:name="_GoBack"/>
      <w:r>
        <w:rPr>
          <w:rFonts w:hint="eastAsia" w:ascii="华文仿宋" w:hAnsi="华文仿宋" w:eastAsia="华文仿宋" w:cs="华文仿宋"/>
          <w:i w:val="0"/>
          <w:caps w:val="0"/>
          <w:color w:val="000000"/>
          <w:spacing w:val="0"/>
          <w:sz w:val="28"/>
          <w:szCs w:val="28"/>
          <w:bdr w:val="none" w:color="auto" w:sz="0" w:space="0"/>
          <w:shd w:val="clear" w:fill="FFFFFF"/>
        </w:rPr>
        <w:t>本周国内溶剂油市场整体看稳。</w:t>
      </w:r>
      <w:r>
        <w:rPr>
          <w:rFonts w:hint="eastAsia" w:ascii="华文仿宋" w:hAnsi="华文仿宋" w:eastAsia="华文仿宋" w:cs="华文仿宋"/>
          <w:sz w:val="28"/>
          <w:szCs w:val="28"/>
        </w:rPr>
        <w:t>受美国股市反弹和石油输出国组织(OPEC)12月大幅减产消息提振，稍早因担心美国原油产量飙升和全球需求减弱，油价趋向下跌。周内溶剂切割行业整体走稳，地方市场国标溶剂油基本维持横盘，仅非标溶剂油零星企业意图甩货出现小幅让利。但问题焦点原料供需久不见好，判断未来一周原油走向震荡，石脑油资源主流价格更可能续跌而非收涨。而主营市场本周继续走稳，长岭炼化等活性企业市场意外出现小涨行情，因国内国标溶剂油低价资源流速加快促使物价抬升，当地厂商小涨100元迎合市场变动及成品油调价窗口收涨行情。当前石脑油结算模型估算1月中石化石脑油含税结算价跌170至3560元/吨，幅度持续收窄， 即便春节之前市场录得下滑，节前补仓行情下预计跌幅极其有限。后市推测未来一周高价原料耗尽后，溶剂油行业指向继续看下。下旬行情集中于小年前后补仓时段，前期市场变动预计不多。</w:t>
      </w:r>
    </w:p>
    <w:bookmarkEnd w:id="78"/>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9"/>
        <w:gridCol w:w="1953"/>
        <w:gridCol w:w="1090"/>
        <w:gridCol w:w="1091"/>
        <w:gridCol w:w="1090"/>
        <w:gridCol w:w="1092"/>
        <w:gridCol w:w="1245"/>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5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2019-1-18</w:t>
            </w:r>
          </w:p>
        </w:tc>
        <w:tc>
          <w:tcPr>
            <w:tcW w:w="11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5660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5180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505350016"/>
      <w:bookmarkStart w:id="60" w:name="_Toc460250412"/>
      <w:bookmarkStart w:id="61" w:name="_Toc281568213"/>
      <w:bookmarkStart w:id="62" w:name="_Toc296600821"/>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9"/>
        <w:gridCol w:w="1232"/>
        <w:gridCol w:w="1233"/>
        <w:gridCol w:w="1233"/>
        <w:gridCol w:w="1232"/>
        <w:gridCol w:w="14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2019-1-18</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96600822"/>
      <w:bookmarkStart w:id="64" w:name="_Toc505350017"/>
      <w:bookmarkStart w:id="65" w:name="_Toc281568214"/>
      <w:bookmarkStart w:id="66" w:name="_Toc460250413"/>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1"/>
        <w:gridCol w:w="1653"/>
        <w:gridCol w:w="1313"/>
        <w:gridCol w:w="1113"/>
        <w:gridCol w:w="1112"/>
        <w:gridCol w:w="1081"/>
        <w:gridCol w:w="1268"/>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2019-1-18</w:t>
            </w:r>
          </w:p>
        </w:tc>
        <w:tc>
          <w:tcPr>
            <w:tcW w:w="112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96600823"/>
      <w:bookmarkStart w:id="68" w:name="_Toc505350018"/>
      <w:bookmarkStart w:id="69" w:name="_Toc180485835"/>
      <w:bookmarkStart w:id="70" w:name="_Toc460250414"/>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2019-1-18</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华文仿宋" w:hAnsi="华文仿宋" w:eastAsia="华文仿宋"/>
          <w:bCs w:val="0"/>
          <w:kern w:val="2"/>
          <w:sz w:val="28"/>
          <w:szCs w:val="28"/>
        </w:rPr>
      </w:pPr>
      <w:bookmarkStart w:id="72" w:name="_Toc460250415"/>
      <w:bookmarkStart w:id="73" w:name="_Toc281568216"/>
      <w:bookmarkStart w:id="74" w:name="_Toc505350019"/>
      <w:bookmarkStart w:id="75" w:name="_Toc296600824"/>
      <w:r>
        <w:rPr>
          <w:rFonts w:hint="eastAsia" w:ascii="华文仿宋" w:hAnsi="华文仿宋" w:eastAsia="华文仿宋"/>
          <w:bCs w:val="0"/>
          <w:kern w:val="2"/>
          <w:sz w:val="28"/>
          <w:szCs w:val="28"/>
        </w:rPr>
        <w:t>九、2018年</w:t>
      </w:r>
      <w:r>
        <w:rPr>
          <w:rFonts w:hint="eastAsia" w:ascii="华文仿宋" w:hAnsi="华文仿宋" w:eastAsia="华文仿宋"/>
          <w:bCs w:val="0"/>
          <w:kern w:val="2"/>
          <w:sz w:val="28"/>
          <w:szCs w:val="28"/>
          <w:lang w:val="en-US" w:eastAsia="zh-CN"/>
        </w:rPr>
        <w:t>11</w:t>
      </w:r>
      <w:r>
        <w:rPr>
          <w:rFonts w:hint="eastAsia" w:ascii="华文仿宋" w:hAnsi="华文仿宋" w:eastAsia="华文仿宋"/>
          <w:bCs w:val="0"/>
          <w:kern w:val="2"/>
          <w:sz w:val="28"/>
          <w:szCs w:val="28"/>
        </w:rPr>
        <w:t>月中国溶剂油进出口数据统计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2018年11月份中国溶剂油进出口统计数据（按产销国分）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华文仿宋"/>
          <w:sz w:val="28"/>
          <w:szCs w:val="28"/>
        </w:rPr>
      </w:pPr>
      <w:r>
        <w:rPr>
          <w:rFonts w:hint="eastAsia" w:ascii="华文仿宋" w:hAnsi="华文仿宋" w:eastAsia="华文仿宋" w:cs="华文仿宋"/>
          <w:sz w:val="28"/>
          <w:szCs w:val="28"/>
        </w:rPr>
        <w:t>(</w:t>
      </w:r>
      <w:r>
        <w:rPr>
          <w:rFonts w:hint="eastAsia" w:ascii="华文仿宋" w:hAnsi="华文仿宋" w:eastAsia="华文仿宋" w:cs="华文仿宋"/>
          <w:i w:val="0"/>
          <w:caps w:val="0"/>
          <w:color w:val="333333"/>
          <w:spacing w:val="0"/>
          <w:sz w:val="28"/>
          <w:szCs w:val="28"/>
          <w:shd w:val="clear" w:fill="FFFFFF"/>
        </w:rPr>
        <w:t>单位：吨；美元</w:t>
      </w:r>
      <w:r>
        <w:rPr>
          <w:rFonts w:hint="eastAsia" w:ascii="华文仿宋" w:hAnsi="华文仿宋" w:eastAsia="华文仿宋" w:cs="华文仿宋"/>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66" w:type="dxa"/>
        <w:tblInd w:w="-10" w:type="dxa"/>
        <w:shd w:val="clear" w:color="auto" w:fill="auto"/>
        <w:tblLayout w:type="fixed"/>
        <w:tblCellMar>
          <w:top w:w="0" w:type="dxa"/>
          <w:left w:w="0" w:type="dxa"/>
          <w:bottom w:w="0" w:type="dxa"/>
          <w:right w:w="0" w:type="dxa"/>
        </w:tblCellMar>
      </w:tblPr>
      <w:tblGrid>
        <w:gridCol w:w="1065"/>
        <w:gridCol w:w="1066"/>
        <w:gridCol w:w="1065"/>
        <w:gridCol w:w="1480"/>
        <w:gridCol w:w="1361"/>
        <w:gridCol w:w="1401"/>
        <w:gridCol w:w="1263"/>
        <w:gridCol w:w="1065"/>
      </w:tblGrid>
      <w:tr>
        <w:tblPrEx>
          <w:shd w:val="clear" w:color="auto" w:fill="auto"/>
          <w:tblLayout w:type="fixed"/>
          <w:tblCellMar>
            <w:top w:w="0" w:type="dxa"/>
            <w:left w:w="0" w:type="dxa"/>
            <w:bottom w:w="0" w:type="dxa"/>
            <w:right w:w="0" w:type="dxa"/>
          </w:tblCellMar>
        </w:tblPrEx>
        <w:trPr>
          <w:trHeight w:val="270" w:hRule="atLeast"/>
        </w:trPr>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产品</w:t>
            </w:r>
          </w:p>
        </w:tc>
        <w:tc>
          <w:tcPr>
            <w:tcW w:w="1066"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年度</w:t>
            </w:r>
          </w:p>
        </w:tc>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月度</w:t>
            </w:r>
          </w:p>
        </w:tc>
        <w:tc>
          <w:tcPr>
            <w:tcW w:w="1480"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产销国及地区</w:t>
            </w:r>
          </w:p>
        </w:tc>
        <w:tc>
          <w:tcPr>
            <w:tcW w:w="1361"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进口数量</w:t>
            </w:r>
          </w:p>
        </w:tc>
        <w:tc>
          <w:tcPr>
            <w:tcW w:w="1401"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进口金额</w:t>
            </w:r>
          </w:p>
        </w:tc>
        <w:tc>
          <w:tcPr>
            <w:tcW w:w="1263"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出口数量</w:t>
            </w:r>
          </w:p>
        </w:tc>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出口金额</w:t>
            </w:r>
          </w:p>
        </w:tc>
      </w:tr>
      <w:tr>
        <w:tblPrEx>
          <w:tblLayout w:type="fixed"/>
          <w:tblCellMar>
            <w:top w:w="0" w:type="dxa"/>
            <w:left w:w="0" w:type="dxa"/>
            <w:bottom w:w="0" w:type="dxa"/>
            <w:right w:w="0" w:type="dxa"/>
          </w:tblCellMar>
        </w:tblPrEx>
        <w:trPr>
          <w:trHeight w:val="270" w:hRule="atLeast"/>
        </w:trPr>
        <w:tc>
          <w:tcPr>
            <w:tcW w:w="106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橡胶溶剂油、油漆溶剂油、抽提溶剂油、不含有生物柴油</w:t>
            </w: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新加坡</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584</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676,913</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德国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470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525,861</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日本</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289</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389,957</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韩国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188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225,910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台湾</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38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59,916</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美国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17</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24,848</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泰国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13</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17,038</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1,564</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西班牙</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829</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以色列</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502</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柬埔寨</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8</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13,051</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香港</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124</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93,560</w:t>
            </w:r>
          </w:p>
        </w:tc>
      </w:tr>
      <w:tr>
        <w:tblPrEx>
          <w:tblLayout w:type="fixed"/>
          <w:tblCellMar>
            <w:top w:w="0" w:type="dxa"/>
            <w:left w:w="0" w:type="dxa"/>
            <w:bottom w:w="0" w:type="dxa"/>
            <w:right w:w="0" w:type="dxa"/>
          </w:tblCellMar>
        </w:tblPrEx>
        <w:trPr>
          <w:trHeight w:val="270" w:hRule="atLeast"/>
        </w:trPr>
        <w:tc>
          <w:tcPr>
            <w:tcW w:w="467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2018年11月</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1,598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1,921,774</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133</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108,175</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auto"/>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263EDE"/>
    <w:rsid w:val="099F699F"/>
    <w:rsid w:val="0BB90B94"/>
    <w:rsid w:val="0BF558B0"/>
    <w:rsid w:val="0C6F4F00"/>
    <w:rsid w:val="0CBA42B6"/>
    <w:rsid w:val="0CD07931"/>
    <w:rsid w:val="0E220EFD"/>
    <w:rsid w:val="0E300DF1"/>
    <w:rsid w:val="106000A3"/>
    <w:rsid w:val="106D2E5F"/>
    <w:rsid w:val="10C92BDE"/>
    <w:rsid w:val="11E06D1D"/>
    <w:rsid w:val="14BD6DE9"/>
    <w:rsid w:val="151B0610"/>
    <w:rsid w:val="153967D9"/>
    <w:rsid w:val="15A51265"/>
    <w:rsid w:val="1602563E"/>
    <w:rsid w:val="172042BD"/>
    <w:rsid w:val="17DF730A"/>
    <w:rsid w:val="182037F9"/>
    <w:rsid w:val="1871150E"/>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7E67455"/>
    <w:rsid w:val="28D36530"/>
    <w:rsid w:val="29CF7033"/>
    <w:rsid w:val="2C672FEB"/>
    <w:rsid w:val="2D12102F"/>
    <w:rsid w:val="2F3F3674"/>
    <w:rsid w:val="2F6F6534"/>
    <w:rsid w:val="2FB62CD5"/>
    <w:rsid w:val="3166404B"/>
    <w:rsid w:val="316E4BCF"/>
    <w:rsid w:val="32FB3069"/>
    <w:rsid w:val="332831C8"/>
    <w:rsid w:val="359C2633"/>
    <w:rsid w:val="35C82541"/>
    <w:rsid w:val="360A4426"/>
    <w:rsid w:val="37623BD0"/>
    <w:rsid w:val="378A2746"/>
    <w:rsid w:val="382035D9"/>
    <w:rsid w:val="390E2AE7"/>
    <w:rsid w:val="39B12B9E"/>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5882EFC"/>
    <w:rsid w:val="56490C7C"/>
    <w:rsid w:val="58343EAC"/>
    <w:rsid w:val="58F33E0F"/>
    <w:rsid w:val="597E6C17"/>
    <w:rsid w:val="5B920EBC"/>
    <w:rsid w:val="5BFA6CAE"/>
    <w:rsid w:val="5D0D24D3"/>
    <w:rsid w:val="5D654113"/>
    <w:rsid w:val="5D676170"/>
    <w:rsid w:val="5DB45A4D"/>
    <w:rsid w:val="5E2A7A6D"/>
    <w:rsid w:val="5E3D22F6"/>
    <w:rsid w:val="5E9E5CF6"/>
    <w:rsid w:val="5F5A3274"/>
    <w:rsid w:val="5F5C54EB"/>
    <w:rsid w:val="5FB62CE4"/>
    <w:rsid w:val="5FDC66AB"/>
    <w:rsid w:val="60886E86"/>
    <w:rsid w:val="61426FC7"/>
    <w:rsid w:val="635A6060"/>
    <w:rsid w:val="64440A64"/>
    <w:rsid w:val="659D1EC8"/>
    <w:rsid w:val="65C42961"/>
    <w:rsid w:val="66AD6F06"/>
    <w:rsid w:val="67F355EF"/>
    <w:rsid w:val="68727AEB"/>
    <w:rsid w:val="68CB2404"/>
    <w:rsid w:val="6AE57802"/>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BAB2825"/>
    <w:rsid w:val="7C4A2B81"/>
    <w:rsid w:val="7C754D92"/>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qFormat/>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qFormat/>
    <w:uiPriority w:val="99"/>
    <w:rPr>
      <w:rFonts w:ascii="宋体"/>
      <w:kern w:val="2"/>
      <w:sz w:val="18"/>
      <w:szCs w:val="18"/>
    </w:rPr>
  </w:style>
  <w:style w:type="paragraph" w:styleId="180">
    <w:name w:val="List Paragraph"/>
    <w:basedOn w:val="1"/>
    <w:qFormat/>
    <w:uiPriority w:val="99"/>
    <w:pPr>
      <w:ind w:firstLine="420" w:firstLineChars="200"/>
    </w:pPr>
  </w:style>
  <w:style w:type="character" w:customStyle="1" w:styleId="181">
    <w:name w:val="font41"/>
    <w:basedOn w:val="20"/>
    <w:qFormat/>
    <w:uiPriority w:val="0"/>
    <w:rPr>
      <w:rFonts w:ascii="MS Gothic" w:hAnsi="MS Gothic" w:eastAsia="MS Gothic" w:cs="MS Gothic"/>
      <w:color w:val="000000"/>
      <w:sz w:val="20"/>
      <w:szCs w:val="20"/>
      <w:u w:val="none"/>
    </w:rPr>
  </w:style>
  <w:style w:type="character" w:customStyle="1" w:styleId="182">
    <w:name w:val="font3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2019.1.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'[最新溶剂油周报：山东地炼石脑油价格走势图2019.1.11.xls]溶剂油周报-石脑油价格走势图表'!$D$178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'[最新溶剂油周报：山东地炼石脑油价格走势图2019.1.11.xls]溶剂油周报-石脑油价格走势图表'!$A$179:$C$349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'[最新溶剂油周报：山东地炼石脑油价格走势图2019.1.11.xls]溶剂油周报-石脑油价格走势图表'!$D$179:$D$349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pt idx="158" c:formatCode="General">
                  <c:v>7850</c:v>
                </c:pt>
                <c:pt idx="159" c:formatCode="General">
                  <c:v>7500</c:v>
                </c:pt>
                <c:pt idx="160" c:formatCode="General">
                  <c:v>7300</c:v>
                </c:pt>
                <c:pt idx="161" c:formatCode="General">
                  <c:v>7300</c:v>
                </c:pt>
                <c:pt idx="162" c:formatCode="General">
                  <c:v>6700</c:v>
                </c:pt>
                <c:pt idx="163" c:formatCode="General">
                  <c:v>6300</c:v>
                </c:pt>
                <c:pt idx="164" c:formatCode="General">
                  <c:v>6500</c:v>
                </c:pt>
                <c:pt idx="165" c:formatCode="General">
                  <c:v>6550</c:v>
                </c:pt>
                <c:pt idx="166" c:formatCode="General">
                  <c:v>6200</c:v>
                </c:pt>
                <c:pt idx="167" c:formatCode="General">
                  <c:v>5800</c:v>
                </c:pt>
                <c:pt idx="168" c:formatCode="General">
                  <c:v>5800</c:v>
                </c:pt>
                <c:pt idx="169" c:formatCode="General">
                  <c:v>6500</c:v>
                </c:pt>
              </c:numCache>
            </c:numRef>
          </c:val>
          <c:smooth val="0"/>
        </c:ser>
        <c:ser>
          <c:idx val="10"/>
          <c:order val="1"/>
          <c:tx>
            <c:strRef>
              <c:f>'[最新溶剂油周报：山东地炼石脑油价格走势图2019.1.11.xls]溶剂油周报-石脑油价格走势图表'!$E$178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'[最新溶剂油周报：山东地炼石脑油价格走势图2019.1.11.xls]溶剂油周报-石脑油价格走势图表'!$A$179:$C$349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'[最新溶剂油周报：山东地炼石脑油价格走势图2019.1.11.xls]溶剂油周报-石脑油价格走势图表'!$E$179:$E$349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pt idx="158" c:formatCode="General">
                  <c:v>0</c:v>
                </c:pt>
                <c:pt idx="159" c:formatCode="General">
                  <c:v>0</c:v>
                </c:pt>
                <c:pt idx="160" c:formatCode="General">
                  <c:v>0</c:v>
                </c:pt>
                <c:pt idx="161" c:formatCode="General">
                  <c:v>0</c:v>
                </c:pt>
                <c:pt idx="162" c:formatCode="General">
                  <c:v>0</c:v>
                </c:pt>
                <c:pt idx="163" c:formatCode="General">
                  <c:v>0</c:v>
                </c:pt>
                <c:pt idx="164" c:formatCode="General">
                  <c:v>0</c:v>
                </c:pt>
                <c:pt idx="165" c:formatCode="General">
                  <c:v>0</c:v>
                </c:pt>
                <c:pt idx="166" c:formatCode="General">
                  <c:v>0</c:v>
                </c:pt>
                <c:pt idx="167" c:formatCode="General">
                  <c:v>0</c:v>
                </c:pt>
                <c:pt idx="168" c:formatCode="General">
                  <c:v>0</c:v>
                </c:pt>
                <c:pt idx="169" c:formatCode="General">
                  <c:v>0</c:v>
                </c:pt>
              </c:numCache>
            </c:numRef>
          </c:val>
          <c:smooth val="0"/>
        </c:ser>
        <c:ser>
          <c:idx val="1"/>
          <c:order val="2"/>
          <c:tx>
            <c:strRef>
              <c:f>'[最新溶剂油周报：山东地炼石脑油价格走势图2019.1.11.xls]溶剂油周报-石脑油价格走势图表'!$F$178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'[最新溶剂油周报：山东地炼石脑油价格走势图2019.1.11.xls]溶剂油周报-石脑油价格走势图表'!$A$179:$C$349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'[最新溶剂油周报：山东地炼石脑油价格走势图2019.1.11.xls]溶剂油周报-石脑油价格走势图表'!$F$179:$F$349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pt idx="158" c:formatCode="General">
                  <c:v>7450</c:v>
                </c:pt>
                <c:pt idx="159" c:formatCode="General">
                  <c:v>7500</c:v>
                </c:pt>
                <c:pt idx="160" c:formatCode="General">
                  <c:v>7500</c:v>
                </c:pt>
                <c:pt idx="161" c:formatCode="General">
                  <c:v>6350</c:v>
                </c:pt>
                <c:pt idx="162" c:formatCode="General">
                  <c:v>6150</c:v>
                </c:pt>
                <c:pt idx="163" c:formatCode="General">
                  <c:v>6150</c:v>
                </c:pt>
                <c:pt idx="164" c:formatCode="General">
                  <c:v>0</c:v>
                </c:pt>
                <c:pt idx="165" c:formatCode="General">
                  <c:v>0</c:v>
                </c:pt>
                <c:pt idx="166" c:formatCode="General">
                  <c:v>0</c:v>
                </c:pt>
                <c:pt idx="167" c:formatCode="General">
                  <c:v>0</c:v>
                </c:pt>
                <c:pt idx="168" c:formatCode="General">
                  <c:v>0</c:v>
                </c:pt>
                <c:pt idx="169" c:formatCode="General">
                  <c:v>0</c:v>
                </c:pt>
              </c:numCache>
            </c:numRef>
          </c:val>
          <c:smooth val="0"/>
        </c:ser>
        <c:ser>
          <c:idx val="5"/>
          <c:order val="3"/>
          <c:tx>
            <c:strRef>
              <c:f>'[最新溶剂油周报：山东地炼石脑油价格走势图2019.1.11.xls]溶剂油周报-石脑油价格走势图表'!$G$178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'[最新溶剂油周报：山东地炼石脑油价格走势图2019.1.11.xls]溶剂油周报-石脑油价格走势图表'!$A$179:$C$349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'[最新溶剂油周报：山东地炼石脑油价格走势图2019.1.11.xls]溶剂油周报-石脑油价格走势图表'!$G$179:$G$349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pt idx="158" c:formatCode="General">
                  <c:v>5570</c:v>
                </c:pt>
                <c:pt idx="159" c:formatCode="General">
                  <c:v>5570</c:v>
                </c:pt>
                <c:pt idx="160" c:formatCode="General">
                  <c:v>5270</c:v>
                </c:pt>
                <c:pt idx="161" c:formatCode="General">
                  <c:v>4960</c:v>
                </c:pt>
                <c:pt idx="162" c:formatCode="General">
                  <c:v>4960</c:v>
                </c:pt>
                <c:pt idx="163" c:formatCode="General">
                  <c:v>4370</c:v>
                </c:pt>
                <c:pt idx="164" c:formatCode="General">
                  <c:v>0</c:v>
                </c:pt>
                <c:pt idx="165" c:formatCode="General">
                  <c:v>0</c:v>
                </c:pt>
                <c:pt idx="166" c:formatCode="General">
                  <c:v>0</c:v>
                </c:pt>
                <c:pt idx="167" c:formatCode="General">
                  <c:v>0</c:v>
                </c:pt>
                <c:pt idx="168" c:formatCode="General">
                  <c:v>0</c:v>
                </c:pt>
                <c:pt idx="169" c:formatCode="General">
                  <c:v>0</c:v>
                </c:pt>
              </c:numCache>
            </c:numRef>
          </c:val>
          <c:smooth val="0"/>
        </c:ser>
        <c:ser>
          <c:idx val="6"/>
          <c:order val="4"/>
          <c:tx>
            <c:strRef>
              <c:f>'[最新溶剂油周报：山东地炼石脑油价格走势图2019.1.11.xls]溶剂油周报-石脑油价格走势图表'!$H$178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'[最新溶剂油周报：山东地炼石脑油价格走势图2019.1.11.xls]溶剂油周报-石脑油价格走势图表'!$A$179:$C$349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'[最新溶剂油周报：山东地炼石脑油价格走势图2019.1.11.xls]溶剂油周报-石脑油价格走势图表'!$H$179:$H$349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4500</c:v>
                </c:pt>
                <c:pt idx="165">
                  <c:v>4500</c:v>
                </c:pt>
                <c:pt idx="166">
                  <c:v>4500</c:v>
                </c:pt>
                <c:pt idx="167">
                  <c:v>4500</c:v>
                </c:pt>
                <c:pt idx="168">
                  <c:v>4500</c:v>
                </c:pt>
                <c:pt idx="169">
                  <c:v>5600</c:v>
                </c:pt>
              </c:numCache>
            </c:numRef>
          </c:val>
          <c:smooth val="0"/>
        </c:ser>
        <c:dLbls>
          <c:showLegendKey val="0"/>
          <c:showVal val="0"/>
          <c:showCatName val="0"/>
          <c:showSerName val="0"/>
          <c:showPercent val="0"/>
          <c:showBubbleSize val="0"/>
        </c:dLbls>
        <c:marker val="0"/>
        <c:smooth val="0"/>
        <c:axId val="174723789"/>
        <c:axId val="581453449"/>
      </c:lineChart>
      <c:dateAx>
        <c:axId val="174723789"/>
        <c:scaling>
          <c:orientation val="minMax"/>
          <c:max val="43483"/>
          <c:min val="43118"/>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81453449"/>
        <c:crossesAt val="2000"/>
        <c:auto val="1"/>
        <c:lblOffset val="100"/>
        <c:baseTimeUnit val="days"/>
        <c:majorUnit val="1"/>
        <c:majorTimeUnit val="months"/>
        <c:minorUnit val="1"/>
        <c:minorTimeUnit val="months"/>
      </c:dateAx>
      <c:valAx>
        <c:axId val="581453449"/>
        <c:scaling>
          <c:orientation val="minMax"/>
          <c:max val="85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74723789"/>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4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47</TotalTime>
  <ScaleCrop>false</ScaleCrop>
  <LinksUpToDate>false</LinksUpToDate>
  <CharactersWithSpaces>18114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梦蝶</cp:lastModifiedBy>
  <dcterms:modified xsi:type="dcterms:W3CDTF">2019-01-18T11:00:12Z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