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6" w:name="_Toc505349996"/>
                            <w:bookmarkStart w:id="77" w:name="_Toc485828984"/>
                            <w:r>
                              <w:rPr>
                                <w:rFonts w:hint="eastAsia"/>
                                <w:kern w:val="2"/>
                              </w:rPr>
                              <w:t>201</w:t>
                            </w:r>
                            <w:r>
                              <w:rPr>
                                <w:rFonts w:hint="eastAsia"/>
                                <w:kern w:val="2"/>
                                <w:lang w:val="en-US" w:eastAsia="zh-CN"/>
                              </w:rPr>
                              <w:t>9</w:t>
                            </w:r>
                            <w:r>
                              <w:rPr>
                                <w:rFonts w:hint="eastAsia"/>
                                <w:kern w:val="2"/>
                              </w:rPr>
                              <w:t>.</w:t>
                            </w:r>
                            <w:bookmarkEnd w:id="76"/>
                            <w:bookmarkEnd w:id="77"/>
                            <w:r>
                              <w:rPr>
                                <w:rFonts w:hint="eastAsia"/>
                                <w:kern w:val="2"/>
                                <w:lang w:val="en-US" w:eastAsia="zh-CN"/>
                              </w:rPr>
                              <w:t>1</w:t>
                            </w:r>
                            <w:r>
                              <w:rPr>
                                <w:rFonts w:hint="eastAsia"/>
                                <w:kern w:val="2"/>
                              </w:rPr>
                              <w:t>.</w:t>
                            </w:r>
                            <w:r>
                              <w:rPr>
                                <w:rFonts w:hint="eastAsia"/>
                                <w:kern w:val="2"/>
                                <w:lang w:val="en-US" w:eastAsia="zh-CN"/>
                              </w:rPr>
                              <w:t>11</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6" w:name="_Toc505349996"/>
                      <w:bookmarkStart w:id="77" w:name="_Toc485828984"/>
                      <w:r>
                        <w:rPr>
                          <w:rFonts w:hint="eastAsia"/>
                          <w:kern w:val="2"/>
                        </w:rPr>
                        <w:t>201</w:t>
                      </w:r>
                      <w:r>
                        <w:rPr>
                          <w:rFonts w:hint="eastAsia"/>
                          <w:kern w:val="2"/>
                          <w:lang w:val="en-US" w:eastAsia="zh-CN"/>
                        </w:rPr>
                        <w:t>9</w:t>
                      </w:r>
                      <w:r>
                        <w:rPr>
                          <w:rFonts w:hint="eastAsia"/>
                          <w:kern w:val="2"/>
                        </w:rPr>
                        <w:t>.</w:t>
                      </w:r>
                      <w:bookmarkEnd w:id="76"/>
                      <w:bookmarkEnd w:id="77"/>
                      <w:r>
                        <w:rPr>
                          <w:rFonts w:hint="eastAsia"/>
                          <w:kern w:val="2"/>
                          <w:lang w:val="en-US" w:eastAsia="zh-CN"/>
                        </w:rPr>
                        <w:t>1</w:t>
                      </w:r>
                      <w:r>
                        <w:rPr>
                          <w:rFonts w:hint="eastAsia"/>
                          <w:kern w:val="2"/>
                        </w:rPr>
                        <w:t>.</w:t>
                      </w:r>
                      <w:r>
                        <w:rPr>
                          <w:rFonts w:hint="eastAsia"/>
                          <w:kern w:val="2"/>
                          <w:lang w:val="en-US" w:eastAsia="zh-CN"/>
                        </w:rPr>
                        <w:t>11</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w:t>
                            </w:r>
                            <w:r>
                              <w:rPr>
                                <w:rStyle w:val="24"/>
                                <w:rFonts w:hint="eastAsia" w:cs="Arial"/>
                                <w:bCs/>
                                <w:kern w:val="0"/>
                                <w:lang w:val="en-US" w:eastAsia="zh-CN"/>
                              </w:rPr>
                              <w:t>11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w:t>
                            </w:r>
                            <w:r>
                              <w:rPr>
                                <w:rStyle w:val="24"/>
                                <w:rFonts w:hint="eastAsia" w:ascii="黑体"/>
                                <w:lang w:val="en-US" w:eastAsia="zh-CN"/>
                              </w:rPr>
                              <w:t>11</w:t>
                            </w:r>
                            <w:r>
                              <w:rPr>
                                <w:rStyle w:val="24"/>
                                <w:rFonts w:hint="eastAsia" w:ascii="黑体"/>
                              </w:rPr>
                              <w:t>月中国溶剂</w:t>
                            </w:r>
                            <w:r>
                              <w:rPr>
                                <w:rStyle w:val="24"/>
                                <w:rFonts w:hint="eastAsia" w:ascii="黑体"/>
                                <w:lang w:eastAsia="zh-CN"/>
                              </w:rPr>
                              <w:t>油</w:t>
                            </w:r>
                            <w:r>
                              <w:rPr>
                                <w:rStyle w:val="24"/>
                                <w:rFonts w:hint="eastAsia" w:ascii="黑体"/>
                              </w:rPr>
                              <w:t>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w:t>
                      </w:r>
                      <w:r>
                        <w:rPr>
                          <w:rStyle w:val="24"/>
                          <w:rFonts w:hint="eastAsia" w:cs="Arial"/>
                          <w:bCs/>
                          <w:kern w:val="0"/>
                          <w:lang w:val="en-US" w:eastAsia="zh-CN"/>
                        </w:rPr>
                        <w:t>11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w:t>
                      </w:r>
                      <w:r>
                        <w:rPr>
                          <w:rStyle w:val="24"/>
                          <w:rFonts w:hint="eastAsia" w:ascii="黑体"/>
                          <w:lang w:val="en-US" w:eastAsia="zh-CN"/>
                        </w:rPr>
                        <w:t>11</w:t>
                      </w:r>
                      <w:r>
                        <w:rPr>
                          <w:rStyle w:val="24"/>
                          <w:rFonts w:hint="eastAsia" w:ascii="黑体"/>
                        </w:rPr>
                        <w:t>月中国溶剂</w:t>
                      </w:r>
                      <w:r>
                        <w:rPr>
                          <w:rStyle w:val="24"/>
                          <w:rFonts w:hint="eastAsia" w:ascii="黑体"/>
                          <w:lang w:eastAsia="zh-CN"/>
                        </w:rPr>
                        <w:t>油</w:t>
                      </w:r>
                      <w:r>
                        <w:rPr>
                          <w:rStyle w:val="24"/>
                          <w:rFonts w:hint="eastAsia" w:ascii="黑体"/>
                        </w:rPr>
                        <w:t>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505349997"/>
      <w:bookmarkStart w:id="2" w:name="_Toc460250399"/>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hint="eastAsia" w:ascii="黑体" w:hAnsi="宋体" w:eastAsia="黑体" w:cs="Arial"/>
          <w:b w:val="0"/>
          <w:kern w:val="0"/>
          <w:sz w:val="30"/>
          <w:szCs w:val="30"/>
        </w:rPr>
      </w:pPr>
      <w:bookmarkStart w:id="4" w:name="_Toc281568195"/>
      <w:bookmarkStart w:id="5" w:name="_Toc296600805"/>
      <w:bookmarkStart w:id="6" w:name="_Toc460250400"/>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6"/>
        <w:gridCol w:w="921"/>
        <w:gridCol w:w="925"/>
        <w:gridCol w:w="6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6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2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764"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2019-1-9</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52.36</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61.44</w:t>
            </w:r>
          </w:p>
        </w:tc>
        <w:tc>
          <w:tcPr>
            <w:tcW w:w="6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沙特重申将努力平衡原油市场，如有需要将进一步减产有效提振油价走势，加之EIA数据显示上周美国原油库存录得下滑，油价收盘大幅上涨。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2019-1-8</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49.78</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58.72</w:t>
            </w:r>
          </w:p>
        </w:tc>
        <w:tc>
          <w:tcPr>
            <w:tcW w:w="6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市场供应面情绪正在不断好转，沙特减产并减少石油的出口，美国原油产量也有放缓的迹象，提振油价收盘上涨。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2019-1-7</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48.52</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57.33</w:t>
            </w:r>
          </w:p>
        </w:tc>
        <w:tc>
          <w:tcPr>
            <w:tcW w:w="6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随着OPEC减产逐渐发挥影响，且上周美国原油钻井数量下降，暗示美国原油增产的空间可能会受到一定的限制，油价收盘上涨。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2019-1-4</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47.96</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57.06</w:t>
            </w:r>
          </w:p>
        </w:tc>
        <w:tc>
          <w:tcPr>
            <w:tcW w:w="6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美国原油库存基本持平且产量保持稳定，加之活跃钻井数大幅下降，提振油价收盘上涨。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55"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2019-1-3</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47.09</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55.95</w:t>
            </w:r>
          </w:p>
        </w:tc>
        <w:tc>
          <w:tcPr>
            <w:tcW w:w="6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因沙特开始压低产量，且伊朗和利比亚产量也因不可抗因素出现下滑，致使12月石油输出国组织(OPEC)原油产量出现近两年最大降幅，提振油价收盘上涨。</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rFonts w:hint="eastAsia" w:eastAsia="宋体"/>
          <w:sz w:val="20"/>
          <w:szCs w:val="20"/>
          <w:lang w:val="en-US" w:eastAsia="zh-CN"/>
        </w:rPr>
      </w:pPr>
      <w:r>
        <w:rPr>
          <w:rFonts w:hint="eastAsia"/>
          <w:sz w:val="20"/>
          <w:szCs w:val="20"/>
          <w:lang w:val="en-US" w:eastAsia="zh-CN"/>
        </w:rPr>
        <w:t xml:space="preserve"> </w:t>
      </w:r>
      <w:r>
        <w:drawing>
          <wp:inline distT="0" distB="0" distL="114300" distR="114300">
            <wp:extent cx="5247640" cy="3277235"/>
            <wp:effectExtent l="0" t="0" r="1016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47640" cy="3277235"/>
                    </a:xfrm>
                    <a:prstGeom prst="rect">
                      <a:avLst/>
                    </a:prstGeom>
                    <a:noFill/>
                    <a:ln w="9525">
                      <a:noFill/>
                    </a:ln>
                  </pic:spPr>
                </pic:pic>
              </a:graphicData>
            </a:graphic>
          </wp:inline>
        </w:drawing>
      </w:r>
    </w:p>
    <w:p>
      <w:pPr>
        <w:outlineLvl w:val="1"/>
        <w:rPr>
          <w:rFonts w:ascii="黑体" w:hAnsi="宋体" w:eastAsia="黑体"/>
          <w:b/>
          <w:sz w:val="30"/>
          <w:szCs w:val="30"/>
        </w:rPr>
      </w:pPr>
      <w:bookmarkStart w:id="9" w:name="_Toc460250402"/>
      <w:bookmarkStart w:id="10" w:name="_Toc505350001"/>
      <w:bookmarkStart w:id="11" w:name="_Toc296600809"/>
      <w:bookmarkStart w:id="12" w:name="_Toc281568199"/>
      <w:bookmarkStart w:id="13" w:name="_Toc239847712"/>
      <w:bookmarkStart w:id="14" w:name="_Toc158203127"/>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keepNext w:val="0"/>
        <w:keepLines w:val="0"/>
        <w:widowControl/>
        <w:suppressLineNumbers w:val="0"/>
        <w:rPr>
          <w:rFonts w:ascii="华文仿宋" w:hAnsi="华文仿宋" w:eastAsia="华文仿宋"/>
          <w:sz w:val="28"/>
          <w:szCs w:val="28"/>
        </w:rPr>
      </w:pPr>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ascii="华文仿宋" w:hAnsi="华文仿宋" w:eastAsia="华文仿宋"/>
          <w:sz w:val="28"/>
          <w:szCs w:val="28"/>
        </w:rPr>
        <w:t>美国能源信息署数据显示，截至1月4日当周，美国原油库存量4.39738亿桶，比前一周下降168万桶;美国汽油库存总量2.48062亿桶，比前一周增长807万桶;馏分油库存量为1.40042亿桶，比前一周增长1061万桶。原油库存比去年同期高4.8%;比过去五年同期高7%;汽油库存比去年同期高4.5%;比过去五年同期高5%;馏份油库存比去年同期低2.1%，比过去五年同期低5%。美国商业石油库存总量增长1328万桶。炼油厂开工率96.1%，比前一周下降1.1个百分点。上周美国原油进口量平均每天784.6万桶，比前一周增长45.4万桶，成品油日均进口量208.5桶，比前一周增长46.9万桶。美国1月4日当周API原油库存 -612.7万桶，前值 -450万桶。美国1月4日当周API库欣地区原油库存 +33.1万桶，前值 +48.3万桶。美国1月4日当周API汽油库存 +550万桶，前值 +800万桶。美国1月4日当周API精炼油库存 +1020万桶，前值 +396万桶。</w:t>
      </w:r>
    </w:p>
    <w:p>
      <w:pPr>
        <w:pStyle w:val="19"/>
        <w:wordWrap w:val="0"/>
        <w:spacing w:line="288" w:lineRule="auto"/>
        <w:rPr>
          <w:rFonts w:hint="eastAsia" w:ascii="华文仿宋" w:hAnsi="华文仿宋" w:eastAsia="华文仿宋" w:cs="华文仿宋"/>
          <w:sz w:val="28"/>
          <w:szCs w:val="28"/>
        </w:rPr>
      </w:pPr>
    </w:p>
    <w:p>
      <w:pPr>
        <w:pStyle w:val="19"/>
        <w:rPr>
          <w:rFonts w:hint="eastAsia" w:ascii="华文仿宋" w:hAnsi="华文仿宋" w:eastAsia="华文仿宋"/>
          <w:sz w:val="28"/>
          <w:szCs w:val="28"/>
        </w:rPr>
      </w:pPr>
    </w:p>
    <w:p>
      <w:pPr>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北京时间10日凌晨，美股周三收高，主要股指录得连续第4个交易日上涨。市场密切关注中美贸易谈判的进展。美联储会议纪要显示货币政策决策者的加息立场更加谨慎。美国原油期货大涨5%。</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美东时间1月9日16：00(北京时间1月10日05：00)，道指涨91.67点，或0.39%，报23879.12点;标普500指数涨10.55点，或0.41%，报2584.96点;纳指涨10.55点，或0.87%，报2584.96点。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投资者密切关注中美贸易谈判的进展。中美副部级贸易谈判已经结束。据新华社报道，中国外交部发言人陆慷表示，根据双方达成的共识，此次经贸磋商确实延长了。磋商的延长意味着双方确实是在认真地进行此次磋商。磋商的结果如果是好的，不仅对中美双方都有利，对世界经济也是一个好的消息。</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此次会议谈判由两天延长到两天半，显然是一个积极的信号，说明双方这次都有意愿认真谈，也都有意愿达成协议。所以，才有了最终的积极进展。刘鹤副总理突然出现在会场，也使市场情绪积极。据消息人士透露，虽然谈判一度很胶着，但总体而言，这是一次坦诚、深入和富有成效的谈判。</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而白宫消息人士称，美国总统特朗普急于看到与中国达成贸易协议，以帮助推动美股上涨。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美联储周三下午公布了备受关注的12月会议纪要。纪要显示，政策制定者在是否进一步加息问题上的立场比政策声明所反映的更为谨慎。</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据美联储周三发布的12月18-19日政策会议纪要，“许多与会者认为，尤其在通胀压力较小的环境下，美联储可以对进一步的政策紧缩抱有耐心”。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虽然12月的加息决定得到了所有委员的一致投票通过，但会议记录显示“少数与会者”倾向于按兵不动。会议纪要显示委员会关注近期金融市场波动及前景风险。</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国际油价大涨。周三美国WTI与伦敦布伦特原油期货价格持续拉升，WTI原油收高逾5%，上破52美元/桶关口。</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惠誉评级机构警告称可能下调美国的主权信用评级。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惠誉周三警告说，如果美国政府部分关门导致美国债务上限达到危险边缘，美国可能会失去其AAA级主权信用评级。特朗普在周二晚间黄金时段发表的电视讲话，未能缩小白宫与国会民主党之间关于修建美墨边境隔离墙资金的分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据路透社报道，惠誉全球主权评级主管JamesMcCormack周三表示：“如果美国政府停摆持续到3月1日，并且几个月后债务上限变成一个问题，我们也许应该考虑：美国的政策框架、以及无法通过预算案，所有这些是否与美国的AAA评级相符。”</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美联储官员讲话</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今天发表讲话的美联储官员包括圣路易斯联储行长詹姆斯-布拉德(JamesBullard)、亚特兰大联储行长拉斐尔-博斯蒂克(RaphelBostic)、FOMC票委兼芝加哥联储行长查尔斯-埃文斯(CharlesEvans)、FOMC票委兼波士顿联储行长埃里克-罗森格伦(EricRosengren)等。博斯蒂克在2019年不是FOMC的投票成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圣路易斯联储行长布拉德在讲话中警告称，如果美联储继续推进加息，他担心美国经济可能会陷入衰退。他称：“我们今天的政策利率已经达到不错的水平，没有上调的迫切需要。”他补充说，债市收益率水平预示，如果利率上调，“可能会出现一些衰退风险”。</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亚特兰大联储行长博斯蒂克称，美联储应该以谨慎态度对待进一步加息，因为利率目前接近中性水平，而且企业对未来前景存在不确定感。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博斯蒂克表示：“我的观点是，鉴于经济状况存在不确定性，以及与中性立场一致的政策利率该有多高存在不确定性，未来一年对货币政策调整采取谨慎做法是完全有道理的”。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芝加哥联储行长埃文斯称，2019年上半年对于评估美联储政策是很重要的时间段。他认为通胀预期的上升不及预期，基本预计2019年美国经济增速略高于2%。他还预计未来三年通胀平均值略高于2%。</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埃文斯称，美联储有时间在下次加息前进行评估，如果经济如预期般发展，将倾向于采取限制性政策。</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波士顿联储行长罗森格伦表示，美联储需要以数据为基础，不能预设政策路径。鉴于风险因素已经扰乱金融市场，在调整政策之前，美联储可以耐心观望以等待更明晰的数据。如果预期的更好的经济结果是正确的，那么美联储12月会议上提出的2019年两次加息可能是正确的。而芝加哥联储主席Evans则更为鹰派的指出，如果情况符合预期，仍然预计2019年美国将有三次加息。</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其他市场表现</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纽约商品交易所2月交割的西德州中质原油(WTI)期货价格上涨2.58美元，或5.2%，收于52.36美元/桶，为连续第8个交易日收高。</w:t>
      </w:r>
    </w:p>
    <w:p>
      <w:pPr>
        <w:pStyle w:val="19"/>
        <w:ind w:firstLine="560" w:firstLineChars="200"/>
        <w:rPr>
          <w:rFonts w:ascii="华文仿宋" w:hAnsi="华文仿宋" w:eastAsia="华文仿宋"/>
          <w:sz w:val="28"/>
          <w:szCs w:val="28"/>
        </w:rPr>
      </w:pPr>
    </w:p>
    <w:p>
      <w:pPr>
        <w:pStyle w:val="19"/>
        <w:rPr>
          <w:rFonts w:hint="eastAsia" w:ascii="宋体" w:hAnsi="宋体" w:cs="Arial"/>
          <w:b/>
          <w:bCs/>
          <w:kern w:val="0"/>
          <w:sz w:val="32"/>
          <w:szCs w:val="32"/>
          <w:lang w:val="en-US" w:eastAsia="zh-CN" w:bidi="ar-SA"/>
        </w:rPr>
      </w:pPr>
      <w:bookmarkStart w:id="18" w:name="_Toc504051941"/>
      <w:r>
        <w:rPr>
          <w:rFonts w:hint="eastAsia" w:cs="Arial"/>
          <w:b/>
          <w:bCs/>
          <w:kern w:val="0"/>
          <w:sz w:val="32"/>
          <w:szCs w:val="32"/>
          <w:lang w:val="en-US" w:eastAsia="zh-CN" w:bidi="ar-SA"/>
        </w:rPr>
        <w:t>3.</w:t>
      </w:r>
      <w:r>
        <w:rPr>
          <w:rFonts w:hint="eastAsia" w:ascii="宋体" w:hAnsi="宋体" w:cs="Arial"/>
          <w:b/>
          <w:bCs/>
          <w:kern w:val="0"/>
          <w:sz w:val="32"/>
          <w:szCs w:val="32"/>
          <w:lang w:val="en-US" w:eastAsia="zh-CN" w:bidi="ar-SA"/>
        </w:rPr>
        <w:t>世界经济形势</w:t>
      </w:r>
      <w:bookmarkEnd w:id="18"/>
    </w:p>
    <w:p>
      <w:pPr>
        <w:pStyle w:val="19"/>
        <w:ind w:firstLine="560" w:firstLineChars="200"/>
        <w:rPr>
          <w:rFonts w:ascii="华文仿宋" w:hAnsi="华文仿宋" w:eastAsia="华文仿宋"/>
          <w:sz w:val="28"/>
          <w:szCs w:val="28"/>
        </w:rPr>
      </w:pPr>
      <w:r>
        <w:rPr>
          <w:rFonts w:hint="eastAsia" w:ascii="华文仿宋" w:hAnsi="华文仿宋" w:eastAsia="华文仿宋"/>
          <w:sz w:val="28"/>
          <w:szCs w:val="28"/>
          <w:lang w:val="en-US" w:eastAsia="zh-CN"/>
        </w:rPr>
        <w:t>据</w:t>
      </w:r>
      <w:r>
        <w:rPr>
          <w:rFonts w:ascii="华文仿宋" w:hAnsi="华文仿宋" w:eastAsia="华文仿宋"/>
          <w:sz w:val="28"/>
          <w:szCs w:val="28"/>
        </w:rPr>
        <w:t>报道，OPEC领头国沙特正准备进一步减产，努力将油价推高至80美元，消息一度提振油价上涨。此外，美联储放鸽打击股市、国际贸易争端有望缓解，这些因素也利好油价。多数投行预计，2019年油价将大幅上涨，尽管其中许多投行认为，WTI和布伦特原油价格不会回到2018年10月3月的高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沙特准备进一步减产，努力将油价推高至80美元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沙特1月份准备进一步减产，希望将油价推高至80美元/桶的高位。据报道，沙特计划在1月底前将石油出口量降至710万桶/日，并计划将石油产量削减80万桶/日，低于11月的水平，这似乎比OPEC+协议要求的降幅还要大。以上消息1月7日成功推高了油价，其中WTI价格一度上涨0.93%，创下49.79美元的日内高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加皇资本市场指出，沙特有让油价“更加稳固”的“迫切需要”，并且不想开始“第二轮市场份额争夺战”。此外，沙特有明确和迫切的收入需求，为旨在保持年轻人口安顺的社会机制和旨在遏制区域竞争对手伊朗的外交政策买单。该国将采取“沙特优先政策”，将产量降回1000万桶/日之下、出口量至700桶/日，以“加快价格反弹”。加皇资本市场还指出，尼日利亚和利比亚的产量增加对目前供过于求的局面有所贡献，但不会持续。</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能源对冲基金AgainCapital创始合伙人基尔达夫(JohnKilduff)在接受采访时表示，出于对伊朗遭制裁的担忧，沙特过度供应石油，从而令油市陷入困境，现在沙特只是在积极处理这种局面。</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自2018年12月底触及低点以来，布伦特原油和WTI油价均上涨逾16%。据报道，Petromatrix策略师雅各布(OlivierJakob)表示：“市场正从非常低迷的水平恢复动力。油价已经连续五个交易日上涨，目前处于续涨状态。”</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因美联储放鸽和OPEC减产等因素，多数投行预测油价2019年将大幅上涨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一些因素也促使油价近两周出现反弹。美联储上周的鸽派基调提振了全球股市，减轻了对货币政策持续收紧将推动全球经济陷入衰退的担忧。与此同时，中美恢复贸易谈判，外界普遍认为这是贸易争端缓解的一个迹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如果能避免最坏的情况，油价还有很大的上行空间，尤其是在石油交易商对全球经济前景变得悲观的情况下。高盛在1月6日的一份报告中写道，油市正在消化全球经济大幅放缓的预期。如果没有如此大幅度的放缓，我们预计油价将进一步反弹，尽管经济增长的不确定性可能要求石油现货市场走强，以推动油价上涨，同时有令人鼓舞的证据表明，OPEC正在开始减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事实上，与2018年12月油价跌至18个月低点相比，石油市场已经在收紧。2018年12月，沙特的石油产量环比下滑40万桶/日，而2019年1月该国将再减产40万桶的消息提高了市场对供应趋紧的预期。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1月7日，德国商业银行在一份报告中写道：“如果OPEC和非OPEC的减产执行率像两年前一样高，那么油市将在2019年上半年实现再平衡。此外，美国石油产量增速放缓可能也是原因之一。根据贝克休斯的说法，钻井活动至少在最近一周的报告中出现明显下降，毫无疑问是由于最近的油价走低导致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随着OPEC逐步展开减产行动，曾在2018年11月和12月冲击市场的供应过剩可能开始消退。当然，在这一点上大家并没有达成共识。一些分析人士认为，和平衡市场所需的措施相比，OPEC的减产措施还存在一定差距。</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目前，WTI价格已重返至50美元/桶以上。如果沙特的减产力度超过其在维也纳会议上承诺的水平，油价可能还会继续上涨。多数投行预计，2019年油价将大幅上涨，尽管其中许多投行认为，WTI和布伦特原油价格不会回到2018年10月3日的高点。2018年10月3日，布伦特原油达到86.74美元的高位，而WTI价格达到76.90美元的高位。</w:t>
      </w:r>
    </w:p>
    <w:p>
      <w:pPr>
        <w:pStyle w:val="19"/>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p>
    <w:p>
      <w:pPr>
        <w:outlineLvl w:val="1"/>
        <w:rPr>
          <w:rFonts w:ascii="宋体" w:hAnsi="宋体" w:cs="Arial"/>
          <w:b/>
          <w:bCs/>
          <w:kern w:val="0"/>
          <w:sz w:val="32"/>
          <w:szCs w:val="32"/>
        </w:rPr>
      </w:pPr>
      <w:r>
        <w:rPr>
          <w:rFonts w:hint="eastAsia" w:ascii="宋体" w:hAnsi="宋体" w:cs="宋体"/>
          <w:b/>
          <w:sz w:val="32"/>
          <w:szCs w:val="32"/>
          <w:lang w:val="en-US" w:eastAsia="zh-CN"/>
        </w:rPr>
        <w:t>(</w:t>
      </w:r>
      <w:r>
        <w:rPr>
          <w:rFonts w:hint="eastAsia" w:ascii="宋体" w:hAnsi="宋体" w:cs="宋体"/>
          <w:b/>
          <w:sz w:val="32"/>
          <w:szCs w:val="32"/>
        </w:rPr>
        <w:t>三</w:t>
      </w:r>
      <w:r>
        <w:rPr>
          <w:rFonts w:hint="eastAsia" w:ascii="宋体" w:hAnsi="宋体" w:cs="宋体"/>
          <w:b/>
          <w:sz w:val="32"/>
          <w:szCs w:val="32"/>
          <w:lang w:val="en-US" w:eastAsia="zh-CN"/>
        </w:rPr>
        <w:t>)</w:t>
      </w:r>
      <w:r>
        <w:rPr>
          <w:rFonts w:hint="eastAsia" w:ascii="宋体" w:hAnsi="宋体" w:cs="Arial"/>
          <w:b/>
          <w:bCs/>
          <w:kern w:val="0"/>
          <w:sz w:val="32"/>
          <w:szCs w:val="32"/>
        </w:rPr>
        <w:t>、2018年</w:t>
      </w:r>
      <w:r>
        <w:rPr>
          <w:rFonts w:hint="eastAsia" w:ascii="宋体" w:hAnsi="宋体" w:cs="Arial"/>
          <w:b/>
          <w:bCs/>
          <w:kern w:val="0"/>
          <w:sz w:val="32"/>
          <w:szCs w:val="32"/>
          <w:lang w:val="en-US" w:eastAsia="zh-CN"/>
        </w:rPr>
        <w:t>11</w:t>
      </w:r>
      <w:r>
        <w:rPr>
          <w:rFonts w:hint="eastAsia" w:ascii="宋体" w:hAnsi="宋体" w:cs="Arial"/>
          <w:b/>
          <w:bCs/>
          <w:kern w:val="0"/>
          <w:sz w:val="32"/>
          <w:szCs w:val="32"/>
        </w:rPr>
        <w:t>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w:t>
      </w:r>
    </w:p>
    <w:tbl>
      <w:tblPr>
        <w:tblStyle w:val="25"/>
        <w:tblW w:w="9756" w:type="dxa"/>
        <w:tblInd w:w="-5" w:type="dxa"/>
        <w:shd w:val="clear" w:color="auto" w:fill="FFFFFF"/>
        <w:tblLayout w:type="fixed"/>
        <w:tblCellMar>
          <w:top w:w="0" w:type="dxa"/>
          <w:left w:w="0" w:type="dxa"/>
          <w:bottom w:w="0" w:type="dxa"/>
          <w:right w:w="0" w:type="dxa"/>
        </w:tblCellMar>
      </w:tblPr>
      <w:tblGrid>
        <w:gridCol w:w="1369"/>
        <w:gridCol w:w="629"/>
        <w:gridCol w:w="402"/>
        <w:gridCol w:w="533"/>
        <w:gridCol w:w="1628"/>
        <w:gridCol w:w="2092"/>
        <w:gridCol w:w="1320"/>
        <w:gridCol w:w="1783"/>
      </w:tblGrid>
      <w:tr>
        <w:tblPrEx>
          <w:shd w:val="clear" w:color="auto" w:fill="FFFFFF"/>
          <w:tblLayout w:type="fixed"/>
        </w:tblPrEx>
        <w:trPr>
          <w:trHeight w:val="270" w:hRule="atLeast"/>
        </w:trPr>
        <w:tc>
          <w:tcPr>
            <w:tcW w:w="1369" w:type="dxa"/>
            <w:tcBorders>
              <w:top w:val="single" w:color="333333" w:sz="4" w:space="0"/>
              <w:left w:val="single" w:color="333333" w:sz="4" w:space="0"/>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产品</w:t>
            </w:r>
          </w:p>
        </w:tc>
        <w:tc>
          <w:tcPr>
            <w:tcW w:w="629"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年度</w:t>
            </w:r>
          </w:p>
        </w:tc>
        <w:tc>
          <w:tcPr>
            <w:tcW w:w="402"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月份</w:t>
            </w:r>
          </w:p>
        </w:tc>
        <w:tc>
          <w:tcPr>
            <w:tcW w:w="533"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333333"/>
                <w:kern w:val="0"/>
                <w:sz w:val="28"/>
                <w:szCs w:val="28"/>
              </w:rPr>
              <w:t>产销国</w:t>
            </w:r>
          </w:p>
        </w:tc>
        <w:tc>
          <w:tcPr>
            <w:tcW w:w="1628"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进口数量/吨</w:t>
            </w:r>
          </w:p>
        </w:tc>
        <w:tc>
          <w:tcPr>
            <w:tcW w:w="2092"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进口金额/美元</w:t>
            </w:r>
          </w:p>
        </w:tc>
        <w:tc>
          <w:tcPr>
            <w:tcW w:w="1320"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出口数量/吨</w:t>
            </w:r>
          </w:p>
        </w:tc>
        <w:tc>
          <w:tcPr>
            <w:tcW w:w="1783"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出口金额/美元</w:t>
            </w:r>
          </w:p>
        </w:tc>
      </w:tr>
      <w:tr>
        <w:tblPrEx>
          <w:tblLayout w:type="fixed"/>
          <w:tblCellMar>
            <w:top w:w="0" w:type="dxa"/>
            <w:left w:w="0" w:type="dxa"/>
            <w:bottom w:w="0" w:type="dxa"/>
            <w:right w:w="0" w:type="dxa"/>
          </w:tblCellMar>
        </w:tblPrEx>
        <w:trPr>
          <w:trHeight w:val="270" w:hRule="atLeast"/>
        </w:trPr>
        <w:tc>
          <w:tcPr>
            <w:tcW w:w="1369" w:type="dxa"/>
            <w:vMerge w:val="restart"/>
            <w:tcBorders>
              <w:top w:val="single" w:color="333333" w:sz="4" w:space="0"/>
              <w:left w:val="single" w:color="333333" w:sz="4" w:space="0"/>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石油原油(包括从沥青矿物提取的原油)</w:t>
            </w: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印度尼西亚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40653.34</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25346064.00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沙特阿拉伯</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6559086.72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3799894948.00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喀麦隆</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274520.10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159589495.00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苏丹</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142372.63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79205819.00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伊朗</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1597505.00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912909959.00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泰国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25362.03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15565737.00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刚果(布)</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911835.95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488114205.00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南苏丹共和国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248895.93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113509343.00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科威特</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1873420.00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1066267344.00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也门</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350540.93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203670399.00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赤道几内亚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225072.70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129964020.00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挪威</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133437.19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85050562.00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阿曼</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2776447.67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1570404500.00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阿尔及利亚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268525.13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164163889.00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利比亚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885974.67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523180489.00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马来西亚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833188.20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491653771.00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越南</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44414.44</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28043616.00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加蓬</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425818.46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246914969.00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阿塞拜疆</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369626.55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240045038.00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蒙古</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103478.90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42882263.00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哈萨克斯坦</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382055.19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219528579.00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加纳</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395143.42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247439810.00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俄罗斯联邦</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6548835.91</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3790140429.00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伊拉克</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4489405.62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2460243791.00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阿联酋</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1683047.16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989595428.00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埃及</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314221.95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158188628.00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英国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1010539.66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602684272.00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卡塔尔</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105875.29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73199655.00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安哥拉</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3864267.16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2157921285.00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尼日利亚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138935.00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80985584.00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厄瓜多尔</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198688.82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109511633.00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委内瑞拉</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1139778.98</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529498771.00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墨西哥</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69175.22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35411984.00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哥伦比亚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889238.87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455402631.00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美国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137908.22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59015354.00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巴西</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2983655.73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1586112356.00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澳大利亚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190534.01</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112246681.00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加拿大</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240940.87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103341004.00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日本</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131987.46</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75223977.00</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新加坡</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130508.98</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80170232.00</w:t>
            </w:r>
          </w:p>
        </w:tc>
      </w:tr>
      <w:tr>
        <w:tblPrEx>
          <w:tblLayout w:type="fixed"/>
        </w:tblPrEx>
        <w:trPr>
          <w:trHeight w:val="270" w:hRule="atLeast"/>
        </w:trPr>
        <w:tc>
          <w:tcPr>
            <w:tcW w:w="2933" w:type="dxa"/>
            <w:gridSpan w:val="4"/>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2018年11月合计</w:t>
            </w:r>
          </w:p>
        </w:tc>
        <w:tc>
          <w:tcPr>
            <w:tcW w:w="1628"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42872423.61</w:t>
            </w:r>
          </w:p>
        </w:tc>
        <w:tc>
          <w:tcPr>
            <w:tcW w:w="2092"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24156844305.00</w:t>
            </w:r>
          </w:p>
        </w:tc>
        <w:tc>
          <w:tcPr>
            <w:tcW w:w="1320"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262496.44</w:t>
            </w:r>
          </w:p>
        </w:tc>
        <w:tc>
          <w:tcPr>
            <w:tcW w:w="1783"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155394209.00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w:t>
      </w:r>
      <w:r>
        <w:rPr>
          <w:rFonts w:hint="eastAsia" w:ascii="华文仿宋" w:hAnsi="华文仿宋" w:eastAsia="华文仿宋"/>
          <w:sz w:val="28"/>
          <w:szCs w:val="28"/>
          <w:lang w:val="en-US" w:eastAsia="zh-CN"/>
        </w:rPr>
        <w:t>47.09</w:t>
      </w:r>
      <w:r>
        <w:rPr>
          <w:rFonts w:ascii="华文仿宋" w:hAnsi="华文仿宋" w:eastAsia="华文仿宋"/>
          <w:sz w:val="28"/>
          <w:szCs w:val="28"/>
        </w:rPr>
        <w:t>-</w:t>
      </w:r>
      <w:r>
        <w:rPr>
          <w:rFonts w:hint="eastAsia" w:ascii="华文仿宋" w:hAnsi="华文仿宋" w:eastAsia="华文仿宋"/>
          <w:sz w:val="28"/>
          <w:szCs w:val="28"/>
          <w:lang w:val="en-US" w:eastAsia="zh-CN"/>
        </w:rPr>
        <w:t>52.36</w:t>
      </w:r>
      <w:r>
        <w:rPr>
          <w:rFonts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55.95</w:t>
      </w:r>
      <w:r>
        <w:rPr>
          <w:rFonts w:ascii="华文仿宋" w:hAnsi="华文仿宋" w:eastAsia="华文仿宋"/>
          <w:sz w:val="28"/>
          <w:szCs w:val="28"/>
        </w:rPr>
        <w:t>-</w:t>
      </w:r>
      <w:r>
        <w:rPr>
          <w:rFonts w:hint="eastAsia" w:ascii="华文仿宋" w:hAnsi="华文仿宋" w:eastAsia="华文仿宋"/>
          <w:sz w:val="28"/>
          <w:szCs w:val="28"/>
          <w:lang w:val="en-US" w:eastAsia="zh-CN"/>
        </w:rPr>
        <w:t>61.44</w:t>
      </w:r>
      <w:r>
        <w:rPr>
          <w:rFonts w:ascii="华文仿宋" w:hAnsi="华文仿宋" w:eastAsia="华文仿宋"/>
          <w:sz w:val="28"/>
          <w:szCs w:val="28"/>
        </w:rPr>
        <w:t>美元/桶震荡</w:t>
      </w:r>
      <w:r>
        <w:rPr>
          <w:rFonts w:hint="eastAsia" w:ascii="华文仿宋" w:hAnsi="华文仿宋" w:eastAsia="华文仿宋"/>
          <w:sz w:val="28"/>
          <w:szCs w:val="28"/>
        </w:rPr>
        <w:t>。</w:t>
      </w:r>
      <w:r>
        <w:rPr>
          <w:rFonts w:ascii="华文仿宋" w:hAnsi="华文仿宋" w:eastAsia="华文仿宋"/>
          <w:sz w:val="28"/>
          <w:szCs w:val="28"/>
        </w:rPr>
        <w:t>周内国际油价</w:t>
      </w:r>
      <w:r>
        <w:rPr>
          <w:rFonts w:hint="eastAsia" w:ascii="华文仿宋" w:hAnsi="华文仿宋" w:eastAsia="华文仿宋"/>
          <w:sz w:val="28"/>
          <w:szCs w:val="28"/>
          <w:lang w:eastAsia="zh-CN"/>
        </w:rPr>
        <w:t>一路持稳反弹</w:t>
      </w:r>
      <w:r>
        <w:rPr>
          <w:rFonts w:ascii="华文仿宋" w:hAnsi="华文仿宋" w:eastAsia="华文仿宋"/>
          <w:sz w:val="28"/>
          <w:szCs w:val="28"/>
        </w:rPr>
        <w:t>。1月9日WTI原油连续7日攀升上扬，刷新去年12月17日以来高点50.66美元/桶。原油市场继续走高，因投资者希望通过和平的谈判来解决美中之间的贸易问题。目前，美中贸易谈判副部级磋商正在进行中，市场正在等待贸易谈判后的公告。近几个月，中美贸易紧张关系引发了更广泛的市场情绪波动，投资者正寻找全球贸易复苏的任何迹象，以抵消日益明显的2019年全球经济放缓迹象。由于该行仍预期OPEC方面遵循油市平衡的目标，相信当前的OPEC+减产协议将导致2019年上半年油市轻微的赤字，即便是对新兴市场需求强烈冲击之后。其次，预期中国方面或出台相关政策刺激经济，从而提升亚洲地区商品需求增长，目前全球商品需求的恶化率也应该已经达到峰值，这也暗示未来几个月商品需求动能增长将显现。最后，伴随能源市场价格进一步反弹，风险是平衡的，当前的价格主要反映出市场的恐慌情绪而非基本面实施，表明对原油市场今年前景仍乐观，后市预测WTI油价将触及55-60美元/桶，布油在之后几个月触及65-70美元/桶。</w:t>
      </w:r>
    </w:p>
    <w:p>
      <w:pPr>
        <w:pStyle w:val="19"/>
        <w:keepNext w:val="0"/>
        <w:keepLines w:val="0"/>
        <w:widowControl/>
        <w:suppressLineNumbers w:val="0"/>
        <w:ind w:firstLine="560" w:firstLineChars="200"/>
        <w:rPr>
          <w:rFonts w:ascii="华文仿宋" w:hAnsi="华文仿宋" w:eastAsia="华文仿宋"/>
          <w:sz w:val="28"/>
          <w:szCs w:val="28"/>
        </w:rPr>
      </w:pPr>
    </w:p>
    <w:p>
      <w:pPr>
        <w:pStyle w:val="19"/>
        <w:keepNext w:val="0"/>
        <w:keepLines w:val="0"/>
        <w:widowControl/>
        <w:suppressLineNumbers w:val="0"/>
        <w:ind w:firstLine="602" w:firstLineChars="200"/>
        <w:rPr>
          <w:rFonts w:hint="eastAsia" w:ascii="仿宋_GB2312" w:hAnsi="宋体" w:eastAsia="仿宋_GB2312" w:cs="Arial"/>
          <w:b/>
          <w:bCs/>
          <w:kern w:val="0"/>
          <w:sz w:val="30"/>
          <w:szCs w:val="30"/>
          <w:lang w:val="en-US" w:eastAsia="zh-CN"/>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06"/>
        <w:gridCol w:w="2125"/>
        <w:gridCol w:w="1599"/>
        <w:gridCol w:w="2157"/>
        <w:gridCol w:w="22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81568202"/>
            <w:bookmarkStart w:id="24" w:name="_Toc239847715"/>
            <w:bookmarkStart w:id="25" w:name="_Toc296600812"/>
            <w:bookmarkStart w:id="26" w:name="_Toc460250405"/>
            <w:bookmarkStart w:id="27" w:name="_Toc505350009"/>
            <w:r>
              <w:rPr>
                <w:rFonts w:hint="eastAsia" w:ascii="华文仿宋" w:hAnsi="华文仿宋" w:eastAsia="华文仿宋" w:cs="华文仿宋"/>
                <w:color w:val="000000"/>
                <w:sz w:val="28"/>
                <w:szCs w:val="28"/>
                <w:lang w:val="en-US" w:eastAsia="zh-CN"/>
              </w:rPr>
              <w:t>1月10日</w:t>
            </w:r>
          </w:p>
        </w:tc>
        <w:tc>
          <w:tcPr>
            <w:tcW w:w="212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51.76美元/桶</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51.80美元/桶</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1.19</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123.238-123.333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486.75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489.25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128.770-129.431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449.35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451.85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13.33</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118.876-119.537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470.75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471.25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8.00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125.869-126.003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466.75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467.25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8.00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124.799-124.933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443.00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443.50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8.00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118.449-118.583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459.0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459.50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8.00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122.727-122.861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469.40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469.50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2.38美分/加仑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134.070-134.170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 </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内地炼石脑油市场低端价格迅速得到修复，下游备货操作加速了炼厂库存消化，但从市场资源规模来看，流通量并未出现显著减少，过剩供应仍然存在。欧美原油期货价格再度录得宽幅上涨，这刺激了成品油市场交投气氛，久违的装车盛况出现，国内地炼及煤基石脑油市场继续延续局部上推势头，与汽柴油产品相比石脑油产品购销热度偏淡，为促销部分炼厂开具普通票据，原油短线面临回调风险，国内石脑油市场短线或将回归盘整。</w:t>
      </w:r>
    </w:p>
    <w:p>
      <w:pPr>
        <w:pStyle w:val="19"/>
        <w:keepNext w:val="0"/>
        <w:keepLines w:val="0"/>
        <w:widowControl/>
        <w:suppressLineNumbers w:val="0"/>
        <w:rPr>
          <w:rFonts w:ascii="华文仿宋" w:hAnsi="华文仿宋" w:eastAsia="华文仿宋"/>
          <w:sz w:val="28"/>
          <w:szCs w:val="28"/>
        </w:rPr>
      </w:pPr>
    </w:p>
    <w:p>
      <w:pPr>
        <w:outlineLvl w:val="1"/>
        <w:rPr>
          <w:rFonts w:asciiTheme="minorEastAsia" w:hAnsiTheme="minorEastAsia" w:eastAsiaTheme="minorEastAsia"/>
          <w:b/>
          <w:sz w:val="28"/>
          <w:szCs w:val="28"/>
        </w:rPr>
      </w:pPr>
      <w:bookmarkStart w:id="28" w:name="_Toc281568203"/>
      <w:bookmarkStart w:id="29" w:name="_Toc460250406"/>
      <w:bookmarkStart w:id="30" w:name="_Toc505350010"/>
      <w:bookmarkStart w:id="31" w:name="_Toc29660081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296600814"/>
      <w:bookmarkStart w:id="33" w:name="_Toc281568204"/>
      <w:bookmarkStart w:id="34" w:name="_Toc460250407"/>
      <w:bookmarkStart w:id="35" w:name="_Toc505350011"/>
      <w:bookmarkStart w:id="36" w:name="_Toc158203132"/>
      <w:bookmarkStart w:id="37" w:name="_Toc239847719"/>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6188075" cy="5335270"/>
            <wp:effectExtent l="0" t="0" r="3175" b="17780"/>
            <wp:docPr id="634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237428455"/>
      <w:bookmarkStart w:id="39" w:name="_Toc296600816"/>
      <w:bookmarkStart w:id="40" w:name="_Toc505350012"/>
      <w:bookmarkStart w:id="41" w:name="_Toc460250408"/>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296600817"/>
      <w:bookmarkStart w:id="44" w:name="_Toc460250409"/>
      <w:bookmarkStart w:id="45" w:name="_Toc281568207"/>
      <w:bookmarkStart w:id="46" w:name="_Toc176571903"/>
      <w:bookmarkStart w:id="47" w:name="_Toc237428456"/>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rPr>
          <w:rFonts w:hint="eastAsia" w:ascii="华文仿宋" w:hAnsi="华文仿宋" w:eastAsia="华文仿宋" w:cs="华文仿宋"/>
          <w:sz w:val="28"/>
          <w:szCs w:val="28"/>
        </w:rPr>
      </w:pPr>
      <w:bookmarkStart w:id="49" w:name="_Toc505350014"/>
      <w:bookmarkStart w:id="50" w:name="_Toc460250410"/>
      <w:bookmarkStart w:id="51" w:name="_Toc296600818"/>
      <w:bookmarkStart w:id="52" w:name="_Toc180485827"/>
      <w:bookmarkStart w:id="53" w:name="_Toc369858747"/>
      <w:bookmarkStart w:id="54" w:name="_Toc281568208"/>
      <w:bookmarkStart w:id="55" w:name="_Toc296600819"/>
      <w:bookmarkStart w:id="56" w:name="_Toc281568211"/>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际原油期货持续反弹，国内成品油市场行情整体上行，各地主营单位汽柴油价格上调。与此同时，山东地炼成品油行情涨势不止，区内炼厂报价频频上调，其主流成交保持100元/吨左右优惠。具体来看出货方面：受外盘油价连涨提振，区内油市业者看涨情绪热烈，中间商囤货积极性提升，下游买家购进操作增加，因此地炼整体出货表现顺畅，库存普遍降至低位。进入下周，在消息面持续利好作用下，山东地区成品油行情有望延续上涨势头，买卖双方操作积极，市场交投气氛活跃。综上所述，预计下周山东地炼汽柴油价格稳中上涨。</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北地区主营成品油行情持续走高，其中汽油涨幅大于柴油。分析来看，周内国际油价连续推涨八天，变化率由负向转为正向区间波动，零售价调整变数较大，消息面对市场提振明显，区内主营汽柴价格开始推涨，其中汽油价格上调300-400元/吨，柴油上调250元/吨左右，加之地炼涨幅亦较大，外采成本提高下进一步加大了主营汽柴涨幅。受消息面利好提振，中下游用户入市逢低适量补仓，局部地区成交气氛明显好转，主营出货情况有一定好转。后市而言，下周国际油价偏强震荡，本轮零售价存小涨及搁浅概率，加之主营出货情况向好，或将继续追赶销售任务，因此销售政策保持灵活。预计下周华北地区汽柴行情高位波动，实际成交侧重商谈。</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南地区成品油行情大幅反弹，市场交投气氛明显回暖。具体来看，国际原油期货连续走高，变化率负向不断收窄且最终由负转正，消息方面给予有力提振。受此影响，山东地炼汽柴油价格顺势持续走高，主营外采成本不断上升。与此同时，基于买涨心态，业者入市逢低补仓，主营单位出货节奏加快，汽柴油价格持续走高，市场购销氛围相对回暖。后市来看，本轮零售价搁浅与上调概率并存，新一轮零售价面临上调可能，消息面依然利好油市，且汽油需求良好，预计下周华南汽柴油行情仍有上行空间。</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中地区汽柴行情逐渐步入上行通道，市场交投气氛好转。具体分析如下，周内国际原油连涨提振，变化率由负转正向运行，消息面指向利好，加上近期地炼各厂家报价积极调涨，带动主营汽柴价格逐渐走高，其中汽油价格上涨150-200元/吨，柴油价格上调50-100元/吨，实盘仍维持宽松优惠，其中由于汽油市场需求优于柴油，故价格涨幅较大。市场悲观情绪明显缓解，下游买涨心态渐起，部分按需补仓，交投气氛回暖。后市来看，国际原油或趋于震荡走势，零售价搁浅与窄幅上调概率并存，消息面仍存一定支撑。故预计近期内华中地区汽柴价格或较为坚挺，部分主营价格仍有上调空间。</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东地区成品油行情强势反弹，市场购销氛围好转。具体来看，国际油价连续上涨，变化率由负转正运行，消息面对华东成品油市场提振明显。山东地炼汽柴价格连续上涨，致使主营外采成本快速提升，加之下游用户“买涨”心态支撑下入市采购增多，华东各地主营汽柴价格均有上调，且汽油涨幅大于柴油。下游趁机集中入市补仓，市场交投行情一度好转，不过随着价格涨至高位且业者陆续退市消库，市场购销气氛再度转淡。后市而言，国际油价涨后或仍面临震荡走势，本轮零售价存搁浅或小涨可能，而新一轮零售价有望上调，消息面对市场仍有支撑。而下游需求或进一步转淡，主营出货量或难以匹及本周情况，故后期华东汽柴行情或仍有上涨可能，但涨幅或将受限。</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北地炼汽柴行情不断走高，市场成交气氛好转。分析来看：周内国际油价连续收涨，消息面利好持续增强，对市场心态较有支撑。此外，前期区内价格跌至低位，且随着山东地炼价格走高，对区内市场冲击减弱。业者入市补货增多，销售公司出货顺畅，汽柴库存亦有明显下滑。受此影响，周内汽柴价格不断推涨，其中汽油累积涨600元/吨，柴油累积涨500元/吨。随着汽柴价格涨至高位，业者补货亦基本到位，入市操作减量，市场成交气氛再度转淡。进入下周，国际油价或维持震荡上行，消息面仍有支撑。预计短期内西北地炼汽柴行情维持坚挺。不过，业者陆续备货到位，再度退市消库，市场成交气氛转淡。</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南地区汽柴行情跌后反弹，市场成交气氛好转。分析来看：周内国际油价连续收涨，但周初下调预期仍存，消息面对市场支撑力度有限。主营单位出货为主，部分单位价格仍有回落。之后，国际油价涨幅扩大，变化率由负转正，消息面利好持续增强。主营单位趁机推价，整体行情有所提升。市场“买涨”情绪渐起，业者入市补货增多，市场成交气氛回暖。不过，汽柴价格涨幅明显，且下游需求整体平淡，随着业者陆续备货到位，市场成交气氛再度转淡。进入下周，国际油价或将保持震荡上行，本轮零售价搁浅及小涨概率并存，消息面对市场仍有支撑，预计西南地区汽柴行情或继续走高。而下游业者备货到位之后再度退市观望，市场成交趋于平淡。</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步入下周，国际油价连续收涨，欧洲和美国的汽油库存也都处于高位，消息面亦难有支撑。需求面依旧难有改善，市场寻购计划不多。国内主营及地方炼厂均无新增检修炼厂，开工率无明显波动，市场资源供应量仍然充足。冬季部分工矿基建等企业开工略受影响，柴油需求较为平淡;汽油需求面波动不大，对整体行情亦无明显提振。下周山东地炼汽柴价格仍存下行压力，主营外采成本或降低，炼厂或将继续降价提振下游需求的积极性。多重利空因素影响下，国内汽柴油市场仍未出现实质性好转迹象，仍然看空为主。</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ascii="华文仿宋" w:hAnsi="华文仿宋" w:eastAsia="华文仿宋"/>
          <w:sz w:val="28"/>
          <w:szCs w:val="28"/>
        </w:rPr>
      </w:pPr>
    </w:p>
    <w:p>
      <w:pPr>
        <w:pStyle w:val="2"/>
        <w:spacing w:line="360" w:lineRule="auto"/>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四、国内溶剂油市场综述</w:t>
      </w:r>
      <w:bookmarkEnd w:id="49"/>
    </w:p>
    <w:bookmarkEnd w:id="50"/>
    <w:bookmarkEnd w:id="51"/>
    <w:bookmarkEnd w:id="52"/>
    <w:bookmarkEnd w:id="53"/>
    <w:bookmarkEnd w:id="54"/>
    <w:p>
      <w:pPr>
        <w:pStyle w:val="19"/>
        <w:keepNext w:val="0"/>
        <w:keepLines w:val="0"/>
        <w:widowControl/>
        <w:suppressLineNumbers w:val="0"/>
        <w:rPr>
          <w:rFonts w:hint="eastAsia" w:ascii="华文仿宋" w:hAnsi="华文仿宋" w:eastAsia="华文仿宋" w:cs="华文仿宋"/>
          <w:sz w:val="28"/>
          <w:szCs w:val="28"/>
        </w:rPr>
      </w:pPr>
      <w:bookmarkStart w:id="57" w:name="_Toc505350015"/>
      <w:bookmarkStart w:id="58" w:name="_Toc460250411"/>
      <w:r>
        <w:rPr>
          <w:sz w:val="21"/>
          <w:szCs w:val="21"/>
        </w:rPr>
        <w:t>　</w:t>
      </w:r>
      <w:r>
        <w:rPr>
          <w:rFonts w:hint="eastAsia" w:ascii="华文仿宋" w:hAnsi="华文仿宋" w:eastAsia="华文仿宋" w:cs="华文仿宋"/>
          <w:sz w:val="28"/>
          <w:szCs w:val="28"/>
          <w:lang w:eastAsia="zh-CN"/>
        </w:rPr>
        <w:t>　</w:t>
      </w:r>
      <w:r>
        <w:rPr>
          <w:rFonts w:hint="eastAsia" w:ascii="华文仿宋" w:hAnsi="华文仿宋" w:eastAsia="华文仿宋" w:cs="华文仿宋"/>
          <w:sz w:val="28"/>
          <w:szCs w:val="28"/>
        </w:rPr>
        <w:t>本周国内溶剂油市场维持稳中小涨局势。原油收盘实现五连涨，但油市走向窥见余力不足。同样山东周边汽柴交投趋向淡稳，成品油涨幅有限，使得调油料走势趋于稳定，并且东营周边据悉再起检查，侧面影响非标溶剂油买卖。不过市场连日回温加速消耗地炼低价国标资源，山东地区最后几家国标溶剂油生产企业抬高报价，若无意外周末两日成交将逐步稳定。相应主营市场走货情况持续改善，似长岭炼化橡胶溶剂油采购看旺，近期试涨50元继续试探客户能力。且目前石脑油结算价模型急剧攀升，保守估计春节之前主营金陵、扬子石化诸等炼厂不会再有下行举动。油市仍在上涨，但投机情绪似在消散，而经济放缓信号开始施加影响。上层石脑油今日走势较为保守，暂且预计周末两日调油底料维持稳中小涨局势，而国标溶剂油低价资源继续试探上移。</w:t>
      </w: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4"/>
        <w:gridCol w:w="1962"/>
        <w:gridCol w:w="1095"/>
        <w:gridCol w:w="1094"/>
        <w:gridCol w:w="1095"/>
        <w:gridCol w:w="1095"/>
        <w:gridCol w:w="1246"/>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62"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c>
          <w:tcPr>
            <w:tcW w:w="109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5560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5080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460250412"/>
      <w:bookmarkStart w:id="60" w:name="_Toc281568213"/>
      <w:bookmarkStart w:id="61" w:name="_Toc296600821"/>
      <w:bookmarkStart w:id="62" w:name="_Toc505350016"/>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9"/>
        <w:gridCol w:w="1232"/>
        <w:gridCol w:w="1233"/>
        <w:gridCol w:w="1233"/>
        <w:gridCol w:w="1232"/>
        <w:gridCol w:w="140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96600822"/>
      <w:bookmarkStart w:id="64" w:name="_Toc505350017"/>
      <w:bookmarkStart w:id="65" w:name="_Toc281568214"/>
      <w:bookmarkStart w:id="66" w:name="_Toc460250413"/>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3"/>
        <w:gridCol w:w="1656"/>
        <w:gridCol w:w="1315"/>
        <w:gridCol w:w="1113"/>
        <w:gridCol w:w="1114"/>
        <w:gridCol w:w="1083"/>
        <w:gridCol w:w="1268"/>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281568215"/>
      <w:bookmarkStart w:id="68" w:name="_Toc460250414"/>
      <w:bookmarkStart w:id="69" w:name="_Toc296600823"/>
      <w:bookmarkStart w:id="70" w:name="_Toc505350018"/>
      <w:bookmarkStart w:id="71" w:name="_Toc18048583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bookmarkStart w:id="78" w:name="_GoBack"/>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2019-1-11</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bookmarkEnd w:id="78"/>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hint="eastAsia" w:ascii="华文仿宋" w:hAnsi="华文仿宋" w:eastAsia="华文仿宋"/>
          <w:bCs w:val="0"/>
          <w:kern w:val="2"/>
          <w:sz w:val="28"/>
          <w:szCs w:val="28"/>
        </w:rPr>
      </w:pPr>
      <w:bookmarkStart w:id="72" w:name="_Toc505350019"/>
      <w:bookmarkStart w:id="73" w:name="_Toc296600824"/>
      <w:bookmarkStart w:id="74" w:name="_Toc460250415"/>
      <w:bookmarkStart w:id="75" w:name="_Toc281568216"/>
      <w:r>
        <w:rPr>
          <w:rFonts w:hint="eastAsia" w:ascii="华文仿宋" w:hAnsi="华文仿宋" w:eastAsia="华文仿宋"/>
          <w:bCs w:val="0"/>
          <w:kern w:val="2"/>
          <w:sz w:val="28"/>
          <w:szCs w:val="28"/>
        </w:rPr>
        <w:t>九、2018年</w:t>
      </w:r>
      <w:r>
        <w:rPr>
          <w:rFonts w:hint="eastAsia" w:ascii="华文仿宋" w:hAnsi="华文仿宋" w:eastAsia="华文仿宋"/>
          <w:bCs w:val="0"/>
          <w:kern w:val="2"/>
          <w:sz w:val="28"/>
          <w:szCs w:val="28"/>
          <w:lang w:val="en-US" w:eastAsia="zh-CN"/>
        </w:rPr>
        <w:t>11</w:t>
      </w:r>
      <w:r>
        <w:rPr>
          <w:rFonts w:hint="eastAsia" w:ascii="华文仿宋" w:hAnsi="华文仿宋" w:eastAsia="华文仿宋"/>
          <w:bCs w:val="0"/>
          <w:kern w:val="2"/>
          <w:sz w:val="28"/>
          <w:szCs w:val="28"/>
        </w:rPr>
        <w:t>月中国溶剂油进出口数据统计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2018年11月份中国溶剂油进出口统计数据（按产销国分）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华文仿宋"/>
          <w:sz w:val="28"/>
          <w:szCs w:val="28"/>
        </w:rPr>
      </w:pPr>
      <w:r>
        <w:rPr>
          <w:rFonts w:hint="eastAsia" w:ascii="华文仿宋" w:hAnsi="华文仿宋" w:eastAsia="华文仿宋" w:cs="华文仿宋"/>
          <w:sz w:val="28"/>
          <w:szCs w:val="28"/>
        </w:rPr>
        <w:t>(</w:t>
      </w:r>
      <w:r>
        <w:rPr>
          <w:rFonts w:hint="eastAsia" w:ascii="华文仿宋" w:hAnsi="华文仿宋" w:eastAsia="华文仿宋" w:cs="华文仿宋"/>
          <w:i w:val="0"/>
          <w:caps w:val="0"/>
          <w:color w:val="333333"/>
          <w:spacing w:val="0"/>
          <w:sz w:val="28"/>
          <w:szCs w:val="28"/>
          <w:shd w:val="clear" w:fill="FFFFFF"/>
        </w:rPr>
        <w:t>单位：吨；美元</w:t>
      </w:r>
      <w:r>
        <w:rPr>
          <w:rFonts w:hint="eastAsia" w:ascii="华文仿宋" w:hAnsi="华文仿宋" w:eastAsia="华文仿宋" w:cs="华文仿宋"/>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66" w:type="dxa"/>
        <w:tblInd w:w="-10" w:type="dxa"/>
        <w:shd w:val="clear" w:color="auto" w:fill="auto"/>
        <w:tblLayout w:type="fixed"/>
        <w:tblCellMar>
          <w:top w:w="0" w:type="dxa"/>
          <w:left w:w="0" w:type="dxa"/>
          <w:bottom w:w="0" w:type="dxa"/>
          <w:right w:w="0" w:type="dxa"/>
        </w:tblCellMar>
      </w:tblPr>
      <w:tblGrid>
        <w:gridCol w:w="1065"/>
        <w:gridCol w:w="1066"/>
        <w:gridCol w:w="1065"/>
        <w:gridCol w:w="1480"/>
        <w:gridCol w:w="1361"/>
        <w:gridCol w:w="1401"/>
        <w:gridCol w:w="1263"/>
        <w:gridCol w:w="1065"/>
      </w:tblGrid>
      <w:tr>
        <w:tblPrEx>
          <w:shd w:val="clear" w:color="auto" w:fill="auto"/>
          <w:tblLayout w:type="fixed"/>
          <w:tblCellMar>
            <w:top w:w="0" w:type="dxa"/>
            <w:left w:w="0" w:type="dxa"/>
            <w:bottom w:w="0" w:type="dxa"/>
            <w:right w:w="0" w:type="dxa"/>
          </w:tblCellMar>
        </w:tblPrEx>
        <w:trPr>
          <w:trHeight w:val="270" w:hRule="atLeast"/>
        </w:trPr>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产品</w:t>
            </w:r>
          </w:p>
        </w:tc>
        <w:tc>
          <w:tcPr>
            <w:tcW w:w="1066"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年度</w:t>
            </w:r>
          </w:p>
        </w:tc>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月度</w:t>
            </w:r>
          </w:p>
        </w:tc>
        <w:tc>
          <w:tcPr>
            <w:tcW w:w="1480"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产销国及地区</w:t>
            </w:r>
          </w:p>
        </w:tc>
        <w:tc>
          <w:tcPr>
            <w:tcW w:w="1361"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进口数量</w:t>
            </w:r>
          </w:p>
        </w:tc>
        <w:tc>
          <w:tcPr>
            <w:tcW w:w="1401"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进口金额</w:t>
            </w:r>
          </w:p>
        </w:tc>
        <w:tc>
          <w:tcPr>
            <w:tcW w:w="1263"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出口数量</w:t>
            </w:r>
          </w:p>
        </w:tc>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出口金额</w:t>
            </w:r>
          </w:p>
        </w:tc>
      </w:tr>
      <w:tr>
        <w:tblPrEx>
          <w:tblLayout w:type="fixed"/>
          <w:tblCellMar>
            <w:top w:w="0" w:type="dxa"/>
            <w:left w:w="0" w:type="dxa"/>
            <w:bottom w:w="0" w:type="dxa"/>
            <w:right w:w="0" w:type="dxa"/>
          </w:tblCellMar>
        </w:tblPrEx>
        <w:trPr>
          <w:trHeight w:val="270" w:hRule="atLeast"/>
        </w:trPr>
        <w:tc>
          <w:tcPr>
            <w:tcW w:w="106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橡胶溶剂油、油漆溶剂油、抽提溶剂油、不含有生物柴油</w:t>
            </w: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新加坡</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584</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676,913</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德国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470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525,861</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日本</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289</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389,957</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韩国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188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225,910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台湾</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38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59,916</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美国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17</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24,848</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泰国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13</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17,038</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1,564</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西班牙</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829</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以色列</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502</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柬埔寨</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8</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13,051</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香港</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124</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93,560</w:t>
            </w:r>
          </w:p>
        </w:tc>
      </w:tr>
      <w:tr>
        <w:tblPrEx>
          <w:tblLayout w:type="fixed"/>
          <w:tblCellMar>
            <w:top w:w="0" w:type="dxa"/>
            <w:left w:w="0" w:type="dxa"/>
            <w:bottom w:w="0" w:type="dxa"/>
            <w:right w:w="0" w:type="dxa"/>
          </w:tblCellMar>
        </w:tblPrEx>
        <w:trPr>
          <w:trHeight w:val="270" w:hRule="atLeast"/>
        </w:trPr>
        <w:tc>
          <w:tcPr>
            <w:tcW w:w="467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2018年11月</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1,598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1,921,774</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133</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108,175</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auto"/>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263EDE"/>
    <w:rsid w:val="099F699F"/>
    <w:rsid w:val="0BB90B94"/>
    <w:rsid w:val="0BF558B0"/>
    <w:rsid w:val="0C6F4F00"/>
    <w:rsid w:val="0CBA42B6"/>
    <w:rsid w:val="0CD07931"/>
    <w:rsid w:val="0E220EFD"/>
    <w:rsid w:val="0E300DF1"/>
    <w:rsid w:val="106000A3"/>
    <w:rsid w:val="106D2E5F"/>
    <w:rsid w:val="10C92BDE"/>
    <w:rsid w:val="11E06D1D"/>
    <w:rsid w:val="14BD6DE9"/>
    <w:rsid w:val="151B0610"/>
    <w:rsid w:val="153967D9"/>
    <w:rsid w:val="15A51265"/>
    <w:rsid w:val="1602563E"/>
    <w:rsid w:val="172042BD"/>
    <w:rsid w:val="17DF730A"/>
    <w:rsid w:val="182037F9"/>
    <w:rsid w:val="1871150E"/>
    <w:rsid w:val="193B0DD2"/>
    <w:rsid w:val="1950525E"/>
    <w:rsid w:val="19995649"/>
    <w:rsid w:val="1A4B0BD2"/>
    <w:rsid w:val="1B142ABF"/>
    <w:rsid w:val="1BB02F43"/>
    <w:rsid w:val="1C8E7E91"/>
    <w:rsid w:val="1CD92D71"/>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F3F3674"/>
    <w:rsid w:val="2F6F6534"/>
    <w:rsid w:val="2FB62CD5"/>
    <w:rsid w:val="3166404B"/>
    <w:rsid w:val="316E4BCF"/>
    <w:rsid w:val="32FB3069"/>
    <w:rsid w:val="332831C8"/>
    <w:rsid w:val="359C2633"/>
    <w:rsid w:val="35C82541"/>
    <w:rsid w:val="360A4426"/>
    <w:rsid w:val="37623BD0"/>
    <w:rsid w:val="378A2746"/>
    <w:rsid w:val="382035D9"/>
    <w:rsid w:val="390E2AE7"/>
    <w:rsid w:val="39B12B9E"/>
    <w:rsid w:val="3A2A6D06"/>
    <w:rsid w:val="3AAD4D2B"/>
    <w:rsid w:val="3BA17D0E"/>
    <w:rsid w:val="3C7F4653"/>
    <w:rsid w:val="3D5C793D"/>
    <w:rsid w:val="3DFD6225"/>
    <w:rsid w:val="3E0B15BA"/>
    <w:rsid w:val="3EC639AA"/>
    <w:rsid w:val="3FE24704"/>
    <w:rsid w:val="40C10AD3"/>
    <w:rsid w:val="427631AB"/>
    <w:rsid w:val="43A8211E"/>
    <w:rsid w:val="4464587F"/>
    <w:rsid w:val="45455C37"/>
    <w:rsid w:val="47C07043"/>
    <w:rsid w:val="4B3A5EC6"/>
    <w:rsid w:val="4D722D5E"/>
    <w:rsid w:val="4DEE463E"/>
    <w:rsid w:val="50A4483B"/>
    <w:rsid w:val="50D54E3C"/>
    <w:rsid w:val="51AF26D5"/>
    <w:rsid w:val="532F052B"/>
    <w:rsid w:val="53CB1533"/>
    <w:rsid w:val="54A90501"/>
    <w:rsid w:val="552402CA"/>
    <w:rsid w:val="55434855"/>
    <w:rsid w:val="55882EFC"/>
    <w:rsid w:val="56490C7C"/>
    <w:rsid w:val="58343EAC"/>
    <w:rsid w:val="58F33E0F"/>
    <w:rsid w:val="597E6C17"/>
    <w:rsid w:val="5B920EBC"/>
    <w:rsid w:val="5BFA6CAE"/>
    <w:rsid w:val="5D0D24D3"/>
    <w:rsid w:val="5D654113"/>
    <w:rsid w:val="5D676170"/>
    <w:rsid w:val="5DB45A4D"/>
    <w:rsid w:val="5E2A7A6D"/>
    <w:rsid w:val="5E3D22F6"/>
    <w:rsid w:val="5E9E5CF6"/>
    <w:rsid w:val="5F5A3274"/>
    <w:rsid w:val="5F5C54EB"/>
    <w:rsid w:val="5FB62CE4"/>
    <w:rsid w:val="5FDC66AB"/>
    <w:rsid w:val="60886E86"/>
    <w:rsid w:val="61426FC7"/>
    <w:rsid w:val="635A6060"/>
    <w:rsid w:val="64440A64"/>
    <w:rsid w:val="659D1EC8"/>
    <w:rsid w:val="65C42961"/>
    <w:rsid w:val="66AD6F06"/>
    <w:rsid w:val="67F355EF"/>
    <w:rsid w:val="68727AEB"/>
    <w:rsid w:val="68CB2404"/>
    <w:rsid w:val="6AE57802"/>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BAB2825"/>
    <w:rsid w:val="7C4A2B81"/>
    <w:rsid w:val="7C754D92"/>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qFormat/>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qFormat/>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qFormat/>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qFormat/>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qFormat/>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qFormat/>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文档结构图 Char"/>
    <w:basedOn w:val="20"/>
    <w:link w:val="6"/>
    <w:semiHidden/>
    <w:qFormat/>
    <w:uiPriority w:val="99"/>
    <w:rPr>
      <w:rFonts w:ascii="宋体"/>
      <w:kern w:val="2"/>
      <w:sz w:val="18"/>
      <w:szCs w:val="18"/>
    </w:rPr>
  </w:style>
  <w:style w:type="paragraph" w:styleId="180">
    <w:name w:val="List Paragraph"/>
    <w:basedOn w:val="1"/>
    <w:qFormat/>
    <w:uiPriority w:val="99"/>
    <w:pPr>
      <w:ind w:firstLine="420" w:firstLineChars="200"/>
    </w:pPr>
  </w:style>
  <w:style w:type="character" w:customStyle="1" w:styleId="181">
    <w:name w:val="font41"/>
    <w:basedOn w:val="20"/>
    <w:qFormat/>
    <w:uiPriority w:val="0"/>
    <w:rPr>
      <w:rFonts w:ascii="MS Gothic" w:hAnsi="MS Gothic" w:eastAsia="MS Gothic" w:cs="MS Gothic"/>
      <w:color w:val="000000"/>
      <w:sz w:val="20"/>
      <w:szCs w:val="20"/>
      <w:u w:val="none"/>
    </w:rPr>
  </w:style>
  <w:style w:type="character" w:customStyle="1" w:styleId="182">
    <w:name w:val="font3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2019.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'[最新溶剂油周报：山东地炼石脑油价格走势图2019.1.4.xls]溶剂油周报-石脑油价格走势图表'!$D$178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'[最新溶剂油周报：山东地炼石脑油价格走势图2019.1.4.xls]溶剂油周报-石脑油价格走势图表'!$A$179:$C$349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'[最新溶剂油周报：山东地炼石脑油价格走势图2019.1.4.xls]溶剂油周报-石脑油价格走势图表'!$D$179:$D$349</c:f>
              <c:numCache>
                <c:formatCode>@</c:formatCode>
                <c:ptCount val="17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pt idx="155" c:formatCode="General">
                  <c:v>7750</c:v>
                </c:pt>
                <c:pt idx="156" c:formatCode="General">
                  <c:v>7900</c:v>
                </c:pt>
                <c:pt idx="157" c:formatCode="General">
                  <c:v>0</c:v>
                </c:pt>
                <c:pt idx="158" c:formatCode="General">
                  <c:v>7850</c:v>
                </c:pt>
                <c:pt idx="159" c:formatCode="General">
                  <c:v>7500</c:v>
                </c:pt>
                <c:pt idx="160" c:formatCode="General">
                  <c:v>7300</c:v>
                </c:pt>
                <c:pt idx="161" c:formatCode="General">
                  <c:v>7300</c:v>
                </c:pt>
                <c:pt idx="162" c:formatCode="General">
                  <c:v>6700</c:v>
                </c:pt>
                <c:pt idx="163" c:formatCode="General">
                  <c:v>6300</c:v>
                </c:pt>
                <c:pt idx="164" c:formatCode="General">
                  <c:v>6500</c:v>
                </c:pt>
                <c:pt idx="165" c:formatCode="General">
                  <c:v>6550</c:v>
                </c:pt>
                <c:pt idx="166" c:formatCode="General">
                  <c:v>6200</c:v>
                </c:pt>
                <c:pt idx="167" c:formatCode="General">
                  <c:v>5800</c:v>
                </c:pt>
                <c:pt idx="168" c:formatCode="General">
                  <c:v>5800</c:v>
                </c:pt>
                <c:pt idx="169" c:formatCode="General">
                  <c:v>5800</c:v>
                </c:pt>
              </c:numCache>
            </c:numRef>
          </c:val>
          <c:smooth val="0"/>
        </c:ser>
        <c:ser>
          <c:idx val="10"/>
          <c:order val="1"/>
          <c:tx>
            <c:strRef>
              <c:f>'[最新溶剂油周报：山东地炼石脑油价格走势图2019.1.4.xls]溶剂油周报-石脑油价格走势图表'!$E$178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'[最新溶剂油周报：山东地炼石脑油价格走势图2019.1.4.xls]溶剂油周报-石脑油价格走势图表'!$A$179:$C$349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'[最新溶剂油周报：山东地炼石脑油价格走势图2019.1.4.xls]溶剂油周报-石脑油价格走势图表'!$E$179:$E$349</c:f>
              <c:numCache>
                <c:formatCode>@</c:formatCode>
                <c:ptCount val="17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pt idx="155" c:formatCode="General">
                  <c:v>0</c:v>
                </c:pt>
                <c:pt idx="156" c:formatCode="General">
                  <c:v>0</c:v>
                </c:pt>
                <c:pt idx="157" c:formatCode="General">
                  <c:v>0</c:v>
                </c:pt>
                <c:pt idx="158" c:formatCode="General">
                  <c:v>0</c:v>
                </c:pt>
                <c:pt idx="159" c:formatCode="General">
                  <c:v>0</c:v>
                </c:pt>
                <c:pt idx="160" c:formatCode="General">
                  <c:v>0</c:v>
                </c:pt>
                <c:pt idx="161" c:formatCode="General">
                  <c:v>0</c:v>
                </c:pt>
                <c:pt idx="162" c:formatCode="General">
                  <c:v>0</c:v>
                </c:pt>
                <c:pt idx="163" c:formatCode="General">
                  <c:v>0</c:v>
                </c:pt>
                <c:pt idx="164" c:formatCode="General">
                  <c:v>0</c:v>
                </c:pt>
                <c:pt idx="165" c:formatCode="General">
                  <c:v>0</c:v>
                </c:pt>
                <c:pt idx="166" c:formatCode="General">
                  <c:v>0</c:v>
                </c:pt>
                <c:pt idx="167" c:formatCode="General">
                  <c:v>0</c:v>
                </c:pt>
                <c:pt idx="168" c:formatCode="General">
                  <c:v>0</c:v>
                </c:pt>
                <c:pt idx="169" c:formatCode="General">
                  <c:v>0</c:v>
                </c:pt>
              </c:numCache>
            </c:numRef>
          </c:val>
          <c:smooth val="0"/>
        </c:ser>
        <c:ser>
          <c:idx val="1"/>
          <c:order val="2"/>
          <c:tx>
            <c:strRef>
              <c:f>'[最新溶剂油周报：山东地炼石脑油价格走势图2019.1.4.xls]溶剂油周报-石脑油价格走势图表'!$F$178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'[最新溶剂油周报：山东地炼石脑油价格走势图2019.1.4.xls]溶剂油周报-石脑油价格走势图表'!$A$179:$C$349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'[最新溶剂油周报：山东地炼石脑油价格走势图2019.1.4.xls]溶剂油周报-石脑油价格走势图表'!$F$179:$F$349</c:f>
              <c:numCache>
                <c:formatCode>@</c:formatCode>
                <c:ptCount val="17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pt idx="155" c:formatCode="General">
                  <c:v>7580</c:v>
                </c:pt>
                <c:pt idx="156" c:formatCode="General">
                  <c:v>7500</c:v>
                </c:pt>
                <c:pt idx="157" c:formatCode="General">
                  <c:v>7500</c:v>
                </c:pt>
                <c:pt idx="158" c:formatCode="General">
                  <c:v>7450</c:v>
                </c:pt>
                <c:pt idx="159" c:formatCode="General">
                  <c:v>7500</c:v>
                </c:pt>
                <c:pt idx="160" c:formatCode="General">
                  <c:v>7500</c:v>
                </c:pt>
                <c:pt idx="161" c:formatCode="General">
                  <c:v>6350</c:v>
                </c:pt>
                <c:pt idx="162" c:formatCode="General">
                  <c:v>6150</c:v>
                </c:pt>
                <c:pt idx="163" c:formatCode="General">
                  <c:v>6150</c:v>
                </c:pt>
                <c:pt idx="164" c:formatCode="General">
                  <c:v>0</c:v>
                </c:pt>
                <c:pt idx="165" c:formatCode="General">
                  <c:v>0</c:v>
                </c:pt>
                <c:pt idx="166" c:formatCode="General">
                  <c:v>0</c:v>
                </c:pt>
                <c:pt idx="167" c:formatCode="General">
                  <c:v>0</c:v>
                </c:pt>
                <c:pt idx="168" c:formatCode="General">
                  <c:v>0</c:v>
                </c:pt>
                <c:pt idx="169" c:formatCode="General">
                  <c:v>0</c:v>
                </c:pt>
              </c:numCache>
            </c:numRef>
          </c:val>
          <c:smooth val="0"/>
        </c:ser>
        <c:ser>
          <c:idx val="5"/>
          <c:order val="3"/>
          <c:tx>
            <c:strRef>
              <c:f>'[最新溶剂油周报：山东地炼石脑油价格走势图2019.1.4.xls]溶剂油周报-石脑油价格走势图表'!$G$178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'[最新溶剂油周报：山东地炼石脑油价格走势图2019.1.4.xls]溶剂油周报-石脑油价格走势图表'!$A$179:$C$349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'[最新溶剂油周报：山东地炼石脑油价格走势图2019.1.4.xls]溶剂油周报-石脑油价格走势图表'!$G$179:$G$349</c:f>
              <c:numCache>
                <c:formatCode>@</c:formatCode>
                <c:ptCount val="17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pt idx="155" c:formatCode="General">
                  <c:v>5620</c:v>
                </c:pt>
                <c:pt idx="156" c:formatCode="General">
                  <c:v>5750</c:v>
                </c:pt>
                <c:pt idx="157" c:formatCode="General">
                  <c:v>5600</c:v>
                </c:pt>
                <c:pt idx="158" c:formatCode="General">
                  <c:v>5570</c:v>
                </c:pt>
                <c:pt idx="159" c:formatCode="General">
                  <c:v>5570</c:v>
                </c:pt>
                <c:pt idx="160" c:formatCode="General">
                  <c:v>5270</c:v>
                </c:pt>
                <c:pt idx="161" c:formatCode="General">
                  <c:v>4960</c:v>
                </c:pt>
                <c:pt idx="162" c:formatCode="General">
                  <c:v>4960</c:v>
                </c:pt>
                <c:pt idx="163" c:formatCode="General">
                  <c:v>4370</c:v>
                </c:pt>
                <c:pt idx="164" c:formatCode="General">
                  <c:v>0</c:v>
                </c:pt>
                <c:pt idx="165" c:formatCode="General">
                  <c:v>0</c:v>
                </c:pt>
                <c:pt idx="166" c:formatCode="General">
                  <c:v>0</c:v>
                </c:pt>
                <c:pt idx="167" c:formatCode="General">
                  <c:v>0</c:v>
                </c:pt>
                <c:pt idx="168" c:formatCode="General">
                  <c:v>0</c:v>
                </c:pt>
                <c:pt idx="169" c:formatCode="General">
                  <c:v>0</c:v>
                </c:pt>
              </c:numCache>
            </c:numRef>
          </c:val>
          <c:smooth val="0"/>
        </c:ser>
        <c:ser>
          <c:idx val="6"/>
          <c:order val="4"/>
          <c:tx>
            <c:strRef>
              <c:f>'[最新溶剂油周报：山东地炼石脑油价格走势图2019.1.4.xls]溶剂油周报-石脑油价格走势图表'!$H$178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'[最新溶剂油周报：山东地炼石脑油价格走势图2019.1.4.xls]溶剂油周报-石脑油价格走势图表'!$A$179:$C$349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pt idx="168" c:formatCode="yyyy/m/d">
                  <c:v>43469</c:v>
                </c:pt>
                <c:pt idx="169" c:formatCode="yyyy/m/d">
                  <c:v>43469</c:v>
                </c:pt>
              </c:numCache>
            </c:numRef>
          </c:cat>
          <c:val>
            <c:numRef>
              <c:f>'[最新溶剂油周报：山东地炼石脑油价格走势图2019.1.4.xls]溶剂油周报-石脑油价格走势图表'!$H$179:$H$349</c:f>
              <c:numCache>
                <c:formatCode>General</c:formatCode>
                <c:ptCount val="17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4500</c:v>
                </c:pt>
                <c:pt idx="165">
                  <c:v>4500</c:v>
                </c:pt>
                <c:pt idx="166">
                  <c:v>4500</c:v>
                </c:pt>
                <c:pt idx="167">
                  <c:v>4500</c:v>
                </c:pt>
                <c:pt idx="168">
                  <c:v>4500</c:v>
                </c:pt>
                <c:pt idx="169">
                  <c:v>5600</c:v>
                </c:pt>
              </c:numCache>
            </c:numRef>
          </c:val>
          <c:smooth val="0"/>
        </c:ser>
        <c:dLbls>
          <c:showLegendKey val="0"/>
          <c:showVal val="0"/>
          <c:showCatName val="0"/>
          <c:showSerName val="0"/>
          <c:showPercent val="0"/>
          <c:showBubbleSize val="0"/>
        </c:dLbls>
        <c:marker val="0"/>
        <c:smooth val="0"/>
        <c:axId val="555360468"/>
        <c:axId val="880863845"/>
      </c:lineChart>
      <c:dateAx>
        <c:axId val="555360468"/>
        <c:scaling>
          <c:orientation val="minMax"/>
          <c:max val="43476"/>
          <c:min val="43111"/>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80863845"/>
        <c:crossesAt val="2000"/>
        <c:auto val="1"/>
        <c:lblOffset val="100"/>
        <c:baseTimeUnit val="days"/>
        <c:majorUnit val="1"/>
        <c:majorTimeUnit val="months"/>
        <c:minorUnit val="1"/>
        <c:minorTimeUnit val="months"/>
      </c:dateAx>
      <c:valAx>
        <c:axId val="880863845"/>
        <c:scaling>
          <c:orientation val="minMax"/>
          <c:max val="85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55360468"/>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4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35</TotalTime>
  <ScaleCrop>false</ScaleCrop>
  <LinksUpToDate>false</LinksUpToDate>
  <CharactersWithSpaces>18114</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Administrator</cp:lastModifiedBy>
  <dcterms:modified xsi:type="dcterms:W3CDTF">2019-01-11T06:49:10Z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