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11</w:t>
                            </w:r>
                            <w:r>
                              <w:rPr>
                                <w:rFonts w:hint="eastAsia"/>
                                <w:kern w:val="2"/>
                              </w:rPr>
                              <w:t>.</w:t>
                            </w:r>
                            <w:r>
                              <w:rPr>
                                <w:rFonts w:hint="eastAsia"/>
                                <w:kern w:val="2"/>
                                <w:lang w:val="en-US" w:eastAsia="zh-CN"/>
                              </w:rPr>
                              <w:t>23</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11</w:t>
                      </w:r>
                      <w:r>
                        <w:rPr>
                          <w:rFonts w:hint="eastAsia"/>
                          <w:kern w:val="2"/>
                        </w:rPr>
                        <w:t>.</w:t>
                      </w:r>
                      <w:r>
                        <w:rPr>
                          <w:rFonts w:hint="eastAsia"/>
                          <w:kern w:val="2"/>
                          <w:lang w:val="en-US" w:eastAsia="zh-CN"/>
                        </w:rPr>
                        <w:t>23</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460250400"/>
      <w:bookmarkStart w:id="5" w:name="_Toc296600805"/>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3"/>
        <w:gridCol w:w="918"/>
        <w:gridCol w:w="918"/>
        <w:gridCol w:w="6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46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2018-11-21</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54.63</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63.48</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当天国际油价上涨，也有一定的技术性超跌反弹因素。受供大于求担忧影响，20日国际油价大跌，纽约和布伦特原油期货价格跌幅均超过6%。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2018-11-20</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53.43</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62.53</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近期投资者对国际原油市场供大于求的担忧持续升温。20日，美国股市再次大跌进一步加剧了投资者担忧情绪，国际油价因此承压重挫。美元走强也降低了以美元计价的石油的投资吸引力。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56.76</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66.79</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美元走弱提高了以美元计价的石油的投资吸引力，助推油价当天上涨。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56.46</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66.76</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欧佩克将于12月在维也纳召开会议商讨今后半年的生产政策。市场预计，欧佩克将在这次会议上达成减产协议。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56.46</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66.62</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美国能源信息局15日公布的数据显示，上周美国商业原油库存环比增加1030万桶，达到4.421亿桶，比最近5年平均水平高5%。</w:t>
            </w:r>
          </w:p>
        </w:tc>
      </w:tr>
    </w:tbl>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390515" cy="3639185"/>
            <wp:effectExtent l="0" t="0" r="63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90515" cy="363918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96600809"/>
      <w:bookmarkStart w:id="12" w:name="_Toc28156819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r>
        <w:rPr>
          <w:sz w:val="21"/>
          <w:szCs w:val="21"/>
        </w:rPr>
        <w:t>　</w:t>
      </w:r>
      <w:r>
        <w:rPr>
          <w:rFonts w:hint="eastAsia"/>
          <w:sz w:val="21"/>
          <w:szCs w:val="21"/>
          <w:lang w:val="en-US" w:eastAsia="zh-CN"/>
        </w:rPr>
        <w:t xml:space="preserve">  </w:t>
      </w:r>
      <w:r>
        <w:rPr>
          <w:rFonts w:hint="eastAsia" w:ascii="华文仿宋" w:hAnsi="华文仿宋" w:eastAsia="华文仿宋" w:cs="宋体"/>
          <w:kern w:val="0"/>
          <w:sz w:val="28"/>
          <w:szCs w:val="28"/>
          <w:lang w:val="en-US" w:eastAsia="zh-CN" w:bidi="ar-SA"/>
        </w:rPr>
        <w:t xml:space="preserve"> 美国能源信息署(EIA)周四公布周度数据显示，上周美国原油库存连增9周，创2017年3月以来最长连涨纪录，同时产量继续维持在纪录高位不变。截至11月16日当周，美国原油库存增加485.1万桶至4.469亿桶，连续9周录得增长，增加至2017年12月初以来最高水平且创2017年3月以来最长连涨纪录。美国精炼油库存减少7.7万桶，连续9周录得下滑。美国汽油库存减少129.5万桶，降至2017年12月以来最低水平。美国API行业版原油库存结束之前连增四周的趋势美国11月16日当周API原油库存 -154.5万桶，前值 +879万桶。美国11月16日当周API库欣地区原油库存 +39.8万桶，前值 +307万桶。美国11月16日当周API汽油库存 +70.6万桶，前值 +18.8万桶。美国11月16日当周API精炼油库存 -183.2万桶，前值 -322.4万桶。</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周三(11月21日)美市盘中，油价大幅反弹，收复了前一天6%的部分跌幅。</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全球基准布伦特原油上涨1.95美元，涨幅约达3%，至64.48美元/桶。上一交易日，布伦特原油价格跌至2017年12月以来的低点。</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美国西德克萨斯中质原油上涨2.40美元，或逾4%，报55.83美元/桶。周二，西德克萨斯中质原油价格触及2017年10月以来的最低水平。</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但周三的反弹几乎没有扭转市场整体疲软的局面。由于投资者越来越担心经济增长前景，原油价格在前一交易日暴跌，全球股市暴跌。</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自10月3日触及4年高点86.74美元以来，布伦特原油价格已下跌逾25%，反映出对2019年需求放缓以及沙特阿拉伯、俄罗斯和美国原油供应创纪录预期的担忧。</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“昨日的走势非常剧烈，继类似走势之后回预期出现一些反弹，”Petromatrix分析师Olivier Jakob表示。</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瑞穗银行高级经济学家Vishnu Varathan表示，周三油价上涨是受到情绪的驱动，可能是市场对隔夜油价暴跌过度反应的修正，逢低买入和沙特提及的减产问题也在周三油价上涨中扮演了重要作用。</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周三，在政府数据显示美国原油库存跳升后，油价一度回吐涨幅。</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据美国能源情报署(U.S。 Energy Information Administration)报告，截至11月16日当周，美国商业原油库存增加了490万桶。美国石油协会周二表示，美国原油库存减少150万桶。</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有分析指出，EIA数据显示汽油和柴油的需求强劲，汽油库存降至2017年12月以来的最低水平，库欣地区原油库存九周来首次录得下降，推动油价上涨;能源对冲基金Again Capital合伙人John Kilduff表示，EIA报告虽然显示库存增加，不过精炼产品库存减少和炼油厂活动大幅增加可能预示着近期一系列看跌情绪的结束。</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由于担心可能出现新的供应过剩，欧佩克在增加产量几个月后，正在谈论一个180度大转弯。</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知情人士称，OPEC、俄罗斯和其他非OPEC产油国正考虑在12月6日的会议上每日减产100万桶至140万桶。</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据香港信报，纽约期油价格升幅突然扩至超过4%，市场憧憬下月初产油国会议或达成减产协议，对油价有支持。</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分析师称，尽管如此，沙特可能会发现，在美国压低油价的压力下，更难采取行动支撑油价。美国总统特朗普周三称赞沙特阿拉伯帮助降低油价。</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在特朗普周二承诺成为沙特阿拉伯“坚定的合作伙伴”后，利雅得可能会更倾向于听从美国的要求。此前特朗普曾表示，沙特王储穆罕默德·本·萨勒曼可能知道有人计划谋杀记者卡舒吉。</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Jakob说：“如果美国总统全力支持沙特阿拉伯，并要求沙特保持低油价，预计石油供应减少就更难了。”</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JBC能源公司的分析人士说，特朗普的声明“凸显了产量大幅削减可能给沙特自身带来的政治影响”。</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keepNext w:val="0"/>
        <w:keepLines w:val="0"/>
        <w:widowControl/>
        <w:suppressLineNumbers w:val="0"/>
        <w:jc w:val="left"/>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从出口导向到进出口并重的转变，是中国从贸易大国到经济强国的突破。在当下，扩大进口对于中国来说是居民和企业的福祉，对世界来说更是全球贸易的助推。</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首届中国国际进口博览会(以下简称进博会)吸引172个国家、地区和国际组织参会，这是中国着眼于推动更高层次对外开放的举措，显示了主动把握经济全球化重要趋势的眼光。</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开放是经济全球化亘古不变的命题。进博会无疑释放出了中国在经济发展的下一阶段稳开放的信号，也是中国从出口国向均衡国、经济强国升级的关键转折点。那么开放进口对于居民、企业单位及世界贸易而言究竟有何现实意义?</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进博会的选择有何考量?</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作为世界出口大国，中国选择在这一时点举办进博会体现了改善出口驱动乏力现状的决心。</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自改革开放以来，中国凭借强劲的出口势头，打出了“世界工厂”这一招牌，成为公认的出口大国，并带动了经济总量的迅速增长。2017年我国对外贸易总额为27.8万亿元，规模位居全球第一，相较于1979年的454亿元有了质的飞跃。</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但近年来，净出口对于中国经济的拉力相对不足。自2009年净出口对GDP增长贡献率为负起，持续处于低位(如图2)，国家统计局发言人表示，2018前三季度贡献率为负9.8%，依靠出口拉动经济这一渠道正逐步收紧。</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在出口驱动因素乏力这一背景下，通过深入解读当前进出口结构及变化趋势，了解扩大进口、对外开放如何切实影响居民生活水平、企业营商环境及世界经济整体发展具有重要意义。</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出口国别集中，高新技术产品增多</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从2000年起，中国一半以上的出口集中于发达国家，其中美、欧、日占主导地位(如图3)。据海关总署数据显示，2018年9月，中国对美、欧、日的出口份额总计为43%。</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然而，对少数国家的集中依赖降低了对外出口抵抗风险的能力。如图3，2007年起由于美国金融危机的影响，对美出口贸易被欧洲大幅反超，对总量的滞后效应在两年后开始显现，表现为2009年的出口总额不升反降。2012年欧债危机爆发后，对欧出口下降，对外出口增长显著放缓。</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中国出口产品结构持续优化，从劳动密集型为主逐步转向高新技术型为主。据海关总署数据，2003年高新技术出口首次超过劳动密集型，且在2004年达到出口总额的30%。近几年来，高新技术产品出口占比持续维持高位，而纺织等劳动密集型产品下降到5%左右也趋于平稳。</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口产品倾重于高附加值的结构决定了输出国的选择相对有限，通常围绕消费能力较强的发达国家，而这一国别构成又难以规避因输出国产生危机的连带风险。因此不论从经济刺激层面还是风险控制层面来看，出口为主的经济增长模式亟待改变。</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进口基础原料减少，高端消费品增加</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如图5，受基建及房地产投资产业下行的影响，2010年代表产品铁矿砂及其精矿进口开始呈现下跌趋势，与此同时，以坚果、医疗等为代表的高端消费品进口增速较快，凸显出国内消费能力的增强和消费结构的升级。</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服务贸易逆差，服务供给存在增长空间</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如图6，从总体规模上看，中国进出口总额呈现急速增长的趋势，但同时也要看到，贸易顺差逐年扩大，进出口结构稍显失衡。</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聚焦消费端，在服务贸易层面上，据商务部数据显示，2017年中国服务贸易进出口总额达46991亿元，位居全球第二位。与总贸易状况相反，服务贸易处于逆差阶段，且近年来差距也逐步扩大(如图7)。2017年仅旅行(境外旅游、医疗、留学)逆差额就达到了14595亿元。这反映出在消费升级的背景下，国内产业供给与需求存在结构错配，服务业供给不足，进口成为满足消费需求的重要渠道。</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扩大进口是我国稳开放的试金石</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以出口为主的增长模式刺激乏力且存在系统性风险，进口端产品结构的转变与服务贸易逆差现状预示着产业与消费双升级的趋势，进出口结构的改善成为迎合当前经济形势的必然选择。</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扩大进口促进消费升级</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扩大进口的意义很大程度上作用在消费端。消费作为拉动经济的“三架马车”之一在国民经济的重要性愈发凸显，而在历史经验中，进口与消费往往呈现相辅相成，共同促进的关系。</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世界经验来看，消费成为驱动增长的核心动力不仅是经济发展的规律，也是提高国民幸福感的必经途径。美国作为世界上第一大经济体，消费占GDP的比重持续保持在70%以上，几年来甚至超过80%(如图)。改革开放以来中国的经济结构已然发生变化，消费在国民经济增长贡献率超过50%(如图9)，成为推动经济发展的核心内生动力。</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从国内历史经验来看，历次消费升级与扩大进口关系紧密。消费升级包括规模的扩张与结构的演进，与国民生活质量息息相关。改革开放至今，我国经历的四次消费升级，其背后都有开放进口的推动作用。</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究其内因，扩大进口主要从三个方面有效引导消费升级。其一，丰富消费清单满足多元化需求。从国际贸易理论的角度，提升消费者福利的重要渠道之一是扩大消费者的选择范围，降低成本，满足多样化的消费需求，从而提升消费者效用，扩大进口在很大程度上是对国内消费市场的有效补充。</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其二，利用后发优势促进产业升级。先进产品的引进天然具有正面的技术外溢效应，通过学习参考降低产业升级门槛和研发风险成本。</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其三，加剧市场竞争激发研发创新。进口商品的涌入在短期内给国内厂商带来较大压力，但长期会形成“倒逼效应”，通过提高技术研发的积极性，在供给端实现优化商品质量的目标。</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中国消费者对进口商品需求旺盛，据商务部《主要消费品供需状况调查分析报告》显示，20%以上的消费者在购买进口商品上的支出超过总支出30%。对于消费端而言，扩大进口对于填补现有需求空缺的意义是显然的。</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扩大进口提升企业效率</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从全球价值链的角度看，“中国制造”背后的中国制造业实际上大多仍处于全球价值链的下游，仅能获取所在价值链上附加值的小部分。美联储经济学家Galina Hale曾就这一问题展开研究，研究发现，美国消费者每在“中国制造”的商品上消费1美元，就有平均55美分流向了本土的服务业，在服装和鞋等劳动力密集型的商品上，这一比例上升至61%。</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利用WTO与OECD联合推出的附加值贸易测算法对各国出口在全球价值链中获取的附加值进行测算。如图12所示，中国与主要贸易伙伴的出口附加值对比中存在极大劣势，仅超过印度。</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给企业带来迈向价值链更高位置的机会。首先，进口可以带动比进口商品附加值更高的服务业的发展。另外，批发零售相对于加工制造而言，在全球价值链属于高附加值的领域，进口非技术产品将给企业带来远超过制造环节的利润。</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再者，扩大进口在技术和设备层面也对中国企业进军高新技术制造业和服务业领域提供支持。更多先进技术和设备进入国内是提高实体经济水平的需求、是产业革新的需求，也是提升社会整体生产率的需求。</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扩大进口激发贸易活力</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2018年，全球贸易环境不确定性增大，贸易增长环比出现明显下降。如图13，相较于2017全球贸易增长率4.7%，2018年第二季度情况不佳，出现负增长及区域性不均衡。</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在全球贸易增长脆弱性上升的当下，急需新动力的注入和潜力市场的挖掘，而中国的到来可以说是全球贸易困局的曙光。中国市场扩大进口意味着扩大对外需求，对全球贸易的可持续增长提供坚实的保障。</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2014年签署自由贸易协定以来，其落实性正逐步下降，全球贸易保护主义和单边行动主义抬头，对全球贸易的良性发展具有不低的破坏力。建立全球产业链是符合市场规律的现实体现，也是全球贸易扩大、世界经济增长的根基。</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根据习近平总书记在进博会上的发言，预计未来15年内，中国进口商品和服务将分别超过30万亿美元和15万亿美元，与2017年全球商品进口总额17万亿美元、服务5万亿美元相比是飞跃式的进展，中国市场规模潜力的释放将为疲软的全球贸易提供新的机遇。</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扩大进口意味着从贸易大国走向经济强国</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在我国对外开放的历史中，出口为主的战略指导了长时间的对外贸易实践。经验表明，出口大国是一般意义的贸易大国，但加工制造的出口对提升全球贸易话语权的作用有限。</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进口大国处于全球价值链的上游，这将极大提升本国企业在贸易中的定价权和话语权。同时，进口意味着国内消费市场的完善，也推动了金融、航运、保险、信息等服务业的发展。消费国在国际分工体系中具有天然的需求推动优势，中国凭借巨大的进口量可以扩大世界对中国的依赖，从而构建以自身为中心的世界产业分工体系，是介入并引领全球经济治理的巨大契机。</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从出口导向到进出口并重的转变，是中国从贸易大国到经济强国的突破。在当下，扩大进口对于中国来说是居民和企业的福祉，对世界来说更是全球贸易的助推。</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在面对外部对于中国市场经济地位、对外开放的质疑，主动求变时候中国对世界的回应，也体现了积极参与全球经济治理的大国担当。</w:t>
      </w: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53.43</w:t>
      </w:r>
      <w:r>
        <w:rPr>
          <w:rFonts w:ascii="华文仿宋" w:hAnsi="华文仿宋" w:eastAsia="华文仿宋"/>
          <w:sz w:val="28"/>
          <w:szCs w:val="28"/>
        </w:rPr>
        <w:t>-</w:t>
      </w:r>
      <w:r>
        <w:rPr>
          <w:rFonts w:hint="eastAsia" w:ascii="华文仿宋" w:hAnsi="华文仿宋" w:eastAsia="华文仿宋"/>
          <w:sz w:val="28"/>
          <w:szCs w:val="28"/>
          <w:lang w:val="en-US" w:eastAsia="zh-CN"/>
        </w:rPr>
        <w:t>56.76</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62.53</w:t>
      </w:r>
      <w:r>
        <w:rPr>
          <w:rFonts w:ascii="华文仿宋" w:hAnsi="华文仿宋" w:eastAsia="华文仿宋"/>
          <w:sz w:val="28"/>
          <w:szCs w:val="28"/>
        </w:rPr>
        <w:t>-</w:t>
      </w:r>
      <w:r>
        <w:rPr>
          <w:rFonts w:hint="eastAsia" w:ascii="华文仿宋" w:hAnsi="华文仿宋" w:eastAsia="华文仿宋"/>
          <w:sz w:val="28"/>
          <w:szCs w:val="28"/>
          <w:lang w:val="en-US" w:eastAsia="zh-CN"/>
        </w:rPr>
        <w:t>66.76</w:t>
      </w:r>
      <w:r>
        <w:rPr>
          <w:rFonts w:ascii="华文仿宋" w:hAnsi="华文仿宋" w:eastAsia="华文仿宋"/>
          <w:sz w:val="28"/>
          <w:szCs w:val="28"/>
        </w:rPr>
        <w:t>美元/桶震荡</w:t>
      </w:r>
      <w:r>
        <w:rPr>
          <w:rFonts w:hint="eastAsia" w:ascii="华文仿宋" w:hAnsi="华文仿宋" w:eastAsia="华文仿宋"/>
          <w:sz w:val="28"/>
          <w:szCs w:val="28"/>
          <w:lang w:eastAsia="zh-CN"/>
        </w:rPr>
        <w:t>。</w:t>
      </w:r>
      <w:r>
        <w:rPr>
          <w:rFonts w:ascii="华文仿宋" w:hAnsi="华文仿宋" w:eastAsia="华文仿宋"/>
          <w:sz w:val="28"/>
          <w:szCs w:val="28"/>
        </w:rPr>
        <w:t>周内抛售恐慌刺激市场对需求面忧虑加重，原油供应过剩担忧再度升温令油价承压，国际油价受重挫全面下跌。周内前期，虽然石油输出国组织(OPEC)和非OPEC产油国计划减产至多140万桶/日的消息为原油市场带来提振，但目前油市整体依然处于供应过剩局面，限制了油价的涨幅，多头还需等待更多的利好出现，国际油价小幅上涨;周内后期，股市暴跌令风险情绪惨遭重创，同时市场担心经济放缓将会拖累原油需求表现，而俄罗斯减产态度模棱两可更加重了市场的悲观情绪，原油价格崩跌至一年来低位，随后，虽然美国原油库存连续九周上升，但市场悲观情绪改善有效支撑油价，多头开始重新进场，国际油价周线下跌。此外，美国油服公司贝克休斯(Baker Hughes)周三(11月21日)公布数据显示，截至11月23日当周，美国石油活跃钻井数减少3座至885座，三周来首次录得下滑。美国石油钻井总数在10月共增加了12个，为今年5月以来最大的月度涨幅。更多数据显示，截至11月2日当周美国石油和天然气活跃钻井总数减少3座至1079座。整体看来，周内国际原油市场中利空消息占据主导地位，国际油价整体呈现宽幅下跌走势。其中WTI期货本周均价55.55美元/桶，较上周下跌5.12%，较上月下跌21.50%;本周布伦特期货均价65.24美元/桶，较上周下跌4.78%，较上月下跌19.09%。后市预测：目前国际原油市场中供需关系依旧处于偏空状态，一方面，美国EIA原油库存持续增加，沙特产量再刷新高，沙特的高产现状，下游的回暖乏力，同时特朗普的利空言论激烈，加之伊朗制裁后但伊朗的供应不受限等利空因素令油价承压;另一方面，虽然后期OPEC会议或达成减产，会令市场悲观情绪得到一定缓解，但在此之前市场倾向于观望，即便减产协议达成，可减产额度也令市场谨慎情绪蔓延。此外，全球经济放缓，股市疲软令国际原油需求面总体疲弱。综合来看，近期国际原油市场仍是利空消息占据主导，持续性涨势不被看好，国际油价或延续小幅下跌走势。后市预测：预计近期WTI原油期货价格在52-57美元/桶之间浮动，布伦特原油期货均价在62-67美元/桶之间浮动。</w:t>
      </w: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6"/>
        <w:gridCol w:w="2125"/>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460250405"/>
            <w:bookmarkStart w:id="25" w:name="_Toc505350009"/>
            <w:bookmarkStart w:id="26" w:name="_Toc281568202"/>
            <w:bookmarkStart w:id="27" w:name="_Toc239847715"/>
            <w:r>
              <w:rPr>
                <w:rFonts w:hint="eastAsia" w:ascii="华文仿宋" w:hAnsi="华文仿宋" w:eastAsia="华文仿宋" w:cs="华文仿宋"/>
                <w:color w:val="000000"/>
                <w:sz w:val="28"/>
                <w:szCs w:val="28"/>
                <w:lang w:val="en-US" w:eastAsia="zh-CN"/>
              </w:rPr>
              <w:t>11月22日</w:t>
            </w:r>
          </w:p>
        </w:tc>
        <w:tc>
          <w:tcPr>
            <w:tcW w:w="212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新加坡</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53.42</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53.46</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-0.53</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127.190-127.286</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日本</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498.250</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500.50</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131.812-132.407</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阿拉伯海湾</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470.87</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473.12</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-4.65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124.569-125.164</w:t>
            </w:r>
          </w:p>
        </w:tc>
      </w:tr>
      <w:tr>
        <w:tblPrEx>
          <w:tblLayout w:type="fixed"/>
          <w:tblCellMar>
            <w:top w:w="0" w:type="dxa"/>
            <w:left w:w="0" w:type="dxa"/>
            <w:bottom w:w="0" w:type="dxa"/>
            <w:right w:w="0" w:type="dxa"/>
          </w:tblCellMar>
        </w:tblPrEx>
        <w:trPr>
          <w:trHeight w:val="67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478.25</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478.75</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-8.25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127.874-128.008</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鹿特丹船货价</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474.25</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474.75</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-8.25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126.805-126.939</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地中海离岸价</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457.00</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457.50</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-8.25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122.193-122.326</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热那亚到岸价</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469.50</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470.00</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-8.25</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125.535-125.668</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美国墨西哥湾</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lang w:val="en-US"/>
              </w:rPr>
              <w:t>-</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r>
      <w:tr>
        <w:tblPrEx>
          <w:tblLayout w:type="fixed"/>
          <w:tblCellMar>
            <w:top w:w="0" w:type="dxa"/>
            <w:left w:w="0" w:type="dxa"/>
            <w:bottom w:w="0" w:type="dxa"/>
            <w:right w:w="0" w:type="dxa"/>
          </w:tblCellMar>
        </w:tblPrEx>
        <w:trPr>
          <w:trHeight w:val="285" w:hRule="atLeast"/>
        </w:trPr>
        <w:tc>
          <w:tcPr>
            <w:tcW w:w="1806"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加勒比海</w:t>
            </w:r>
          </w:p>
        </w:tc>
        <w:tc>
          <w:tcPr>
            <w:tcW w:w="2125"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auto" w:sz="2" w:space="0"/>
              <w:left w:val="single" w:color="auto" w:sz="2" w:space="0"/>
              <w:bottom w:val="single" w:color="auto" w:sz="2" w:space="0"/>
              <w:right w:val="single" w:color="auto" w:sz="2"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pPr>
      <w:r>
        <w:rPr>
          <w:sz w:val="21"/>
          <w:szCs w:val="21"/>
        </w:rPr>
        <w:t>　</w:t>
      </w:r>
      <w:r>
        <w:rPr>
          <w:rFonts w:hint="eastAsia"/>
          <w:sz w:val="21"/>
          <w:szCs w:val="21"/>
          <w:lang w:val="en-US" w:eastAsia="zh-CN"/>
        </w:rPr>
        <w:t xml:space="preserve">  </w:t>
      </w:r>
      <w:r>
        <w:rPr>
          <w:rFonts w:hint="eastAsia" w:ascii="华文仿宋" w:hAnsi="华文仿宋" w:eastAsia="华文仿宋"/>
          <w:sz w:val="28"/>
          <w:szCs w:val="28"/>
          <w:lang w:val="en-US" w:eastAsia="zh-CN"/>
        </w:rPr>
        <w:t xml:space="preserve"> </w:t>
      </w:r>
      <w:r>
        <w:rPr>
          <w:rFonts w:ascii="华文仿宋" w:hAnsi="华文仿宋" w:eastAsia="华文仿宋"/>
          <w:sz w:val="28"/>
          <w:szCs w:val="28"/>
        </w:rPr>
        <w:t>本周国内地炼石脑油市场大范围修正，高端价位继续松动下行贴近市场实际成交</w:t>
      </w:r>
      <w:r>
        <w:rPr>
          <w:rFonts w:hint="eastAsia" w:ascii="华文仿宋" w:hAnsi="华文仿宋" w:eastAsia="华文仿宋"/>
          <w:sz w:val="28"/>
          <w:szCs w:val="28"/>
          <w:lang w:eastAsia="zh-CN"/>
        </w:rPr>
        <w:t>。</w:t>
      </w:r>
      <w:r>
        <w:rPr>
          <w:rFonts w:ascii="华文仿宋" w:hAnsi="华文仿宋" w:eastAsia="华文仿宋"/>
          <w:sz w:val="28"/>
          <w:szCs w:val="28"/>
        </w:rPr>
        <w:t>国际原油期货市场受逢低吸纳支撑无视美国原油库存连增九周的利空宽幅回涨，这给予国内地炼石脑油市场积极支撑，石脑油价格正在试图再次推涨脱离价格底部。恒源石化、菏泽玉皇窄幅上推出厂报盘，市场正在密切关注成交动态，因当前下游市场库存水平偏低，若外围原油能够施加支撑，则石脑油成交均线有可能快速蹿升，因部分主力炼厂完税资源库存不高，但原油上涨潜能不足，而且中石化石脑油结算价格预期下跌幅度继续拉宽，这均将拖累国内地炼及煤基石脑油价格。</w:t>
      </w:r>
    </w:p>
    <w:p>
      <w:pPr>
        <w:pStyle w:val="19"/>
        <w:keepNext w:val="0"/>
        <w:keepLines w:val="0"/>
        <w:widowControl/>
        <w:suppressLineNumbers w:val="0"/>
      </w:pP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96600813"/>
      <w:bookmarkStart w:id="29" w:name="_Toc460250406"/>
      <w:bookmarkStart w:id="30" w:name="_Toc28156820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2018-11-23</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4960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239847719"/>
      <w:bookmarkStart w:id="37" w:name="_Toc158203132"/>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905"/>
            <wp:effectExtent l="0" t="0" r="3175" b="17145"/>
            <wp:docPr id="63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505350012"/>
      <w:bookmarkStart w:id="39" w:name="_Toc460250408"/>
      <w:bookmarkStart w:id="40" w:name="_Toc296600816"/>
      <w:bookmarkStart w:id="41" w:name="_Toc237428455"/>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460250409"/>
      <w:bookmarkStart w:id="44" w:name="_Toc281568207"/>
      <w:bookmarkStart w:id="45" w:name="_Toc296600817"/>
      <w:bookmarkStart w:id="46" w:name="_Toc237428456"/>
      <w:bookmarkStart w:id="47" w:name="_Toc176571903"/>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ind w:firstLine="560" w:firstLineChars="200"/>
        <w:rPr>
          <w:rFonts w:ascii="华文仿宋" w:hAnsi="华文仿宋" w:eastAsia="华文仿宋"/>
          <w:sz w:val="28"/>
          <w:szCs w:val="28"/>
        </w:rPr>
      </w:pPr>
      <w:bookmarkStart w:id="49" w:name="_Toc505350014"/>
      <w:bookmarkStart w:id="50" w:name="_Toc180485827"/>
      <w:bookmarkStart w:id="51" w:name="_Toc296600818"/>
      <w:bookmarkStart w:id="52" w:name="_Toc460250410"/>
      <w:bookmarkStart w:id="53" w:name="_Toc281568208"/>
      <w:bookmarkStart w:id="54" w:name="_Toc369858747"/>
      <w:bookmarkStart w:id="55" w:name="_Toc296600819"/>
      <w:bookmarkStart w:id="56" w:name="_Toc281568211"/>
      <w:r>
        <w:rPr>
          <w:rFonts w:ascii="华文仿宋" w:hAnsi="华文仿宋" w:eastAsia="华文仿宋"/>
          <w:sz w:val="28"/>
          <w:szCs w:val="28"/>
        </w:rPr>
        <w:t>本周，国际原油期价震荡走低，国内成品油市场购销氛围清淡，华北地区主营汽柴油价格下调。与此同时，山东地区成品油行情弱势下行，各炼厂报价频频走低且成交保持100元/吨以上优惠。具体来看出货方面：周初，外盘油价连续小涨对区内油市略有提振，下游用户询价采购积极性提升。临近周末，原油宽幅震荡施压油市，买卖双方操作热情转淡，市场观望气氛浓厚。进入下周，国际原油期货保持疲软震荡的态势。WTI运行区间在53-57(均值55)美元/桶之间。在消息面利空打压下，山东地区成品油行情涨势难起，下游买家跟进意向低迷，而地炼方面为减轻库压仍将采取促销策略。综上所述，预计下周山东地炼汽柴油价格继续承压。</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北地区主营成品油行情大幅下跌，市场购销气氛持淡。分析来看，上周五(11月16日)零售价兑现下调，且幅度刷新近四年新低，市场悲观气氛蔓延，国内主营汽柴价格大幅跟跌，汽油价格下跌500-600元/吨，柴油价格下调350元/吨左右。随后国际油价区间震荡，新一轮变化率负向区间延伸，多重因素作用下汽柴行情跌势延续，且成交商谈空间宽松。由于市场难寻利好提振，中间商多消耗自身库存，采购积极性持低，市场成交多小单刚需为主。后市而言，国际油价低位波动，本轮零售价下调无悬念，利空因素持续加码。此外，下周为本月最后一销售周期，主营单位多以追赶销售任务为主，预计下周华北地区汽柴行情继续松动，主营销售政策保持灵活。</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南地区成品油行情继续走低，市场交投气氛清淡难改。具体来看，国际原油期货大幅下跌，零售价兑现年内最大跌幅，且步入新一轮计价周期，零售价下调预期犹存，消息方面依然利空油市。受此影响，市场观望气氛浓郁，业者入市操作意向低迷，主营单位出货阻力较大，汽柴油价格承压继续下跌，市场交投气氛冷清。后市来看，原油期货维持弱势，本轮零售价预计下调幅度依然较大，消息方面难寻支撑。与此同时，临近月末，主营单位加大优惠出货赶量为主，预计下周华南汽柴油行情或继续承压。</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中地区汽柴价格跌幅加大，市场购销仍显一般。具体分析如下，周内原油均价较上周大幅下跌，零售价上周五再次刷新年内最大跌幅，且新一轮变化率依然负向持续延伸，消息面利空施压。主营仍以出货优先，成交重心不断下探，且实际成交暗存宽松优惠空间。然业者悲观情绪难消，对后市明显信心不足，入市采购延续小单为主，整体交投维持清淡。后市来看，国际原油或依然延续疲态，本轮零售价下调基无悬念，消息面难寻利好支撑，且部分主营出货压力有增无减，故预计近期内华中地区成品油行情将继续承压，实盘均可商谈低价。</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东地区成品油跌势加剧，市场购销氛围颇为清淡。具体来看，国际原油仍震荡宽幅下行，周五(11月16日)零售价兑现大幅度下调，新一轮变化率仍负向加深运行，消息面对市场利空施压。加之月中旬之后，华东多地主营销售压力加大，汽柴油价格大幅下跌，其中汽油价格下跌550-600元/吨，柴油价格下调450元/吨。且销售政策较为灵活，成交重心下移明显。不过，下游用户心态普遍悲观，入市采购有限，除了个别单位任务量小完成月度计划外，多地主营仍旧欠量。另据了解，区内主营库存偏高，下行行情下部分主营暂停外采操作，消化前期高价库存。后市而言，国际油价难改低位区间震荡，零售价“三连跌”已无悬念，消息面难有支撑。且下周为本月最后的销售周期，主营仍将进一步促销追量，汽柴行情延续弱势。</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西北地炼汽柴行情大幅下滑，市场成交提升有限。分析来看：上周五(11月16日)国内成品油零售价下调兑现，且跌幅创近四年来新高，区内汽柴行情大幅跟跌，其中汽油跌550元/吨，柴油跌450元/吨。进入本周，新一轮计价周期开始，变化率仍维持负向区间延伸，下调预期强烈，消息面利空不减。虽然业者前期低库存运作，随着汽柴价格回落，入市适量补货，但大单补货有限，市场成交气氛仍显平淡。就后市而言，国际原油收盘价格弱势运行，下周五成品油零售价仍将兑现下调，消息面难有起色。业者操作意向持低，市场成交稀少。预计下周西北地炼成品油市场呈现价稳量淡局面。</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西南地区汽柴行情跌势不止，市场成交氛围清淡。分析来看：上周五(11月16日)国内成品油零售价兑现年内最大跌幅，主营价格多有跟跌。进入本周，国际油价宽幅震荡，但变化率仍维持负向区间运行，下调预期依旧强烈，消息面利空难以消除。再者，汽柴需求面整体平淡，对市场亦难有支撑。业者谨慎观望为主，多逢低适量补货，市场成交难见大单。进入中下旬，主营单位追赶销售任务压力加重，成交价格不断下滑，且成交优惠宽松，整体行情仍有明显回落。进入下周，国际油价或维持弱势震荡，变化率负向区间波动，本轮零售价下调几成定局，市场观望气氛难消。另外，月底前主营单位多加大出货力度，预计西南地区汽柴行情仍有下行风险。</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步入下周，国际油价继续保持疲软震荡的态势。零售价将于11月30日迎来“三连跌”，消息面依旧偏空。尽管山东地炼开工负荷稍有降低，但主营炼厂开工较为平稳，市场整体供应量仍较充足。随着气温逐渐降低，户外工程、基建等终端用油单位开工将逐步受限，致使柴油需求萎缩;与此同时，由于缺乏节假日利好支撑，汽车出行范围有限，汽油需求难以放量。山东地炼为降低库存，供应外采价格维持低位。主营下周仍集中冲量，不过下游业者心态仍偏悲观。利空因素主导市场，预计下周国内汽柴油市场行情依然承压，市场购销氛围改善不易。</w:t>
      </w: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pPr>
      <w:bookmarkStart w:id="57" w:name="_Toc460250411"/>
      <w:bookmarkStart w:id="58" w:name="_Toc505350015"/>
      <w:r>
        <w:rPr>
          <w:sz w:val="21"/>
          <w:szCs w:val="21"/>
        </w:rPr>
        <w:t>　</w:t>
      </w:r>
      <w:r>
        <w:rPr>
          <w:rFonts w:ascii="华文仿宋" w:hAnsi="华文仿宋" w:eastAsia="华文仿宋"/>
          <w:sz w:val="28"/>
          <w:szCs w:val="28"/>
        </w:rPr>
        <w:t>　本周国内溶剂油价格维持区间整理，市场弱势运行，实单成交情况欠佳，且消息面仍旧利空占优，成交维持宽松优惠为主。除东北、华北地区价格稳持稳定外，其余地区炼厂价格均有下调，下调幅度在100-800元/吨。汽柴油方面，受原油价格变动影响，汽柴油价格也随之有所下调，业者缺乏信心，入市多持谨慎态度，交投气氛清淡。后市预测：当前溶剂油市场运行情况偏弱，利好难寻，业者观望心态较重，成交重心处于低位，且国际原油整体价格下行，市场看空氛围不减，受其影响，汽柴油价格也随之下调，溶剂油市场在利空环绕背景下，疲软之势难以得到有效改善，整体弱势凸显，买卖双方理性操作。综上，预计溶剂油市场行情短期内维持弱势区间整理概率较大。</w:t>
      </w:r>
    </w:p>
    <w:p>
      <w:pPr>
        <w:pStyle w:val="19"/>
        <w:keepNext w:val="0"/>
        <w:keepLines w:val="0"/>
        <w:widowControl/>
        <w:suppressLineNumbers w:val="0"/>
        <w:ind w:firstLine="560" w:firstLineChars="200"/>
        <w:rPr>
          <w:rFonts w:hint="eastAsia" w:ascii="华文仿宋" w:hAnsi="华文仿宋" w:eastAsia="华文仿宋"/>
          <w:sz w:val="28"/>
          <w:szCs w:val="28"/>
          <w:lang w:val="en-US" w:eastAsia="zh-CN"/>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7"/>
        <w:gridCol w:w="1908"/>
        <w:gridCol w:w="1068"/>
        <w:gridCol w:w="1077"/>
        <w:gridCol w:w="1068"/>
        <w:gridCol w:w="1075"/>
        <w:gridCol w:w="1256"/>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6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0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6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7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6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7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2018-11-23</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6060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6020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96600821"/>
      <w:bookmarkStart w:id="60" w:name="_Toc505350016"/>
      <w:bookmarkStart w:id="61" w:name="_Toc460250412"/>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1"/>
        <w:gridCol w:w="1228"/>
        <w:gridCol w:w="1230"/>
        <w:gridCol w:w="1229"/>
        <w:gridCol w:w="1229"/>
        <w:gridCol w:w="1403"/>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2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2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2018-11-23</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8"/>
        <w:gridCol w:w="1615"/>
        <w:gridCol w:w="1285"/>
        <w:gridCol w:w="1108"/>
        <w:gridCol w:w="1090"/>
        <w:gridCol w:w="1066"/>
        <w:gridCol w:w="1268"/>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8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0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6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2018-11-23</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505350018"/>
      <w:bookmarkStart w:id="68" w:name="_Toc281568215"/>
      <w:bookmarkStart w:id="69" w:name="_Toc296600823"/>
      <w:bookmarkStart w:id="70" w:name="_Toc460250414"/>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80"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2018-11-23</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80"/>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460250415"/>
      <w:bookmarkStart w:id="73" w:name="_Toc505350019"/>
      <w:bookmarkStart w:id="74" w:name="_Toc296600824"/>
      <w:bookmarkStart w:id="75" w:name="_Toc281568216"/>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2037F9"/>
    <w:rsid w:val="1871150E"/>
    <w:rsid w:val="193B0DD2"/>
    <w:rsid w:val="1950525E"/>
    <w:rsid w:val="19995649"/>
    <w:rsid w:val="1A4B0BD2"/>
    <w:rsid w:val="1B142ABF"/>
    <w:rsid w:val="1BB02F43"/>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32831C8"/>
    <w:rsid w:val="359C2633"/>
    <w:rsid w:val="360A4426"/>
    <w:rsid w:val="37623BD0"/>
    <w:rsid w:val="378A2746"/>
    <w:rsid w:val="382035D9"/>
    <w:rsid w:val="390E2AE7"/>
    <w:rsid w:val="3A2A6D06"/>
    <w:rsid w:val="3AAD4D2B"/>
    <w:rsid w:val="3BA17D0E"/>
    <w:rsid w:val="3C7F4653"/>
    <w:rsid w:val="3D5C793D"/>
    <w:rsid w:val="3DFD6225"/>
    <w:rsid w:val="3E0B15BA"/>
    <w:rsid w:val="3EC639AA"/>
    <w:rsid w:val="3FE24704"/>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6490C7C"/>
    <w:rsid w:val="58343EAC"/>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11.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'[最新溶剂油周报：山东地炼石脑油价格走势图11.16.xls]溶剂油周报-石脑油价格走势图表'!$D$178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'[最新溶剂油周报：山东地炼石脑油价格走势图11.16.xls]溶剂油周报-石脑油价格走势图表'!$A$179:$C$349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numCache>
            </c:numRef>
          </c:cat>
          <c:val>
            <c:numRef>
              <c:f>'[最新溶剂油周报：山东地炼石脑油价格走势图11.16.xls]溶剂油周报-石脑油价格走势图表'!$D$179:$D$349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numCache>
            </c:numRef>
          </c:val>
          <c:smooth val="0"/>
        </c:ser>
        <c:ser>
          <c:idx val="10"/>
          <c:order val="1"/>
          <c:tx>
            <c:strRef>
              <c:f>'[最新溶剂油周报：山东地炼石脑油价格走势图11.16.xls]溶剂油周报-石脑油价格走势图表'!$E$178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'[最新溶剂油周报：山东地炼石脑油价格走势图11.16.xls]溶剂油周报-石脑油价格走势图表'!$A$179:$C$349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numCache>
            </c:numRef>
          </c:cat>
          <c:val>
            <c:numRef>
              <c:f>'[最新溶剂油周报：山东地炼石脑油价格走势图11.16.xls]溶剂油周报-石脑油价格走势图表'!$E$179:$E$349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numCache>
            </c:numRef>
          </c:val>
          <c:smooth val="0"/>
        </c:ser>
        <c:ser>
          <c:idx val="1"/>
          <c:order val="2"/>
          <c:tx>
            <c:strRef>
              <c:f>'[最新溶剂油周报：山东地炼石脑油价格走势图11.16.xls]溶剂油周报-石脑油价格走势图表'!$F$178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'[最新溶剂油周报：山东地炼石脑油价格走势图11.16.xls]溶剂油周报-石脑油价格走势图表'!$A$179:$C$349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numCache>
            </c:numRef>
          </c:cat>
          <c:val>
            <c:numRef>
              <c:f>'[最新溶剂油周报：山东地炼石脑油价格走势图11.16.xls]溶剂油周报-石脑油价格走势图表'!$F$179:$F$349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numCache>
            </c:numRef>
          </c:val>
          <c:smooth val="0"/>
        </c:ser>
        <c:ser>
          <c:idx val="5"/>
          <c:order val="3"/>
          <c:tx>
            <c:strRef>
              <c:f>'[最新溶剂油周报：山东地炼石脑油价格走势图11.16.xls]溶剂油周报-石脑油价格走势图表'!$G$178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'[最新溶剂油周报：山东地炼石脑油价格走势图11.16.xls]溶剂油周报-石脑油价格走势图表'!$A$179:$C$349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numCache>
            </c:numRef>
          </c:cat>
          <c:val>
            <c:numRef>
              <c:f>'[最新溶剂油周报：山东地炼石脑油价格走势图11.16.xls]溶剂油周报-石脑油价格走势图表'!$G$179:$G$349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numCache>
            </c:numRef>
          </c:val>
          <c:smooth val="0"/>
        </c:ser>
        <c:ser>
          <c:idx val="6"/>
          <c:order val="4"/>
          <c:tx>
            <c:strRef>
              <c:f>'[最新溶剂油周报：山东地炼石脑油价格走势图11.16.xls]溶剂油周报-石脑油价格走势图表'!$H$178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'[最新溶剂油周报：山东地炼石脑油价格走势图11.16.xls]溶剂油周报-石脑油价格走势图表'!$A$179:$C$349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numCache>
            </c:numRef>
          </c:cat>
          <c:val>
            <c:numRef>
              <c:f>'[最新溶剂油周报：山东地炼石脑油价格走势图11.16.xls]溶剂油周报-石脑油价格走势图表'!$H$179:$H$349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numCache>
            </c:numRef>
          </c:val>
          <c:smooth val="0"/>
        </c:ser>
        <c:dLbls>
          <c:showLegendKey val="0"/>
          <c:showVal val="0"/>
          <c:showCatName val="0"/>
          <c:showSerName val="0"/>
          <c:showPercent val="0"/>
          <c:showBubbleSize val="0"/>
        </c:dLbls>
        <c:marker val="0"/>
        <c:smooth val="0"/>
        <c:axId val="177701898"/>
        <c:axId val="310938870"/>
      </c:lineChart>
      <c:dateAx>
        <c:axId val="177701898"/>
        <c:scaling>
          <c:orientation val="minMax"/>
          <c:max val="43427"/>
          <c:min val="43062"/>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10938870"/>
        <c:crossesAt val="2000"/>
        <c:auto val="1"/>
        <c:lblOffset val="100"/>
        <c:baseTimeUnit val="days"/>
        <c:majorUnit val="1"/>
        <c:majorTimeUnit val="months"/>
        <c:minorUnit val="1"/>
        <c:minorTimeUnit val="months"/>
      </c:dateAx>
      <c:valAx>
        <c:axId val="310938870"/>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77701898"/>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57</TotalTime>
  <ScaleCrop>false</ScaleCrop>
  <LinksUpToDate>false</LinksUpToDate>
  <CharactersWithSpaces>18114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2018-11-23T06:46:38Z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