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6"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pPr>
        <w:outlineLvl w:val="0"/>
        <w:rPr>
          <w:rFonts w:ascii="黑体" w:hAnsi="宋体" w:eastAsia="黑体" w:cs="Arial"/>
          <w:b/>
          <w:bCs/>
          <w:kern w:val="0"/>
          <w:sz w:val="30"/>
          <w:szCs w:val="30"/>
        </w:rPr>
      </w:pPr>
      <w: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7429500</wp:posOffset>
                </wp:positionV>
                <wp:extent cx="5322570" cy="140589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22570" cy="1405890"/>
                        </a:xfrm>
                        <a:prstGeom prst="rect">
                          <a:avLst/>
                        </a:prstGeom>
                        <a:noFill/>
                        <a:ln w="9525">
                          <a:noFill/>
                        </a:ln>
                        <a:effectLst/>
                      </wps:spPr>
                      <wps:txb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3"/>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wps:txbx>
                      <wps:bodyPr upright="1"/>
                    </wps:wsp>
                  </a:graphicData>
                </a:graphic>
              </wp:anchor>
            </w:drawing>
          </mc:Choice>
          <mc:Fallback>
            <w:pict>
              <v:shape id="文本框 2" o:spid="_x0000_s1026" o:spt="202" type="#_x0000_t202" style="position:absolute;left:0pt;margin-left:36.75pt;margin-top:585pt;height:110.7pt;width:419.1pt;z-index:251657216;mso-width-relative:page;mso-height-relative:page;" filled="f" stroked="f" coordsize="21600,21600"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v:fill on="f" focussize="0,0"/>
                <v:stroke on="f"/>
                <v:imagedata o:title=""/>
                <o:lock v:ext="edit" aspectratio="f"/>
                <v:textbo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3"/>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2228215</wp:posOffset>
                </wp:positionH>
                <wp:positionV relativeFrom="paragraph">
                  <wp:posOffset>6231890</wp:posOffset>
                </wp:positionV>
                <wp:extent cx="1607820" cy="68707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607820" cy="687070"/>
                        </a:xfrm>
                        <a:prstGeom prst="rect">
                          <a:avLst/>
                        </a:prstGeom>
                        <a:noFill/>
                        <a:ln w="9525">
                          <a:noFill/>
                        </a:ln>
                        <a:effectLst/>
                      </wps:spPr>
                      <wps:txbx>
                        <w:txbxContent>
                          <w:p>
                            <w:pPr>
                              <w:pStyle w:val="2"/>
                              <w:jc w:val="center"/>
                              <w:rPr>
                                <w:rFonts w:hint="eastAsia" w:eastAsia="黑体"/>
                                <w:kern w:val="2"/>
                                <w:lang w:val="en-US" w:eastAsia="zh-CN"/>
                              </w:rPr>
                            </w:pPr>
                            <w:bookmarkStart w:id="78" w:name="_Toc505349996"/>
                            <w:bookmarkStart w:id="79" w:name="_Toc485828984"/>
                            <w:r>
                              <w:rPr>
                                <w:rFonts w:hint="eastAsia"/>
                                <w:kern w:val="2"/>
                              </w:rPr>
                              <w:t>2018.</w:t>
                            </w:r>
                            <w:bookmarkEnd w:id="78"/>
                            <w:bookmarkEnd w:id="79"/>
                            <w:r>
                              <w:rPr>
                                <w:rFonts w:hint="eastAsia"/>
                                <w:kern w:val="2"/>
                                <w:lang w:val="en-US" w:eastAsia="zh-CN"/>
                              </w:rPr>
                              <w:t>11</w:t>
                            </w:r>
                            <w:r>
                              <w:rPr>
                                <w:rFonts w:hint="eastAsia"/>
                                <w:kern w:val="2"/>
                              </w:rPr>
                              <w:t>.</w:t>
                            </w:r>
                            <w:r>
                              <w:rPr>
                                <w:rFonts w:hint="eastAsia"/>
                                <w:kern w:val="2"/>
                                <w:lang w:val="en-US" w:eastAsia="zh-CN"/>
                              </w:rPr>
                              <w:t>9</w:t>
                            </w:r>
                          </w:p>
                          <w:p/>
                        </w:txbxContent>
                      </wps:txbx>
                      <wps:bodyPr upright="1"/>
                    </wps:wsp>
                  </a:graphicData>
                </a:graphic>
              </wp:anchor>
            </w:drawing>
          </mc:Choice>
          <mc:Fallback>
            <w:pict>
              <v:shape id="文本框 3" o:spid="_x0000_s1026" o:spt="202" type="#_x0000_t202" style="position:absolute;left:0pt;margin-left:175.45pt;margin-top:490.7pt;height:54.1pt;width:126.6pt;z-index:251658240;mso-width-relative:page;mso-height-relative:page;" filled="f" stroked="f" coordsize="21600,2160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v:fill on="f" focussize="0,0"/>
                <v:stroke on="f"/>
                <v:imagedata o:title=""/>
                <o:lock v:ext="edit" aspectratio="f"/>
                <v:textbox>
                  <w:txbxContent>
                    <w:p>
                      <w:pPr>
                        <w:pStyle w:val="2"/>
                        <w:jc w:val="center"/>
                        <w:rPr>
                          <w:rFonts w:hint="eastAsia" w:eastAsia="黑体"/>
                          <w:kern w:val="2"/>
                          <w:lang w:val="en-US" w:eastAsia="zh-CN"/>
                        </w:rPr>
                      </w:pPr>
                      <w:bookmarkStart w:id="78" w:name="_Toc505349996"/>
                      <w:bookmarkStart w:id="79" w:name="_Toc485828984"/>
                      <w:r>
                        <w:rPr>
                          <w:rFonts w:hint="eastAsia"/>
                          <w:kern w:val="2"/>
                        </w:rPr>
                        <w:t>2018.</w:t>
                      </w:r>
                      <w:bookmarkEnd w:id="78"/>
                      <w:bookmarkEnd w:id="79"/>
                      <w:r>
                        <w:rPr>
                          <w:rFonts w:hint="eastAsia"/>
                          <w:kern w:val="2"/>
                          <w:lang w:val="en-US" w:eastAsia="zh-CN"/>
                        </w:rPr>
                        <w:t>11</w:t>
                      </w:r>
                      <w:r>
                        <w:rPr>
                          <w:rFonts w:hint="eastAsia"/>
                          <w:kern w:val="2"/>
                        </w:rPr>
                        <w:t>.</w:t>
                      </w:r>
                      <w:r>
                        <w:rPr>
                          <w:rFonts w:hint="eastAsia"/>
                          <w:kern w:val="2"/>
                          <w:lang w:val="en-US" w:eastAsia="zh-CN"/>
                        </w:rPr>
                        <w:t>9</w:t>
                      </w:r>
                    </w:p>
                    <w:p/>
                  </w:txbxContent>
                </v:textbox>
              </v:shape>
            </w:pict>
          </mc:Fallback>
        </mc:AlternateContent>
      </w:r>
      <w:r>
        <w:br w:type="page"/>
      </w:r>
      <w:bookmarkStart w:id="0" w:name="_Toc485828985"/>
      <w:r>
        <w:rPr>
          <w:b/>
          <w:sz w:val="32"/>
          <w:szCs w:val="4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440690</wp:posOffset>
                </wp:positionV>
                <wp:extent cx="6212205" cy="8162290"/>
                <wp:effectExtent l="0" t="0" r="0" b="0"/>
                <wp:wrapNone/>
                <wp:docPr id="7" name="文本框 4"/>
                <wp:cNvGraphicFramePr/>
                <a:graphic xmlns:a="http://schemas.openxmlformats.org/drawingml/2006/main">
                  <a:graphicData uri="http://schemas.microsoft.com/office/word/2010/wordprocessingShape">
                    <wps:wsp>
                      <wps:cNvSpPr txBox="1"/>
                      <wps:spPr>
                        <a:xfrm>
                          <a:off x="0" y="0"/>
                          <a:ext cx="6212205" cy="8162290"/>
                        </a:xfrm>
                        <a:prstGeom prst="rect">
                          <a:avLst/>
                        </a:prstGeom>
                        <a:noFill/>
                        <a:ln w="9525">
                          <a:noFill/>
                        </a:ln>
                        <a:effectLst/>
                      </wps:spPr>
                      <wps:txbx>
                        <w:txbxContent>
                          <w:p>
                            <w:pPr>
                              <w:pStyle w:val="56"/>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rPr>
                              <w:t>8年3月份全国原油进出口统计数据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rPr>
                              <w:t>8年3月中国溶剂油、石脑油进出口数据统计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wps:txbx>
                      <wps:bodyPr upright="1"/>
                    </wps:wsp>
                  </a:graphicData>
                </a:graphic>
              </wp:anchor>
            </w:drawing>
          </mc:Choice>
          <mc:Fallback>
            <w:pict>
              <v:shape id="文本框 4" o:spid="_x0000_s1026" o:spt="202" type="#_x0000_t202" style="position:absolute;left:0pt;margin-left:-0.9pt;margin-top:34.7pt;height:642.7pt;width:489.15pt;z-index:251659264;mso-width-relative:page;mso-height-relative:page;" filled="f" stroked="f" coordsize="21600,21600"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v:fill on="f" focussize="0,0"/>
                <v:stroke on="f"/>
                <v:imagedata o:title=""/>
                <o:lock v:ext="edit" aspectratio="f"/>
                <v:textbox>
                  <w:txbxContent>
                    <w:p>
                      <w:pPr>
                        <w:pStyle w:val="56"/>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rPr>
                        <w:t>8年3月份全国原油进出口统计数据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rPr>
                        <w:t>8年3月中国溶剂油、石脑油进出口数据统计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v:textbox>
              </v:shape>
            </w:pict>
          </mc:Fallback>
        </mc:AlternateContent>
      </w:r>
      <w:r>
        <w:br w:type="page"/>
      </w:r>
      <w:bookmarkEnd w:id="0"/>
      <w:bookmarkStart w:id="1" w:name="_Toc460250399"/>
      <w:bookmarkStart w:id="2" w:name="_Toc505349997"/>
      <w:r>
        <w:rPr>
          <w:rFonts w:hint="eastAsia" w:ascii="黑体" w:hAnsi="宋体" w:eastAsia="黑体" w:cs="Arial"/>
          <w:b/>
          <w:bCs/>
          <w:kern w:val="0"/>
          <w:sz w:val="30"/>
          <w:szCs w:val="30"/>
        </w:rPr>
        <w:t>一、国际原油</w:t>
      </w:r>
      <w:bookmarkEnd w:id="1"/>
      <w:bookmarkEnd w:id="2"/>
    </w:p>
    <w:p>
      <w:pPr>
        <w:outlineLvl w:val="1"/>
        <w:rPr>
          <w:b/>
          <w:sz w:val="32"/>
          <w:szCs w:val="32"/>
        </w:rPr>
      </w:pPr>
      <w:bookmarkStart w:id="3" w:name="_Toc505349998"/>
      <w:r>
        <w:rPr>
          <w:rFonts w:hint="eastAsia" w:ascii="黑体" w:hAnsi="宋体" w:eastAsia="黑体" w:cs="Arial"/>
          <w:b/>
          <w:bCs/>
          <w:kern w:val="0"/>
          <w:sz w:val="30"/>
          <w:szCs w:val="30"/>
        </w:rPr>
        <w:t>（一）、国际原油市场回顾</w:t>
      </w:r>
      <w:bookmarkEnd w:id="3"/>
    </w:p>
    <w:p>
      <w:pPr>
        <w:pStyle w:val="3"/>
        <w:spacing w:line="240" w:lineRule="auto"/>
        <w:ind w:firstLine="298" w:firstLineChars="99"/>
        <w:rPr>
          <w:rFonts w:ascii="黑体" w:hAnsi="宋体" w:eastAsia="黑体" w:cs="Arial"/>
          <w:b w:val="0"/>
          <w:kern w:val="0"/>
          <w:sz w:val="30"/>
          <w:szCs w:val="30"/>
        </w:rPr>
      </w:pPr>
      <w:bookmarkStart w:id="4" w:name="_Toc460250400"/>
      <w:bookmarkStart w:id="5" w:name="_Toc296600805"/>
      <w:bookmarkStart w:id="6" w:name="_Toc281568195"/>
      <w:bookmarkStart w:id="7" w:name="_Toc505349999"/>
      <w:r>
        <w:rPr>
          <w:rFonts w:hint="eastAsia" w:ascii="黑体" w:hAnsi="宋体" w:eastAsia="黑体"/>
          <w:kern w:val="0"/>
          <w:sz w:val="30"/>
          <w:szCs w:val="30"/>
        </w:rPr>
        <w:t xml:space="preserve">1. 1  </w:t>
      </w:r>
      <w:bookmarkEnd w:id="4"/>
      <w:bookmarkEnd w:id="5"/>
      <w:bookmarkEnd w:id="6"/>
      <w:r>
        <w:rPr>
          <w:rFonts w:hint="eastAsia" w:ascii="黑体" w:hAnsi="宋体" w:eastAsia="黑体" w:cs="Arial"/>
          <w:b w:val="0"/>
          <w:kern w:val="0"/>
          <w:sz w:val="30"/>
          <w:szCs w:val="30"/>
        </w:rPr>
        <w:t>国际原油收盘价涨跌情况（单位：美元/桶）</w:t>
      </w:r>
      <w:bookmarkEnd w:id="7"/>
    </w:p>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19"/>
        <w:gridCol w:w="923"/>
        <w:gridCol w:w="924"/>
        <w:gridCol w:w="6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1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日期</w:t>
            </w:r>
          </w:p>
        </w:tc>
        <w:tc>
          <w:tcPr>
            <w:tcW w:w="92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纽交所</w:t>
            </w:r>
          </w:p>
        </w:tc>
        <w:tc>
          <w:tcPr>
            <w:tcW w:w="92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伦交所</w:t>
            </w:r>
          </w:p>
        </w:tc>
        <w:tc>
          <w:tcPr>
            <w:tcW w:w="661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影响因素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2018-11-7</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61.67</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72.07</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美国原油库存和产量同步攀升令油价承压，产油国暗示未来减产未能有效支撑油价。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2018-11-6</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62.21</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72.13</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美国能源信息局6日发布的报告说，预计2019年美国原油日产量将达1210万桶，高于上月预测的1150万桶。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2018-11-5</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63.1</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73.17</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国际油价周一盘中小幅上涨，美国已经开始实施第二轮伊朗制裁，不过由于此举符合市场预期，因此油价涨幅受限，仍需观察实施后对伊朗原油出口的具体影响。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2018-11-2</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63.14</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72.83</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由于美国和中国正在修补贸易关系的希望，世界股市上涨，原油周五获得了一些支撑。对美中贸易战的担忧令股市震惊，拖累油价。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2018-11-1</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63.69</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72.89</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美国能源信息局当天公布的月度报告显示，8月份美国原油日产量达1130万桶，比7月份原油日产量增加40万桶。分析人士说，此消息令国际油价承压下跌。</w:t>
            </w:r>
          </w:p>
        </w:tc>
      </w:tr>
    </w:tbl>
    <w:p>
      <w:pPr>
        <w:rPr>
          <w:rFonts w:ascii="宋体" w:hAnsi="宋体" w:cs="宋体"/>
          <w:kern w:val="0"/>
          <w:sz w:val="20"/>
          <w:szCs w:val="20"/>
        </w:rPr>
      </w:pPr>
    </w:p>
    <w:p>
      <w:pPr>
        <w:rPr>
          <w:rFonts w:ascii="宋体" w:hAnsi="宋体" w:cs="宋体"/>
          <w:kern w:val="0"/>
          <w:sz w:val="20"/>
          <w:szCs w:val="20"/>
        </w:rPr>
      </w:pPr>
    </w:p>
    <w:p>
      <w:pPr>
        <w:spacing w:line="360" w:lineRule="auto"/>
        <w:ind w:firstLine="301" w:firstLineChars="100"/>
        <w:outlineLvl w:val="1"/>
        <w:rPr>
          <w:rFonts w:ascii="黑体" w:eastAsia="黑体"/>
          <w:sz w:val="30"/>
          <w:szCs w:val="30"/>
        </w:rPr>
      </w:pPr>
      <w:bookmarkStart w:id="8" w:name="_Toc505350000"/>
      <w:r>
        <w:rPr>
          <w:rFonts w:hint="eastAsia" w:ascii="黑体" w:eastAsia="黑体"/>
          <w:b/>
          <w:bCs/>
          <w:sz w:val="30"/>
          <w:szCs w:val="30"/>
        </w:rPr>
        <w:t>1. 2</w:t>
      </w:r>
      <w:r>
        <w:rPr>
          <w:rFonts w:hint="eastAsia" w:ascii="黑体" w:eastAsia="黑体"/>
          <w:sz w:val="30"/>
          <w:szCs w:val="30"/>
        </w:rPr>
        <w:t xml:space="preserve">  国际原油市场价格走势图</w:t>
      </w:r>
      <w:bookmarkEnd w:id="8"/>
    </w:p>
    <w:p>
      <w:pPr>
        <w:spacing w:line="360" w:lineRule="auto"/>
        <w:jc w:val="center"/>
        <w:rPr>
          <w:sz w:val="20"/>
          <w:szCs w:val="20"/>
        </w:rPr>
      </w:pPr>
      <w:r>
        <w:drawing>
          <wp:inline distT="0" distB="0" distL="114300" distR="114300">
            <wp:extent cx="4942840" cy="3038475"/>
            <wp:effectExtent l="0" t="0" r="1016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942840" cy="3038475"/>
                    </a:xfrm>
                    <a:prstGeom prst="rect">
                      <a:avLst/>
                    </a:prstGeom>
                    <a:noFill/>
                    <a:ln w="9525">
                      <a:noFill/>
                    </a:ln>
                  </pic:spPr>
                </pic:pic>
              </a:graphicData>
            </a:graphic>
          </wp:inline>
        </w:drawing>
      </w:r>
    </w:p>
    <w:p>
      <w:pPr>
        <w:outlineLvl w:val="1"/>
        <w:rPr>
          <w:rFonts w:ascii="黑体" w:hAnsi="宋体" w:eastAsia="黑体"/>
          <w:b/>
          <w:sz w:val="30"/>
          <w:szCs w:val="30"/>
        </w:rPr>
      </w:pPr>
      <w:bookmarkStart w:id="9" w:name="_Toc460250402"/>
      <w:bookmarkStart w:id="10" w:name="_Toc505350001"/>
      <w:bookmarkStart w:id="11" w:name="_Toc296600809"/>
      <w:bookmarkStart w:id="12" w:name="_Toc281568199"/>
      <w:bookmarkStart w:id="13" w:name="_Toc239847712"/>
      <w:bookmarkStart w:id="14" w:name="_Toc158203127"/>
      <w:r>
        <w:rPr>
          <w:rFonts w:hint="eastAsia" w:ascii="黑体" w:hAnsi="宋体" w:eastAsia="黑体"/>
          <w:b/>
          <w:sz w:val="30"/>
          <w:szCs w:val="30"/>
        </w:rPr>
        <w:t>（二）.近期影响国际原油市场的主要因素</w:t>
      </w:r>
      <w:bookmarkEnd w:id="9"/>
      <w:bookmarkEnd w:id="10"/>
      <w:bookmarkStart w:id="15" w:name="_Toc504051939"/>
      <w:bookmarkStart w:id="16" w:name="_Toc505350005"/>
    </w:p>
    <w:bookmarkEnd w:id="15"/>
    <w:p>
      <w:pPr>
        <w:numPr>
          <w:ilvl w:val="0"/>
          <w:numId w:val="1"/>
        </w:numPr>
        <w:outlineLvl w:val="1"/>
        <w:rPr>
          <w:rFonts w:hint="eastAsia" w:ascii="黑体" w:hAnsi="宋体" w:eastAsia="黑体"/>
          <w:b/>
          <w:sz w:val="28"/>
          <w:szCs w:val="28"/>
        </w:rPr>
      </w:pPr>
      <w:r>
        <w:rPr>
          <w:rFonts w:hint="eastAsia" w:ascii="黑体" w:hAnsi="宋体" w:eastAsia="黑体"/>
          <w:b/>
          <w:sz w:val="28"/>
          <w:szCs w:val="28"/>
        </w:rPr>
        <w:t>美国原油库存情况</w:t>
      </w:r>
    </w:p>
    <w:p>
      <w:pPr>
        <w:pStyle w:val="19"/>
        <w:keepNext w:val="0"/>
        <w:keepLines w:val="0"/>
        <w:widowControl/>
        <w:suppressLineNumbers w:val="0"/>
        <w:rPr>
          <w:rFonts w:hint="eastAsia" w:ascii="华文仿宋" w:hAnsi="华文仿宋" w:eastAsia="华文仿宋" w:cs="宋体"/>
          <w:kern w:val="0"/>
          <w:sz w:val="28"/>
          <w:szCs w:val="28"/>
          <w:lang w:val="en-US" w:eastAsia="zh-CN" w:bidi="ar-SA"/>
        </w:rPr>
      </w:pPr>
      <w:r>
        <w:rPr>
          <w:sz w:val="21"/>
          <w:szCs w:val="21"/>
        </w:rPr>
        <w:t>　</w:t>
      </w:r>
      <w:r>
        <w:rPr>
          <w:rFonts w:hint="eastAsia"/>
          <w:sz w:val="21"/>
          <w:szCs w:val="21"/>
          <w:lang w:val="en-US" w:eastAsia="zh-CN"/>
        </w:rPr>
        <w:t xml:space="preserve">   </w:t>
      </w:r>
      <w:r>
        <w:rPr>
          <w:rFonts w:hint="eastAsia" w:ascii="华文仿宋" w:hAnsi="华文仿宋" w:eastAsia="华文仿宋" w:cs="宋体"/>
          <w:kern w:val="0"/>
          <w:sz w:val="28"/>
          <w:szCs w:val="28"/>
          <w:lang w:val="en-US" w:eastAsia="zh-CN" w:bidi="ar-SA"/>
        </w:rPr>
        <w:t>美国能源信息署(EIA)周三(11月7日)公布报告显示，截至11月2日当周，美国原油库存增加578.3万桶至4.318亿桶，连续7周录得增长，续刷2017年3月以来最长连涨纪录，市场预估为增加243.3万桶。更多数据显示，上周俄克拉荷马州库欣原油库存增加241.9万桶，连续7周录得增长，且创4月6日当周(31周)以来最大增幅。美国汽油库存增加185.2万桶，连续3周录得下滑后再度录得增长，且创8月10日当周(13周)以来最大增幅，市场预估为减少227.6万桶。此外，上周美国国内原油产量增加40万桶至1160万桶/日。美国石油协会(API)公布的数据显示，API精炼油库存降幅超过预期。API公布，截至11月2日当周，美国汽油库存减少120万桶，市场预估为减少257.2万桶。同时当周精炼油库存减少364万桶，市场预估为减少277.5万桶。</w:t>
      </w:r>
    </w:p>
    <w:p>
      <w:pPr>
        <w:pStyle w:val="19"/>
        <w:keepNext w:val="0"/>
        <w:keepLines w:val="0"/>
        <w:widowControl/>
        <w:suppressLineNumbers w:val="0"/>
        <w:rPr>
          <w:rFonts w:hint="eastAsia" w:ascii="华文仿宋" w:hAnsi="华文仿宋" w:eastAsia="华文仿宋" w:cs="宋体"/>
          <w:kern w:val="0"/>
          <w:sz w:val="28"/>
          <w:szCs w:val="28"/>
          <w:lang w:val="en-US" w:eastAsia="zh-CN" w:bidi="ar-SA"/>
        </w:rPr>
      </w:pPr>
    </w:p>
    <w:p>
      <w:pPr>
        <w:outlineLvl w:val="1"/>
        <w:rPr>
          <w:rFonts w:hint="eastAsia" w:ascii="华文仿宋" w:hAnsi="华文仿宋" w:eastAsia="华文仿宋" w:cs="宋体"/>
          <w:kern w:val="0"/>
          <w:sz w:val="28"/>
          <w:szCs w:val="28"/>
        </w:rPr>
      </w:pPr>
    </w:p>
    <w:p>
      <w:pPr>
        <w:numPr>
          <w:ilvl w:val="0"/>
          <w:numId w:val="1"/>
        </w:numPr>
        <w:outlineLvl w:val="1"/>
        <w:rPr>
          <w:rFonts w:hint="eastAsia" w:ascii="黑体" w:hAnsi="宋体" w:eastAsia="黑体"/>
          <w:b/>
          <w:sz w:val="28"/>
          <w:szCs w:val="28"/>
        </w:rPr>
      </w:pPr>
      <w:bookmarkStart w:id="17" w:name="_Toc504051940"/>
      <w:r>
        <w:rPr>
          <w:rFonts w:hint="eastAsia" w:ascii="黑体" w:hAnsi="宋体" w:eastAsia="黑体"/>
          <w:b/>
          <w:sz w:val="28"/>
          <w:szCs w:val="28"/>
        </w:rPr>
        <w:t>美国经济形势</w:t>
      </w:r>
      <w:bookmarkEnd w:id="17"/>
    </w:p>
    <w:p>
      <w:pPr>
        <w:keepNext w:val="0"/>
        <w:keepLines w:val="0"/>
        <w:widowControl/>
        <w:suppressLineNumbers w:val="0"/>
        <w:jc w:val="left"/>
        <w:rPr>
          <w:rFonts w:hint="eastAsia" w:ascii="华文仿宋" w:hAnsi="华文仿宋" w:eastAsia="华文仿宋"/>
          <w:sz w:val="28"/>
          <w:szCs w:val="28"/>
        </w:rPr>
      </w:pPr>
      <w:r>
        <w:rPr>
          <w:sz w:val="21"/>
          <w:szCs w:val="21"/>
        </w:rPr>
        <w:t>　</w:t>
      </w:r>
      <w:r>
        <w:rPr>
          <w:rFonts w:hint="eastAsia"/>
          <w:sz w:val="21"/>
          <w:szCs w:val="21"/>
          <w:lang w:val="en-US" w:eastAsia="zh-CN"/>
        </w:rPr>
        <w:t xml:space="preserve">    </w:t>
      </w:r>
      <w:r>
        <w:rPr>
          <w:rFonts w:hint="eastAsia" w:ascii="华文仿宋" w:hAnsi="华文仿宋" w:eastAsia="华文仿宋" w:cs="宋体"/>
          <w:kern w:val="0"/>
          <w:sz w:val="28"/>
          <w:szCs w:val="28"/>
          <w:lang w:val="en-US" w:eastAsia="zh-CN" w:bidi="ar-SA"/>
        </w:rPr>
        <w:t>美国WTI原油12月期货周三(11月7日)收跌0.54美元，或0.87%，报61.67美元/桶。布伦特原油1月期货周三收跌0.06美元，或0.08%，报72.07美元/桶。美国原油库存和产量同步攀升，这令油价承压继续下跌，不过美元回落为油价提供一定支撑。美国WTI原油期货价格盘中最低触及61.20美元/桶，布伦特原油期货价格盘中最低触及71.36美元/桶。</w:t>
      </w:r>
      <w:r>
        <w:rPr>
          <w:rFonts w:hint="eastAsia" w:ascii="华文仿宋" w:hAnsi="华文仿宋" w:eastAsia="华文仿宋" w:cs="宋体"/>
          <w:kern w:val="0"/>
          <w:sz w:val="28"/>
          <w:szCs w:val="28"/>
          <w:lang w:val="en-US" w:eastAsia="zh-CN" w:bidi="ar-SA"/>
        </w:rPr>
        <w:br w:type="textWrapping"/>
      </w:r>
      <w:r>
        <w:rPr>
          <w:rFonts w:hint="eastAsia" w:ascii="华文仿宋" w:hAnsi="华文仿宋" w:eastAsia="华文仿宋" w:cs="宋体"/>
          <w:kern w:val="0"/>
          <w:sz w:val="28"/>
          <w:szCs w:val="28"/>
          <w:lang w:val="en-US" w:eastAsia="zh-CN" w:bidi="ar-SA"/>
        </w:rPr>
        <w:t>     备受关注的美国中期选举终于基本尘埃落定，美国参众两院一如市场此前预期分别掌控在共和党和民主党手中。随着选举形势逐渐明朗，美元指数短线下滑，不过许多市场人士表示美元跌势不会持久，眼下做空美元太危险。民主党控制众议院，共和党控制参议院，使美国的任何进一步刺激政策都变得困难。特朗普的政策也可能受到更严格的审查，加剧新的政治不确定性。</w:t>
      </w:r>
      <w:r>
        <w:rPr>
          <w:rFonts w:hint="eastAsia" w:ascii="华文仿宋" w:hAnsi="华文仿宋" w:eastAsia="华文仿宋" w:cs="宋体"/>
          <w:kern w:val="0"/>
          <w:sz w:val="28"/>
          <w:szCs w:val="28"/>
          <w:lang w:val="en-US" w:eastAsia="zh-CN" w:bidi="ar-SA"/>
        </w:rPr>
        <w:br w:type="textWrapping"/>
      </w:r>
      <w:r>
        <w:rPr>
          <w:rFonts w:hint="eastAsia" w:ascii="华文仿宋" w:hAnsi="华文仿宋" w:eastAsia="华文仿宋" w:cs="宋体"/>
          <w:kern w:val="0"/>
          <w:sz w:val="28"/>
          <w:szCs w:val="28"/>
          <w:lang w:val="en-US" w:eastAsia="zh-CN" w:bidi="ar-SA"/>
        </w:rPr>
        <w:t>    石油输出国组织(OPEC)消息人士近期曾透露称，该组织可能会再度实施减产，因全球库存正在回升，不过此举恐进一步加大其与美国总统特朗普的分歧。OPEC和非OPEC油长论坛结果显示，双方均认为供应量和需求量相比“已经足够”，考虑到经济面不确定性的增长和库存水平攀升，当前的产量策略可能需要做出改变。</w:t>
      </w:r>
      <w:r>
        <w:rPr>
          <w:rFonts w:hint="eastAsia" w:ascii="华文仿宋" w:hAnsi="华文仿宋" w:eastAsia="华文仿宋" w:cs="宋体"/>
          <w:kern w:val="0"/>
          <w:sz w:val="28"/>
          <w:szCs w:val="28"/>
          <w:lang w:val="en-US" w:eastAsia="zh-CN" w:bidi="ar-SA"/>
        </w:rPr>
        <w:br w:type="textWrapping"/>
      </w:r>
      <w:r>
        <w:rPr>
          <w:rFonts w:hint="eastAsia" w:ascii="华文仿宋" w:hAnsi="华文仿宋" w:eastAsia="华文仿宋" w:cs="宋体"/>
          <w:kern w:val="0"/>
          <w:sz w:val="28"/>
          <w:szCs w:val="28"/>
          <w:lang w:val="en-US" w:eastAsia="zh-CN" w:bidi="ar-SA"/>
        </w:rPr>
        <w:t>     美国国务卿蓬佩奥和财政部长努钦已经召开记者会宣布对伊朗制裁的细节。不过由于这一消息早在几个月前就已经被市场消化，禁令正式生效后，美布两油并未大幅反弹。加上美国宣布豁免伊朗的8个买家，这也缓解了市场对油市供应收紧的担忧。而美国对不同国家和地区的伊朗原油进口豁免数额也陆续公布，韩国有20万桶/日，中国有36万桶/日，印度为900万桶/月。不过市场分析师预期称，伊朗原油出口可能会再11月下降至略高于100万桶/日水平，这将远低于2018年高位的260万桶/日，不过由于进口豁免的存在，出口原油可能会在12月录得增长。</w:t>
      </w:r>
      <w:r>
        <w:rPr>
          <w:rFonts w:hint="eastAsia" w:ascii="华文仿宋" w:hAnsi="华文仿宋" w:eastAsia="华文仿宋" w:cs="宋体"/>
          <w:kern w:val="0"/>
          <w:sz w:val="28"/>
          <w:szCs w:val="28"/>
          <w:lang w:val="en-US" w:eastAsia="zh-CN" w:bidi="ar-SA"/>
        </w:rPr>
        <w:br w:type="textWrapping"/>
      </w:r>
      <w:r>
        <w:rPr>
          <w:rFonts w:hint="eastAsia" w:ascii="华文仿宋" w:hAnsi="华文仿宋" w:eastAsia="华文仿宋" w:cs="宋体"/>
          <w:kern w:val="0"/>
          <w:sz w:val="28"/>
          <w:szCs w:val="28"/>
          <w:lang w:val="en-US" w:eastAsia="zh-CN" w:bidi="ar-SA"/>
        </w:rPr>
        <w:t>     外媒调查结果显示，石油输出国组织(OPEC)10月原油产量为3331万桶/日，较9月上升39万桶/日，是2016年12月来最高水平。这表明OPEC主要产油国正在履行进一步增加产量的承诺。12个参加减产的OPEC成员国10月减产执行率已经降至107%，9月为122%，这是OPEC自6月以来最接近100%的目标水平。不过由于阿联酋等国产量大增，填补了伊朗原油供应空缺，从而令OPEC产量上升。10月阿联酋原油产量环比增加20万桶/日至325万桶/日，预计该国原油产量将在年底达到350万桶/日。</w:t>
      </w:r>
      <w:r>
        <w:rPr>
          <w:rFonts w:hint="eastAsia" w:ascii="华文仿宋" w:hAnsi="华文仿宋" w:eastAsia="华文仿宋" w:cs="宋体"/>
          <w:kern w:val="0"/>
          <w:sz w:val="28"/>
          <w:szCs w:val="28"/>
          <w:lang w:val="en-US" w:eastAsia="zh-CN" w:bidi="ar-SA"/>
        </w:rPr>
        <w:br w:type="textWrapping"/>
      </w:r>
      <w:r>
        <w:rPr>
          <w:rFonts w:hint="eastAsia" w:ascii="华文仿宋" w:hAnsi="华文仿宋" w:eastAsia="华文仿宋" w:cs="宋体"/>
          <w:kern w:val="0"/>
          <w:sz w:val="28"/>
          <w:szCs w:val="28"/>
          <w:lang w:val="en-US" w:eastAsia="zh-CN" w:bidi="ar-SA"/>
        </w:rPr>
        <w:t>     沙特本月初曾承诺将继续增产，从而填补伊朗因制裁而造成的供应缺口。俄罗斯方面，上周六也表示该国没有理由削减产量。沙特阿美和沙特能源部长法利赫相继表示，沙特有能力在3个月内达到1200万桶/日的产量，这给油价造成更大的下行压力。法利赫在利雅得举行的一场会议上表示，该国已经将石油产量提高到每天1070万桶，接近历史最高水平。法利赫还补充道，未来还可进一步增产，以弥补美国制裁伊朗能源产业带来的供应缺口。</w:t>
      </w:r>
    </w:p>
    <w:p>
      <w:pPr>
        <w:pStyle w:val="19"/>
        <w:numPr>
          <w:ilvl w:val="0"/>
          <w:numId w:val="1"/>
        </w:numPr>
        <w:outlineLvl w:val="1"/>
        <w:rPr>
          <w:rFonts w:ascii="华文仿宋" w:hAnsi="华文仿宋" w:eastAsia="华文仿宋"/>
          <w:sz w:val="28"/>
          <w:szCs w:val="28"/>
        </w:rPr>
      </w:pPr>
      <w:bookmarkStart w:id="18" w:name="_Toc504051941"/>
      <w:r>
        <w:rPr>
          <w:rFonts w:hint="eastAsia" w:ascii="黑体" w:eastAsia="黑体"/>
          <w:b/>
          <w:sz w:val="28"/>
          <w:szCs w:val="28"/>
        </w:rPr>
        <w:t>世界经济形势</w:t>
      </w:r>
      <w:bookmarkEnd w:id="18"/>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特朗普高关税贸易政策和“美国优先”的投资战略，并没有达到削减贸易赤字的预期效果。</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9月份，美国对外贸易逆差出现了连续四个月上升，达到了760亿美元，刷新2008年7月以来单月最高水平。这个结果，显然是特朗普不愿意看到的。因为，这意味着其一直寄予厚望的高关税贸易政策和“美国优先”投资战略，在削减巨额贸易逆差过程中没有达到预期效果。个中缘由，还需要从历史数据和近期美国对待外资的态度中寻找答案。</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经济基本面才是贸易逆差的决定因素</w:t>
      </w:r>
    </w:p>
    <w:p>
      <w:pPr>
        <w:pStyle w:val="19"/>
        <w:keepNext w:val="0"/>
        <w:keepLines w:val="0"/>
        <w:widowControl/>
        <w:suppressLineNumbers w:val="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过去二十年中，只要美国经济保持比较稳健的增长，其贸易逆差都持续保持在高位水平。当然，美国也曾有过贸易逆差明显缩减的经历，但这都是在美国爆发经济危机、经济增速大幅回落的情况下发生的。</w:t>
      </w:r>
    </w:p>
    <w:p>
      <w:pPr>
        <w:pStyle w:val="19"/>
        <w:keepNext w:val="0"/>
        <w:keepLines w:val="0"/>
        <w:widowControl/>
        <w:suppressLineNumbers w:val="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第一次贸易逆差缩减发生在2000年-2001年。当时全球互联网泡沫破灭，美国经济陷入危机，2001年和2002年经济增速分别为1%和1.7%。在国内需求急剧萎缩情况下，美国单季的贸易逆差额也由2000年4季度1183亿美元下降到2001年4季度的1000亿美元。</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第二次贸易逆差大幅缩减的情况发生在2008年-2009年。当时次贷危机引爆了全球性的金融海啸，美国经济出现了二战以来罕见的连续负增长，2008年和2009年经济增速分别为-0.1%和-2.5%，其中2009年一季度增速更是下跌到-6.1%的低位。相应地，美国单季贸易逆差也从2220亿美元大幅缩减到1120亿美元，逆差规模接近腰斩。此外，2013年美国经济也曾经历连续四个季度低于2%的低速增长，在此期间，美国贸易逆差也出现了小幅的回落。</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美国贸易逆差与美国经济增速的相关性更高</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可见，美国经济景气和国内需求才是美国贸易逆差持续保持高位的根源。由此，在当前美国经济依然强劲的情况下，特朗普的高关税政策显然无法阻挡贸易逆差的扩张。</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“美国优先”的投资战略同样失效</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吸引跨国企业在美国设厂的“美国优先”投资战略，是特朗普削减贸易逆差的又一大利器。为推动跨国企业回流美国设厂，特朗普历史性的减税政策在初期也取得了一些效果——一些在海外设厂的美国企业重返本土设厂。但是，特朗普政府四面突击的贸易政策，也使得一些美国企业出于海外市场业绩的考虑，而加快了在海外投资设厂的步伐，例如：美国摩托车制造商哈雷，将工厂搬到泰国，以躲避欧盟和中国对产自美国的哈雷摩托车的重税;特斯拉为了规避中国对美国汽车的高关税，在上海设立了中国首家外商独资汽车工厂;苹果公司CEO库克近期访问上海，承诺将加大对中国的投资;近期，美国埃克森美孚公司董事长伍德伦承诺将在广东落户100亿美元的独资石化项目。</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更让特朗普糟心的是，今年以来美国吸引外国直接投资(FDI)出现了历史罕见的下滑。据美国经济分析局统计，今年二季度，美国外商直接投资出现大规模净流出(-94.9亿美元)，今年上半年吸引外资总额仅为477.2亿美元，创下2014年以来同期最低水平。</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在此背景下，美国一直以来占据的“全球第一外资吸引国”宝座换人坐了。根据联合国贸易和发展会议(UNCTAD)的最新统计，美国吸引FDI为465亿美元，远低于中国(702亿美元)和英国(655亿美元)吸引FDI的规模。</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外国资本缘何不再青睐美国投资?</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为何流入美国的外国资本在大幅减少呢?一方面是因为跨国企业为了规避中国、欧盟等经济体对美国商品征收的高关税，但更关键的原因是在“美国优先”战略的指导下，美国政府正在加速收紧国际资本对美国的投资并购活动。</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10月10日，美国财政部发布了《外国投资风险审查现代化法案》，进一步加大对外国投资者在美投资交易的审查力度。该《法案》明确：只要外国企业投资并购涉及到27个行业相关的关键技术，都必须提交给美国外国投资委员会(简称CFIUS)接受国家安全评估，否则将面临最高可达交易金额同等的罚金，CFIUS也有权否决投资交易行为。该《法案》自11月10日起实施，试行15个月后将出台永久性条例。</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而在此前，外国企业对美投资只有同时满足三项条件——交易规模超过投资标的10%以上股权、获得董事会席位和涉及国家安全领域，才需以自愿形式向CFIUS申报。如今，新规要求外资企业一旦涉及到27个试点行业之一的投资，以下三个标准只要触发任何一个，都必须做强制申报：一是外国投资者通过投资将获得重大非公开的技术信息(不含财务信息);二是外国投资者在董事会中有一席之地(或观察员席位)，或者具备委任董事的权力;三是外国投资者具备影响标的公司关键技术处理决定权的能力。这27个试点行业既包含传统与国家安全领域(如航空器、飞船等)，也包含了新兴技术领域(如AI、半导体制造、生物技术、纳米技术的研发等)。在此政策趋势的影响下，尽管特朗普政府采取了史无前例的减税政策，但许多跨国企业对美国的投资并购活动采取了知难而退、避而远之的策略。</w:t>
      </w:r>
    </w:p>
    <w:p>
      <w:pPr>
        <w:pStyle w:val="19"/>
        <w:keepNext w:val="0"/>
        <w:keepLines w:val="0"/>
        <w:widowControl/>
        <w:suppressLineNumbers w:val="0"/>
        <w:ind w:firstLine="560" w:firstLineChars="200"/>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综合来看，特朗普高关税贸易政策和“美国优先”的投资战略，并没有达到削减贸易赤字的预期效果。那么，接下来，特朗普四面突击的贸易政策会不会发生转向呢?进入到11月，随着美国国会中期选举结果揭晓、G20领导人峰会举行，这个问题的答案也许会浮出水面。</w:t>
      </w:r>
    </w:p>
    <w:p>
      <w:pPr>
        <w:outlineLvl w:val="1"/>
        <w:rPr>
          <w:rFonts w:ascii="宋体" w:hAnsi="宋体" w:cs="Arial"/>
          <w:b/>
          <w:bCs/>
          <w:kern w:val="0"/>
          <w:sz w:val="32"/>
          <w:szCs w:val="32"/>
        </w:rPr>
      </w:pPr>
      <w:r>
        <w:rPr>
          <w:rFonts w:hint="eastAsia" w:ascii="宋体" w:hAnsi="宋体" w:cs="宋体"/>
          <w:b/>
          <w:sz w:val="32"/>
          <w:szCs w:val="32"/>
          <w:lang w:val="en-US" w:eastAsia="zh-CN"/>
        </w:rPr>
        <w:t>(</w:t>
      </w:r>
      <w:r>
        <w:rPr>
          <w:rFonts w:hint="eastAsia" w:ascii="宋体" w:hAnsi="宋体" w:cs="宋体"/>
          <w:b/>
          <w:sz w:val="32"/>
          <w:szCs w:val="32"/>
        </w:rPr>
        <w:t>三</w:t>
      </w:r>
      <w:r>
        <w:rPr>
          <w:rFonts w:hint="eastAsia" w:ascii="宋体" w:hAnsi="宋体" w:cs="宋体"/>
          <w:b/>
          <w:sz w:val="32"/>
          <w:szCs w:val="32"/>
          <w:lang w:val="en-US" w:eastAsia="zh-CN"/>
        </w:rPr>
        <w:t>)</w:t>
      </w:r>
      <w:r>
        <w:rPr>
          <w:rFonts w:hint="eastAsia" w:ascii="宋体" w:hAnsi="宋体" w:cs="Arial"/>
          <w:b/>
          <w:bCs/>
          <w:kern w:val="0"/>
          <w:sz w:val="32"/>
          <w:szCs w:val="32"/>
        </w:rPr>
        <w:t>、2018年3月份全国原油进出口统计数据</w:t>
      </w:r>
      <w:bookmarkEnd w:id="16"/>
    </w:p>
    <w:p>
      <w:pPr>
        <w:widowControl/>
        <w:spacing w:line="260" w:lineRule="atLeast"/>
        <w:jc w:val="center"/>
        <w:rPr>
          <w:rFonts w:ascii="宋体" w:hAnsi="宋体" w:cs="宋体"/>
          <w:b/>
          <w:bCs/>
          <w:kern w:val="0"/>
          <w:szCs w:val="21"/>
        </w:rPr>
      </w:pPr>
      <w:r>
        <w:rPr>
          <w:rFonts w:hint="eastAsia" w:ascii="宋体" w:hAnsi="宋体" w:cs="宋体"/>
          <w:b/>
          <w:bCs/>
          <w:kern w:val="0"/>
          <w:szCs w:val="21"/>
        </w:rPr>
        <w:t xml:space="preserve">                                                      单位：千克，美元</w:t>
      </w:r>
    </w:p>
    <w:tbl>
      <w:tblPr>
        <w:tblStyle w:val="25"/>
        <w:tblW w:w="9776" w:type="dxa"/>
        <w:tblInd w:w="0" w:type="dxa"/>
        <w:tblLayout w:type="fixed"/>
        <w:tblCellMar>
          <w:top w:w="15" w:type="dxa"/>
          <w:left w:w="15" w:type="dxa"/>
          <w:bottom w:w="15" w:type="dxa"/>
          <w:right w:w="15" w:type="dxa"/>
        </w:tblCellMar>
      </w:tblPr>
      <w:tblGrid>
        <w:gridCol w:w="2817"/>
        <w:gridCol w:w="1917"/>
        <w:gridCol w:w="1751"/>
        <w:gridCol w:w="1705"/>
        <w:gridCol w:w="1586"/>
      </w:tblGrid>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产销国</w:t>
            </w:r>
          </w:p>
        </w:tc>
        <w:tc>
          <w:tcPr>
            <w:tcW w:w="19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进口数量</w:t>
            </w:r>
          </w:p>
        </w:tc>
        <w:tc>
          <w:tcPr>
            <w:tcW w:w="1751"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进口美元</w:t>
            </w:r>
          </w:p>
        </w:tc>
        <w:tc>
          <w:tcPr>
            <w:tcW w:w="1705"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出口数量</w:t>
            </w:r>
          </w:p>
        </w:tc>
        <w:tc>
          <w:tcPr>
            <w:tcW w:w="1586"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出口美元</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也门共和国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139671930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69119063</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伊拉克</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54934951</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25276930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伊朗</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440303947</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199663370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俄罗斯联邦</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1125496577</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529265485</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刚果</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399235103</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171863588</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利比亚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141476160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67854272</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加拿大</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76290531</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31718391</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加纳</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132613900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67604302</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加蓬</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88806062</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40929256</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南苏丹共和国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86617693</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38288189</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卡塔尔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140308081</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68680806</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印度尼西亚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24929000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9956375</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厄瓜多尔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98808670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44149393</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台湾省</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9</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191</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哈萨克斯坦</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118464387</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50847984</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哥伦比亚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73119341</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34614401</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喀麦隆</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127234200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61054525</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埃及</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82456238</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41579207</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墨西哥</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72940642</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28952365</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委内瑞拉</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137333838</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52674864</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安哥拉</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317024045</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142854940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巴西</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232662507</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114018194</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日本</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111802311</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47612621</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沙特阿拉伯</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393253610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182238617</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泰国</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41459901</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18538310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澳大利亚</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78507300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28973271</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科威特</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131271500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65493282</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美国</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124388784</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64927951</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苏丹</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86057871</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42347044</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英国</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135125522</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69997762</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蒙古</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3494580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1533530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赤道几内亚</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270410190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132949102</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越南</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37323920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19945663</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阿拉伯联合酋长国</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132441043</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71192358</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阿曼</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130202825</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61214569</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韩国</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244574704</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99332431</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香港</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145169178</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65097431</w:t>
            </w:r>
          </w:p>
        </w:tc>
      </w:tr>
      <w:tr>
        <w:tblPrEx>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马来西亚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146548051</w:t>
            </w:r>
          </w:p>
        </w:tc>
        <w:tc>
          <w:tcPr>
            <w:tcW w:w="1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63398782</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bl>
    <w:p>
      <w:pPr>
        <w:widowControl/>
        <w:spacing w:line="260" w:lineRule="atLeast"/>
        <w:jc w:val="center"/>
        <w:rPr>
          <w:rFonts w:ascii="宋体" w:hAnsi="宋体" w:cs="宋体"/>
          <w:b/>
          <w:bCs/>
          <w:kern w:val="0"/>
          <w:szCs w:val="21"/>
        </w:rPr>
      </w:pPr>
    </w:p>
    <w:p>
      <w:pPr>
        <w:widowControl/>
        <w:spacing w:line="260" w:lineRule="atLeast"/>
        <w:jc w:val="center"/>
        <w:rPr>
          <w:rFonts w:ascii="宋体" w:hAnsi="宋体" w:cs="宋体"/>
          <w:b/>
          <w:bCs/>
          <w:kern w:val="0"/>
          <w:szCs w:val="21"/>
        </w:rPr>
      </w:pPr>
    </w:p>
    <w:p>
      <w:pPr>
        <w:tabs>
          <w:tab w:val="left" w:pos="798"/>
        </w:tabs>
        <w:outlineLvl w:val="1"/>
        <w:rPr>
          <w:rFonts w:ascii="仿宋_GB2312" w:hAnsi="宋体" w:eastAsia="仿宋_GB2312" w:cs="Arial"/>
          <w:b/>
          <w:bCs/>
          <w:kern w:val="0"/>
          <w:sz w:val="30"/>
          <w:szCs w:val="30"/>
        </w:rPr>
      </w:pPr>
      <w:bookmarkStart w:id="19" w:name="_Toc505350006"/>
    </w:p>
    <w:p>
      <w:pPr>
        <w:tabs>
          <w:tab w:val="left" w:pos="798"/>
        </w:tabs>
        <w:outlineLvl w:val="1"/>
        <w:rPr>
          <w:rFonts w:ascii="宋体" w:hAnsi="宋体" w:cs="宋体"/>
          <w:b/>
          <w:bCs/>
          <w:kern w:val="0"/>
          <w:sz w:val="32"/>
          <w:szCs w:val="32"/>
        </w:rPr>
      </w:pPr>
      <w:r>
        <w:rPr>
          <w:rFonts w:hint="eastAsia" w:ascii="宋体" w:hAnsi="宋体" w:cs="宋体"/>
          <w:b/>
          <w:bCs/>
          <w:kern w:val="0"/>
          <w:sz w:val="32"/>
          <w:szCs w:val="32"/>
        </w:rPr>
        <w:t>（四）、后市预测</w:t>
      </w:r>
      <w:bookmarkEnd w:id="19"/>
    </w:p>
    <w:p>
      <w:pPr>
        <w:pStyle w:val="19"/>
        <w:keepNext w:val="0"/>
        <w:keepLines w:val="0"/>
        <w:widowControl/>
        <w:suppressLineNumbers w:val="0"/>
        <w:ind w:firstLine="560" w:firstLineChars="200"/>
        <w:rPr>
          <w:rFonts w:hint="eastAsia" w:ascii="仿宋_GB2312" w:hAnsi="宋体" w:eastAsia="仿宋_GB2312" w:cs="Arial"/>
          <w:b/>
          <w:bCs/>
          <w:kern w:val="0"/>
          <w:sz w:val="30"/>
          <w:szCs w:val="30"/>
          <w:lang w:val="en-US" w:eastAsia="zh-CN"/>
        </w:rPr>
      </w:pPr>
      <w:r>
        <w:rPr>
          <w:rFonts w:ascii="华文仿宋" w:hAnsi="华文仿宋" w:eastAsia="华文仿宋"/>
          <w:sz w:val="28"/>
          <w:szCs w:val="28"/>
        </w:rPr>
        <w:t>本周WTI原油价格在</w:t>
      </w:r>
      <w:r>
        <w:rPr>
          <w:rFonts w:hint="eastAsia" w:ascii="华文仿宋" w:hAnsi="华文仿宋" w:eastAsia="华文仿宋"/>
          <w:sz w:val="28"/>
          <w:szCs w:val="28"/>
          <w:lang w:val="en-US" w:eastAsia="zh-CN"/>
        </w:rPr>
        <w:t>61.67</w:t>
      </w:r>
      <w:r>
        <w:rPr>
          <w:rFonts w:ascii="华文仿宋" w:hAnsi="华文仿宋" w:eastAsia="华文仿宋"/>
          <w:sz w:val="28"/>
          <w:szCs w:val="28"/>
        </w:rPr>
        <w:t>-</w:t>
      </w:r>
      <w:r>
        <w:rPr>
          <w:rFonts w:hint="eastAsia" w:ascii="华文仿宋" w:hAnsi="华文仿宋" w:eastAsia="华文仿宋"/>
          <w:sz w:val="28"/>
          <w:szCs w:val="28"/>
          <w:lang w:val="en-US" w:eastAsia="zh-CN"/>
        </w:rPr>
        <w:t>63.69</w:t>
      </w:r>
      <w:r>
        <w:rPr>
          <w:rFonts w:ascii="华文仿宋" w:hAnsi="华文仿宋" w:eastAsia="华文仿宋"/>
          <w:sz w:val="28"/>
          <w:szCs w:val="28"/>
        </w:rPr>
        <w:t>美元/桶，布伦特原油价格在</w:t>
      </w:r>
      <w:r>
        <w:rPr>
          <w:rFonts w:hint="eastAsia" w:ascii="华文仿宋" w:hAnsi="华文仿宋" w:eastAsia="华文仿宋"/>
          <w:sz w:val="28"/>
          <w:szCs w:val="28"/>
          <w:lang w:val="en-US" w:eastAsia="zh-CN"/>
        </w:rPr>
        <w:t>72.07</w:t>
      </w:r>
      <w:r>
        <w:rPr>
          <w:rFonts w:ascii="华文仿宋" w:hAnsi="华文仿宋" w:eastAsia="华文仿宋"/>
          <w:sz w:val="28"/>
          <w:szCs w:val="28"/>
        </w:rPr>
        <w:t>-</w:t>
      </w:r>
      <w:r>
        <w:rPr>
          <w:rFonts w:hint="eastAsia" w:ascii="华文仿宋" w:hAnsi="华文仿宋" w:eastAsia="华文仿宋"/>
          <w:sz w:val="28"/>
          <w:szCs w:val="28"/>
          <w:lang w:val="en-US" w:eastAsia="zh-CN"/>
        </w:rPr>
        <w:t>73.17</w:t>
      </w:r>
      <w:r>
        <w:rPr>
          <w:rFonts w:ascii="华文仿宋" w:hAnsi="华文仿宋" w:eastAsia="华文仿宋"/>
          <w:sz w:val="28"/>
          <w:szCs w:val="28"/>
        </w:rPr>
        <w:t>美元/桶震荡</w:t>
      </w:r>
      <w:r>
        <w:rPr>
          <w:rFonts w:hint="eastAsia" w:ascii="华文仿宋" w:hAnsi="华文仿宋" w:eastAsia="华文仿宋"/>
          <w:sz w:val="28"/>
          <w:szCs w:val="28"/>
          <w:lang w:eastAsia="zh-CN"/>
        </w:rPr>
        <w:t>。</w:t>
      </w:r>
      <w:r>
        <w:rPr>
          <w:rFonts w:ascii="华文仿宋" w:hAnsi="华文仿宋" w:eastAsia="华文仿宋"/>
          <w:sz w:val="28"/>
          <w:szCs w:val="28"/>
        </w:rPr>
        <w:t>周内伊朗制裁正式启动但效果略显疲软，市场担忧供应过剩叠加原油库存报告持续上涨，国际油价承压全面下跌。周内前期，美国原油库存继续大增的利空影响开始发酵，上个月的全球原油产量大幅增长的消息也令油价承压，此外，美国正式启动了对伊朗制裁，但同时向七个国家一个地区提供了豁免权，允许其继续从伊朗购买原油，市场认为此举是立场软化的现象，因此油价并未受到有效提振，国际油价承压下跌;周内后期，尽管美国对伊朗实施制裁，但是美国对一些国家的制裁豁免在很大程度上抵消了这一影响，这令此轮制裁力度略显疲软，加重了市场供应过剩的担忧，加之美国原油库存和产量同步攀升令油价承压，产油国暗示未来减产未能有效支撑油价，国际原油持续走跌。此外，美国油服公司贝克休斯(Baker Hughes)周五(11月2日)公布数据显示，截至11月2日当周，美国石油活跃钻井数减少1座至874座，四周来首次录得下降，不过依然维持在2015年3月以来高位附近，去年同期为729座。美国石油钻井总数在10月共增加了12个，为今年5月以来最大的月度涨幅。更多数据显示，截至11月2日当周美国石油和天然气活跃钻井总数减少1座至1067座。整体看来，周内国际原油市场中利空消息占据市场主导地位，国际油价整体呈现宽幅下跌走势。其中WTI期货本周均价62.76美元/桶，较上周下跌5.89%，较上月下跌11.30%;本周布伦特期货均价72.62美元/桶，较上周下跌5.26%，较上月下跌9.94%。后市预测：目前国际市场中伊朗制裁已经开启，但因开放对七个国家一个地区进行180天的豁免权，此次制裁未能有效提振油价，另外，美国中期选举已经结束，以特朗普痛失众议院而落幕，此外，美国原油库存及产量同步攀升，市场对供应过剩的担忧加重，加之EIA公布报告称2018-2019年原油供应预期增加，而需求增速却向空，当前市场供大于求的矛盾不容忽视，不过产油国也开始商议后期的减产，远期的供应收紧或存可能。综合来看，近期国际原油市场上空多重利空施压，供需面及消息面未能对油价形成支撑，原油上行受阻，国际油价或持续小幅下跌。后市预测：预计近期WTI原油期货价格在60-65美元/桶之间浮动，布伦特原油期货均价在71-75美元/桶之间浮动。</w:t>
      </w:r>
      <w:r>
        <w:rPr>
          <w:rFonts w:hint="eastAsia" w:ascii="仿宋_GB2312" w:hAnsi="宋体" w:eastAsia="仿宋_GB2312" w:cs="Arial"/>
          <w:b/>
          <w:bCs/>
          <w:kern w:val="0"/>
          <w:sz w:val="30"/>
          <w:szCs w:val="30"/>
          <w:lang w:val="en-US" w:eastAsia="zh-CN"/>
        </w:rPr>
        <w:t xml:space="preserve">                      </w:t>
      </w:r>
    </w:p>
    <w:p>
      <w:pPr>
        <w:spacing w:line="360" w:lineRule="auto"/>
        <w:outlineLvl w:val="0"/>
        <w:rPr>
          <w:rFonts w:ascii="黑体" w:hAnsi="宋体" w:eastAsia="黑体"/>
          <w:b/>
          <w:sz w:val="28"/>
          <w:szCs w:val="28"/>
        </w:rPr>
      </w:pPr>
      <w:bookmarkStart w:id="20" w:name="_Toc505350007"/>
      <w:r>
        <w:rPr>
          <w:rFonts w:hint="eastAsia" w:ascii="黑体" w:hAnsi="宋体" w:eastAsia="黑体"/>
          <w:b/>
          <w:sz w:val="28"/>
          <w:szCs w:val="28"/>
        </w:rPr>
        <w:t>二、 石脑油</w:t>
      </w:r>
      <w:bookmarkEnd w:id="20"/>
    </w:p>
    <w:p>
      <w:pPr>
        <w:pStyle w:val="3"/>
        <w:spacing w:line="240" w:lineRule="auto"/>
        <w:rPr>
          <w:rFonts w:ascii="宋体" w:hAnsi="宋体" w:cs="Arial"/>
          <w:b w:val="0"/>
          <w:bCs w:val="0"/>
          <w:kern w:val="0"/>
          <w:szCs w:val="28"/>
        </w:rPr>
      </w:pPr>
      <w:bookmarkStart w:id="21" w:name="_Toc460250404"/>
      <w:bookmarkStart w:id="22" w:name="_Toc505350008"/>
      <w:r>
        <w:rPr>
          <w:rFonts w:hint="eastAsia"/>
        </w:rPr>
        <w:t>2. 1</w:t>
      </w:r>
      <w:r>
        <w:rPr>
          <w:rFonts w:hint="eastAsia"/>
          <w:kern w:val="0"/>
        </w:rPr>
        <w:t>国际石脑油市场价格</w:t>
      </w:r>
      <w:bookmarkEnd w:id="11"/>
      <w:bookmarkEnd w:id="12"/>
      <w:bookmarkEnd w:id="21"/>
      <w:bookmarkEnd w:id="22"/>
    </w:p>
    <w:p>
      <w:pPr>
        <w:widowControl/>
        <w:jc w:val="center"/>
        <w:rPr>
          <w:rFonts w:ascii="宋体" w:hAnsi="宋体" w:cs="宋体"/>
          <w:sz w:val="20"/>
          <w:szCs w:val="20"/>
        </w:rPr>
      </w:pPr>
      <w:r>
        <w:rPr>
          <w:rFonts w:hint="eastAsia" w:ascii="宋体" w:hAnsi="宋体" w:cs="宋体"/>
          <w:sz w:val="20"/>
          <w:szCs w:val="20"/>
        </w:rPr>
        <w:t xml:space="preserve">                                                                 单位：美元/吨  ①单位：美元/桶</w:t>
      </w:r>
    </w:p>
    <w:p>
      <w:pPr>
        <w:widowControl/>
        <w:rPr>
          <w:rFonts w:ascii="宋体" w:hAnsi="宋体" w:cs="宋体"/>
          <w:sz w:val="20"/>
          <w:szCs w:val="20"/>
        </w:rPr>
      </w:pPr>
    </w:p>
    <w:tbl>
      <w:tblPr>
        <w:tblStyle w:val="25"/>
        <w:tblW w:w="9956" w:type="dxa"/>
        <w:tblInd w:w="0" w:type="dxa"/>
        <w:shd w:val="clear" w:color="auto" w:fill="FFFFFF"/>
        <w:tblLayout w:type="fixed"/>
        <w:tblCellMar>
          <w:top w:w="0" w:type="dxa"/>
          <w:left w:w="0" w:type="dxa"/>
          <w:bottom w:w="0" w:type="dxa"/>
          <w:right w:w="0" w:type="dxa"/>
        </w:tblCellMar>
      </w:tblPr>
      <w:tblGrid>
        <w:gridCol w:w="1806"/>
        <w:gridCol w:w="2125"/>
        <w:gridCol w:w="1599"/>
        <w:gridCol w:w="2157"/>
        <w:gridCol w:w="2269"/>
      </w:tblGrid>
      <w:tr>
        <w:tblPrEx>
          <w:shd w:val="clear" w:color="auto" w:fill="FFFFFF"/>
          <w:tblLayout w:type="fixed"/>
          <w:tblCellMar>
            <w:top w:w="0" w:type="dxa"/>
            <w:left w:w="0" w:type="dxa"/>
            <w:bottom w:w="0" w:type="dxa"/>
            <w:right w:w="0" w:type="dxa"/>
          </w:tblCellMar>
        </w:tblPrEx>
        <w:trPr>
          <w:trHeight w:val="67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华文仿宋" w:hAnsi="华文仿宋" w:eastAsia="华文仿宋" w:cs="华文仿宋"/>
                <w:color w:val="000000"/>
                <w:sz w:val="28"/>
                <w:szCs w:val="28"/>
                <w:lang w:val="en-US" w:eastAsia="zh-CN"/>
              </w:rPr>
            </w:pPr>
            <w:bookmarkStart w:id="23" w:name="_Toc296600812"/>
            <w:bookmarkStart w:id="24" w:name="_Toc460250405"/>
            <w:bookmarkStart w:id="25" w:name="_Toc505350009"/>
            <w:bookmarkStart w:id="26" w:name="_Toc281568202"/>
            <w:bookmarkStart w:id="27" w:name="_Toc239847715"/>
            <w:r>
              <w:rPr>
                <w:rFonts w:hint="eastAsia" w:ascii="华文仿宋" w:hAnsi="华文仿宋" w:eastAsia="华文仿宋" w:cs="华文仿宋"/>
                <w:color w:val="000000"/>
                <w:sz w:val="28"/>
                <w:szCs w:val="28"/>
                <w:lang w:val="en-US" w:eastAsia="zh-CN"/>
              </w:rPr>
              <w:t>11月8日</w:t>
            </w:r>
          </w:p>
        </w:tc>
        <w:tc>
          <w:tcPr>
            <w:tcW w:w="2125"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低端价（美元/吨）</w:t>
            </w:r>
          </w:p>
        </w:tc>
        <w:tc>
          <w:tcPr>
            <w:tcW w:w="1599"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高端价（美元/吨）</w:t>
            </w:r>
          </w:p>
        </w:tc>
        <w:tc>
          <w:tcPr>
            <w:tcW w:w="2157"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均价涨跌幅</w:t>
            </w:r>
          </w:p>
        </w:tc>
        <w:tc>
          <w:tcPr>
            <w:tcW w:w="2269"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美分/加仑</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新加坡</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59.87</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59.91</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-2.25</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142.548-142.643</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日本</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556.75</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557.50</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-19.875</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147.288-147.487</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阿拉伯海湾</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529.69</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530.44</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-19.455</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140.130-140.328</w:t>
            </w:r>
          </w:p>
        </w:tc>
      </w:tr>
      <w:tr>
        <w:tblPrEx>
          <w:tblLayout w:type="fixed"/>
          <w:tblCellMar>
            <w:top w:w="0" w:type="dxa"/>
            <w:left w:w="0" w:type="dxa"/>
            <w:bottom w:w="0" w:type="dxa"/>
            <w:right w:w="0" w:type="dxa"/>
          </w:tblCellMar>
        </w:tblPrEx>
        <w:trPr>
          <w:trHeight w:val="67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阿姆斯特丹、鹿特丹、安特卫普到岸价</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529.75</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530.25</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-11.75</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141.644-141.778</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鹿特丹船货价</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525.75</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526.25</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Style w:val="21"/>
                <w:rFonts w:hint="eastAsia" w:ascii="华文仿宋" w:hAnsi="华文仿宋" w:eastAsia="华文仿宋" w:cs="华文仿宋"/>
                <w:i w:val="0"/>
                <w:caps w:val="0"/>
                <w:color w:val="000000"/>
                <w:spacing w:val="0"/>
                <w:sz w:val="28"/>
                <w:szCs w:val="28"/>
                <w:lang w:val="en-US"/>
              </w:rPr>
              <w:t>-11.75</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140.575-140.709</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地中海离岸价</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510.50</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511.00</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-11.75</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136.497-136.631</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热那亚到岸价</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521.75</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522.25</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-11.75</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139.505-139.639</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美国墨西哥湾</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538.74</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lang w:val="en-US"/>
              </w:rPr>
              <w:t>538.84</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-2.31美分/加仑</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153.880-153.980</w:t>
            </w:r>
          </w:p>
        </w:tc>
      </w:tr>
      <w:tr>
        <w:tblPrEx>
          <w:tblLayout w:type="fixed"/>
          <w:tblCellMar>
            <w:top w:w="0" w:type="dxa"/>
            <w:left w:w="0" w:type="dxa"/>
            <w:bottom w:w="0" w:type="dxa"/>
            <w:right w:w="0" w:type="dxa"/>
          </w:tblCellMar>
        </w:tblPrEx>
        <w:trPr>
          <w:trHeight w:val="285" w:hRule="atLeast"/>
        </w:trPr>
        <w:tc>
          <w:tcPr>
            <w:tcW w:w="180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加勒比海</w:t>
            </w:r>
          </w:p>
        </w:tc>
        <w:tc>
          <w:tcPr>
            <w:tcW w:w="21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w:t>
            </w:r>
          </w:p>
        </w:tc>
        <w:tc>
          <w:tcPr>
            <w:tcW w:w="15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w:t>
            </w:r>
          </w:p>
        </w:tc>
        <w:tc>
          <w:tcPr>
            <w:tcW w:w="21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w:t>
            </w:r>
          </w:p>
        </w:tc>
        <w:tc>
          <w:tcPr>
            <w:tcW w:w="22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i w:val="0"/>
                <w:caps w:val="0"/>
                <w:color w:val="000000"/>
                <w:spacing w:val="0"/>
                <w:sz w:val="28"/>
                <w:szCs w:val="28"/>
              </w:rPr>
              <w:t>-</w:t>
            </w:r>
          </w:p>
        </w:tc>
      </w:tr>
    </w:tbl>
    <w:p>
      <w:pPr>
        <w:pStyle w:val="3"/>
        <w:spacing w:line="240" w:lineRule="auto"/>
        <w:rPr>
          <w:rFonts w:ascii="华文仿宋" w:hAnsi="华文仿宋" w:eastAsia="华文仿宋" w:cs="宋体"/>
          <w:b w:val="0"/>
          <w:bCs w:val="0"/>
          <w:kern w:val="0"/>
          <w:szCs w:val="28"/>
        </w:rPr>
      </w:pPr>
    </w:p>
    <w:p>
      <w:pPr>
        <w:rPr>
          <w:rFonts w:ascii="华文仿宋" w:hAnsi="华文仿宋" w:eastAsia="华文仿宋" w:cs="宋体"/>
          <w:kern w:val="0"/>
          <w:szCs w:val="28"/>
        </w:rPr>
      </w:pPr>
    </w:p>
    <w:p>
      <w:pPr>
        <w:rPr>
          <w:rFonts w:ascii="华文仿宋" w:hAnsi="华文仿宋" w:eastAsia="华文仿宋" w:cs="宋体"/>
          <w:kern w:val="0"/>
          <w:szCs w:val="28"/>
        </w:rPr>
      </w:pPr>
    </w:p>
    <w:p>
      <w:pPr>
        <w:pStyle w:val="3"/>
        <w:spacing w:line="240" w:lineRule="auto"/>
        <w:rPr>
          <w:rFonts w:asciiTheme="minorEastAsia" w:hAnsiTheme="minorEastAsia" w:eastAsiaTheme="minorEastAsia"/>
          <w:bCs w:val="0"/>
          <w:szCs w:val="28"/>
        </w:rPr>
      </w:pPr>
      <w:r>
        <w:rPr>
          <w:rFonts w:hint="eastAsia" w:asciiTheme="minorEastAsia" w:hAnsiTheme="minorEastAsia" w:eastAsiaTheme="minorEastAsia"/>
          <w:bCs w:val="0"/>
          <w:szCs w:val="28"/>
        </w:rPr>
        <w:t>2.2地炼石脑油市场</w:t>
      </w:r>
      <w:bookmarkEnd w:id="13"/>
      <w:bookmarkEnd w:id="14"/>
      <w:bookmarkEnd w:id="23"/>
      <w:bookmarkEnd w:id="24"/>
      <w:bookmarkEnd w:id="25"/>
      <w:bookmarkEnd w:id="26"/>
      <w:bookmarkEnd w:id="27"/>
      <w:r>
        <w:rPr>
          <w:rFonts w:hint="eastAsia" w:asciiTheme="minorEastAsia" w:hAnsiTheme="minorEastAsia" w:eastAsiaTheme="minorEastAsia"/>
          <w:bCs w:val="0"/>
          <w:szCs w:val="28"/>
        </w:rPr>
        <w:t xml:space="preserve">   </w:t>
      </w:r>
    </w:p>
    <w:p>
      <w:pPr>
        <w:pStyle w:val="19"/>
        <w:keepNext w:val="0"/>
        <w:keepLines w:val="0"/>
        <w:widowControl/>
        <w:suppressLineNumbers w:val="0"/>
        <w:rPr>
          <w:rFonts w:hint="eastAsia" w:ascii="华文仿宋" w:hAnsi="华文仿宋" w:eastAsia="华文仿宋" w:cs="华文仿宋"/>
          <w:sz w:val="28"/>
          <w:szCs w:val="28"/>
        </w:rPr>
      </w:pPr>
      <w:r>
        <w:rPr>
          <w:sz w:val="21"/>
          <w:szCs w:val="21"/>
        </w:rPr>
        <w:t>　</w:t>
      </w:r>
      <w:r>
        <w:rPr>
          <w:rFonts w:hint="eastAsia"/>
          <w:sz w:val="21"/>
          <w:szCs w:val="21"/>
          <w:lang w:val="en-US" w:eastAsia="zh-CN"/>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本周国内</w:t>
      </w:r>
      <w:r>
        <w:rPr>
          <w:rFonts w:hint="eastAsia" w:ascii="华文仿宋" w:hAnsi="华文仿宋" w:eastAsia="华文仿宋" w:cs="华文仿宋"/>
          <w:i w:val="0"/>
          <w:caps w:val="0"/>
          <w:color w:val="4A4A4A"/>
          <w:spacing w:val="0"/>
          <w:sz w:val="28"/>
          <w:szCs w:val="28"/>
          <w:shd w:val="clear" w:fill="FFFFFF"/>
        </w:rPr>
        <w:t>地炼石脑油交投状况有明显起色。</w:t>
      </w:r>
      <w:r>
        <w:rPr>
          <w:rFonts w:hint="eastAsia" w:ascii="华文仿宋" w:hAnsi="华文仿宋" w:eastAsia="华文仿宋" w:cs="华文仿宋"/>
          <w:sz w:val="28"/>
          <w:szCs w:val="28"/>
        </w:rPr>
        <w:t>国际原油期货价格盘中一度受到俄罗斯和沙特商讨减产新闻的提振，不过EIA原油库存报告浇灭了看多心态，最终收盘继续录得下跌。国内地炼及煤基石脑油市场价格方面依旧乏力，不过场内交投升温，因部分下游客户选择低价进场采购，但市场成交价格仍然被压在低谷水平。亚洲石脑油运行疲软，11月中石化石脑油结算估值深跌650元/吨，将长期施压地炼石脑油市场。</w:t>
      </w:r>
    </w:p>
    <w:p>
      <w:pPr>
        <w:pStyle w:val="19"/>
        <w:keepNext w:val="0"/>
        <w:keepLines w:val="0"/>
        <w:widowControl/>
        <w:suppressLineNumbers w:val="0"/>
        <w:rPr>
          <w:rFonts w:ascii="华文仿宋" w:hAnsi="华文仿宋" w:eastAsia="华文仿宋"/>
          <w:sz w:val="28"/>
          <w:szCs w:val="28"/>
        </w:rPr>
      </w:pPr>
    </w:p>
    <w:p>
      <w:pPr>
        <w:outlineLvl w:val="1"/>
        <w:rPr>
          <w:rFonts w:asciiTheme="minorEastAsia" w:hAnsiTheme="minorEastAsia" w:eastAsiaTheme="minorEastAsia"/>
          <w:b/>
          <w:sz w:val="28"/>
          <w:szCs w:val="28"/>
        </w:rPr>
      </w:pPr>
      <w:bookmarkStart w:id="28" w:name="_Toc296600813"/>
      <w:bookmarkStart w:id="29" w:name="_Toc460250406"/>
      <w:bookmarkStart w:id="30" w:name="_Toc281568203"/>
      <w:bookmarkStart w:id="31" w:name="_Toc505350010"/>
      <w:r>
        <w:rPr>
          <w:rFonts w:hint="eastAsia" w:asciiTheme="minorEastAsia" w:hAnsiTheme="minorEastAsia" w:eastAsiaTheme="minorEastAsia"/>
          <w:b/>
          <w:sz w:val="28"/>
          <w:szCs w:val="28"/>
        </w:rPr>
        <w:t>2.3本周国内石脑油价格汇总</w:t>
      </w:r>
      <w:bookmarkEnd w:id="28"/>
      <w:bookmarkEnd w:id="29"/>
      <w:bookmarkEnd w:id="30"/>
      <w:bookmarkEnd w:id="31"/>
      <w:r>
        <w:rPr>
          <w:rFonts w:hint="eastAsia" w:asciiTheme="minorEastAsia" w:hAnsiTheme="minorEastAsia" w:eastAsiaTheme="minorEastAsia"/>
          <w:b/>
          <w:sz w:val="28"/>
          <w:szCs w:val="28"/>
        </w:rPr>
        <w:t xml:space="preserve"> </w:t>
      </w:r>
    </w:p>
    <w:p>
      <w:pPr>
        <w:rPr>
          <w:rFonts w:ascii="宋体" w:hAnsi="宋体" w:cs="Arial"/>
          <w:kern w:val="0"/>
          <w:sz w:val="20"/>
          <w:szCs w:val="20"/>
        </w:rPr>
      </w:pPr>
    </w:p>
    <w:p>
      <w:pPr>
        <w:rPr>
          <w:rFonts w:ascii="宋体" w:hAnsi="宋体" w:cs="Arial"/>
          <w:kern w:val="0"/>
          <w:sz w:val="20"/>
          <w:szCs w:val="20"/>
        </w:rPr>
      </w:pPr>
    </w:p>
    <w:p>
      <w:pPr>
        <w:tabs>
          <w:tab w:val="left" w:pos="810"/>
          <w:tab w:val="center" w:pos="4851"/>
        </w:tabs>
        <w:autoSpaceDE w:val="0"/>
        <w:autoSpaceDN w:val="0"/>
        <w:adjustRightInd w:val="0"/>
        <w:rPr>
          <w:rFonts w:ascii="黑体" w:hAnsi="宋体" w:eastAsia="黑体" w:cs="Arial"/>
          <w:kern w:val="0"/>
          <w:sz w:val="24"/>
          <w:szCs w:val="24"/>
        </w:rPr>
      </w:pPr>
      <w:r>
        <w:rPr>
          <w:rFonts w:hint="eastAsia" w:ascii="黑体" w:hAnsi="宋体" w:eastAsia="黑体" w:cs="Arial"/>
          <w:kern w:val="0"/>
          <w:sz w:val="24"/>
          <w:szCs w:val="24"/>
        </w:rPr>
        <w:t>山东地炼石脑油价格汇总</w:t>
      </w: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rPr>
          <w:rFonts w:ascii="宋体" w:hAnsi="宋体" w:cs="Arial"/>
          <w:kern w:val="0"/>
          <w:sz w:val="20"/>
          <w:szCs w:val="20"/>
        </w:rPr>
      </w:pPr>
      <w:r>
        <w:rPr>
          <w:rFonts w:hint="eastAsia" w:ascii="宋体" w:hAnsi="宋体" w:cs="Arial"/>
          <w:kern w:val="0"/>
          <w:sz w:val="20"/>
          <w:szCs w:val="20"/>
        </w:rPr>
        <w:t xml:space="preserve"> 单位：元/吨</w:t>
      </w:r>
    </w:p>
    <w:p>
      <w:pPr>
        <w:rPr>
          <w:rFonts w:ascii="宋体" w:hAnsi="宋体" w:cs="Arial"/>
          <w:kern w:val="0"/>
          <w:sz w:val="20"/>
          <w:szCs w:val="20"/>
        </w:rPr>
      </w:pP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69"/>
        <w:gridCol w:w="1370"/>
        <w:gridCol w:w="1369"/>
        <w:gridCol w:w="1370"/>
        <w:gridCol w:w="1369"/>
        <w:gridCol w:w="1560"/>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5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2018-11-9</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恒源石化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弘润石化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华星石化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海科石化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广饶石化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鑫泰石化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利津石化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安邦石化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日照源丰</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富海石化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5270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京博石化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昌邑石化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垦利石化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寿光石化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神驰石化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汇丰石化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宝塔石化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滨化石化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高青宏远石化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河口实业</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rPr>
          <w:rFonts w:ascii="宋体" w:hAnsi="宋体" w:cs="Arial"/>
          <w:kern w:val="0"/>
          <w:sz w:val="20"/>
          <w:szCs w:val="20"/>
        </w:rPr>
      </w:pPr>
    </w:p>
    <w:p>
      <w:pPr>
        <w:pStyle w:val="3"/>
        <w:spacing w:line="240" w:lineRule="auto"/>
        <w:jc w:val="left"/>
        <w:rPr>
          <w:rFonts w:asciiTheme="minorEastAsia" w:hAnsiTheme="minorEastAsia" w:eastAsiaTheme="minorEastAsia"/>
        </w:rPr>
      </w:pPr>
      <w:bookmarkStart w:id="32" w:name="_Toc296600814"/>
      <w:bookmarkStart w:id="33" w:name="_Toc281568204"/>
      <w:bookmarkStart w:id="34" w:name="_Toc460250407"/>
      <w:bookmarkStart w:id="35" w:name="_Toc505350011"/>
      <w:bookmarkStart w:id="36" w:name="_Toc239847719"/>
      <w:bookmarkStart w:id="37" w:name="_Toc158203132"/>
      <w:r>
        <w:rPr>
          <w:rFonts w:hint="eastAsia" w:asciiTheme="minorEastAsia" w:hAnsiTheme="minorEastAsia" w:eastAsiaTheme="minorEastAsia"/>
          <w:szCs w:val="28"/>
        </w:rPr>
        <w:t>2.</w:t>
      </w:r>
      <w:r>
        <w:rPr>
          <w:rFonts w:hint="eastAsia" w:asciiTheme="minorEastAsia" w:hAnsiTheme="minorEastAsia" w:eastAsiaTheme="minorEastAsia"/>
          <w:bCs w:val="0"/>
          <w:szCs w:val="28"/>
        </w:rPr>
        <w:t xml:space="preserve"> </w:t>
      </w:r>
      <w:r>
        <w:rPr>
          <w:rFonts w:hint="eastAsia" w:asciiTheme="minorEastAsia" w:hAnsiTheme="minorEastAsia" w:eastAsiaTheme="minorEastAsia"/>
          <w:szCs w:val="28"/>
        </w:rPr>
        <w:t>4山东地炼石脑油价格走势图</w:t>
      </w:r>
      <w:bookmarkEnd w:id="32"/>
      <w:bookmarkEnd w:id="33"/>
      <w:bookmarkEnd w:id="34"/>
      <w:bookmarkEnd w:id="35"/>
    </w:p>
    <w:p>
      <w:pPr>
        <w:widowControl/>
        <w:jc w:val="left"/>
        <w:rPr>
          <w:rFonts w:ascii="宋体" w:hAnsi="宋体" w:cs="宋体"/>
          <w:kern w:val="0"/>
          <w:sz w:val="24"/>
          <w:szCs w:val="24"/>
        </w:rPr>
      </w:pPr>
      <w:r>
        <w:drawing>
          <wp:inline distT="0" distB="0" distL="114300" distR="114300">
            <wp:extent cx="5800725" cy="5928995"/>
            <wp:effectExtent l="0" t="0" r="9525" b="14605"/>
            <wp:docPr id="630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20"/>
          <w:szCs w:val="20"/>
        </w:rPr>
      </w:pPr>
    </w:p>
    <w:p>
      <w:pPr>
        <w:rPr>
          <w:sz w:val="20"/>
          <w:szCs w:val="20"/>
        </w:rPr>
      </w:pPr>
    </w:p>
    <w:bookmarkEnd w:id="36"/>
    <w:bookmarkEnd w:id="37"/>
    <w:p>
      <w:pPr>
        <w:outlineLvl w:val="0"/>
        <w:rPr>
          <w:rFonts w:ascii="黑体" w:eastAsia="黑体"/>
          <w:b/>
          <w:sz w:val="28"/>
          <w:szCs w:val="28"/>
        </w:rPr>
      </w:pPr>
      <w:bookmarkStart w:id="38" w:name="_Toc296600816"/>
      <w:bookmarkStart w:id="39" w:name="_Toc281568206"/>
      <w:bookmarkStart w:id="40" w:name="_Toc237428455"/>
      <w:bookmarkStart w:id="41" w:name="_Toc505350012"/>
      <w:bookmarkStart w:id="42" w:name="_Toc460250408"/>
      <w:r>
        <w:rPr>
          <w:rFonts w:hint="eastAsia" w:ascii="黑体" w:eastAsia="黑体"/>
          <w:b/>
          <w:sz w:val="28"/>
          <w:szCs w:val="28"/>
        </w:rPr>
        <w:t>三、本周国内油品市场分析及预测</w:t>
      </w:r>
      <w:bookmarkEnd w:id="38"/>
      <w:bookmarkEnd w:id="39"/>
      <w:bookmarkEnd w:id="40"/>
      <w:bookmarkEnd w:id="41"/>
      <w:bookmarkEnd w:id="42"/>
      <w:bookmarkStart w:id="43" w:name="_Toc296600817"/>
      <w:bookmarkStart w:id="44" w:name="_Toc460250409"/>
      <w:bookmarkStart w:id="45" w:name="_Toc281568207"/>
      <w:bookmarkStart w:id="46" w:name="_Toc237428456"/>
      <w:bookmarkStart w:id="47" w:name="_Toc176571903"/>
    </w:p>
    <w:p>
      <w:pPr>
        <w:pStyle w:val="2"/>
        <w:spacing w:line="360" w:lineRule="auto"/>
        <w:rPr>
          <w:rFonts w:ascii="华文仿宋" w:hAnsi="华文仿宋" w:eastAsia="华文仿宋" w:cs="华文仿宋"/>
          <w:b w:val="0"/>
          <w:bCs w:val="0"/>
          <w:kern w:val="0"/>
          <w:sz w:val="28"/>
          <w:szCs w:val="28"/>
        </w:rPr>
      </w:pPr>
      <w:bookmarkStart w:id="48" w:name="_Toc505350013"/>
      <w:r>
        <w:rPr>
          <w:rFonts w:hint="eastAsia" w:asciiTheme="minorEastAsia" w:hAnsiTheme="minorEastAsia" w:eastAsiaTheme="minorEastAsia"/>
          <w:kern w:val="2"/>
          <w:sz w:val="28"/>
          <w:szCs w:val="28"/>
        </w:rPr>
        <w:t>3．1  成品油市场动态</w:t>
      </w:r>
      <w:bookmarkEnd w:id="43"/>
      <w:bookmarkEnd w:id="44"/>
      <w:bookmarkEnd w:id="45"/>
      <w:bookmarkEnd w:id="48"/>
    </w:p>
    <w:bookmarkEnd w:id="46"/>
    <w:bookmarkEnd w:id="47"/>
    <w:p>
      <w:pPr>
        <w:pStyle w:val="19"/>
        <w:keepNext w:val="0"/>
        <w:keepLines w:val="0"/>
        <w:widowControl/>
        <w:suppressLineNumbers w:val="0"/>
        <w:ind w:firstLine="560" w:firstLineChars="200"/>
        <w:rPr>
          <w:rFonts w:ascii="华文仿宋" w:hAnsi="华文仿宋" w:eastAsia="华文仿宋"/>
          <w:sz w:val="28"/>
          <w:szCs w:val="28"/>
        </w:rPr>
      </w:pPr>
      <w:bookmarkStart w:id="49" w:name="_Toc505350014"/>
      <w:bookmarkStart w:id="50" w:name="_Toc369858747"/>
      <w:bookmarkStart w:id="51" w:name="_Toc281568208"/>
      <w:bookmarkStart w:id="52" w:name="_Toc180485827"/>
      <w:bookmarkStart w:id="53" w:name="_Toc296600818"/>
      <w:bookmarkStart w:id="54" w:name="_Toc460250410"/>
      <w:bookmarkStart w:id="55" w:name="_Toc296600819"/>
      <w:bookmarkStart w:id="56" w:name="_Toc281568211"/>
      <w:r>
        <w:rPr>
          <w:rFonts w:ascii="华文仿宋" w:hAnsi="华文仿宋" w:eastAsia="华文仿宋"/>
          <w:sz w:val="28"/>
          <w:szCs w:val="28"/>
        </w:rPr>
        <w:t>本周，国际原油期价走低，国内成品油市场购销氛围清淡，各地主营汽柴油价格下调。与此同时，山东地区成品油行情下挫，各炼厂报价频频走低且成交保持100元/吨左右优惠。具体来看出货方面：受原油弱势打压，区内油市业者看跌情绪浓重，加上连日降雨使得道路运输不畅，中间商多持币观望，仅少数周边用户适量补货，市场交投气氛清淡。进入下周，国际原油期货难以摆脱疲软的态势，并有望阶段性见底。WTI运行区间在60-64(均值62)美元/桶之间。在消息面利空打压下，山东地区成品油行情延续疲软态势，下游用户买进意向低迷，因此地炼方面仍以出货走量为主。综上所述，预计下周山东地炼汽柴油价格推涨乏力。</w:t>
      </w:r>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华北地区主营成品油行情跌势扩大，购销气氛持续转淡。分析来看，上周五(11月2日)零售价兑现年内最大跌幅，市场看空气氛加剧，区内主营单位顺势下调汽柴价格，其中汽油价格下调350-400元/吨，柴油价格下调320元/吨左右。随后国际油价震荡下跌，变化率负向区间延伸，零售价预计下调幅度较大，利空消息持续打压油市。此外，由于上月多数主营单位销售情况欠佳，故本月主营单位多提前追赶销售任务，实际成交重心不断放低，局部地区单位实施一单一议政策。但中下游用户继续观望为主，入市采购活动十分有限，主营出货情况难有好转。国际油价短期内难以摆脱疲软的态势，本轮零售价下调有望再破新高，消息面对市场难有提振，加之需求面支撑有限，预计下周华北地区汽柴行情或继续松动，主营单位仍以追赶销售任务为主，销售策略保持灵活。</w:t>
      </w:r>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华南地区成品油行情大幅下跌，市场交投气氛清淡难改。具体来看，国际原油期货大幅走低，零售价预计下调幅度增大，消息方面利空油市。受此影响，业者谨慎观望情绪升温，入市操作意向低迷，主营单位出货倍感压力，汽柴油价格持续下跌，市场交投气氛冷清。后市来看，原油期货维持弱势，本轮零售价预计下调幅度依然较大，消息方面依然偏空。与此同时，下游需求疲软，而主营单位多追赶年度任务，预计下周华南汽柴油行情依然承压。</w:t>
      </w:r>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华中地区成品油行情跌势不改，市场交投提量困难。具体分析如下，周内原油始终维持下滑走势，新一轮变化率负向宽幅运行，消息面利空不断加码。受此影响，主营汽柴油价格跌势扩大，其中汽油价格下调300-500元/吨，柴油价格跌400元/吨，并且由于部分主营季度销售任务较重，出货意向积极，为促进销量，实盘均暗存较大优惠空间。但市场悲观情绪难有缓解，业者入市十分谨慎，延续刚需小单采购节奏，购销气氛欠佳。后市来看，国际原油或维持偏弱震荡，此次零售价下调基无悬念，消息面将持续施压，故预计近期内华中地区成品油价格或仍存一定下滑空间。</w:t>
      </w:r>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华东地区成品油行情跌势扩大，市场购销氛围冷清。具体来看，国际油价仍弱势下跌，新一轮变化率负向宽幅运行，消息面对市场难有支撑。此外，近期区内阴雨天气较多，且上海进博会影响周边开工，下游需求整体表现疲软，华东主营汽柴油出货不畅，加之主营外采成本继续降低，故周内汽柴价格持续下行，成交优惠空间不断加深。下游用户心态普遍悲观，入市采购寥寥，市场整体交投行情愈加清淡。后市而言，国际油价或难改疲软走势，本轮零售价下调无悬念，消息面将继续利空施压。而主营为了追赶年度任务，后期价格竞争或不可避免，预计短期华东汽柴行情弱势难改，成交重心或继续下移，市场交投难有好转。</w:t>
      </w:r>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西北地炼汽柴行情跌后趋稳，市场成交气氛平平。分析来看：上周五国内成品油零售价兑现年内最大跌幅，且由于西北地炼前期价格维持高位，因此随着零售价下调兑现，地炼汽柴价格大幅跟跌，其中汽油跌1000元/吨，柴油跌700元/吨。进入本周，国际油价震荡下行，本轮变化率仍维持负向区间波动，下调预期仍存，市场看空气氛浓厚。此外，天气逐步转冷，汽油需求持续转淡，而柴油需求尚可，但对市场支撑力度有限。业者谨慎观望为主，入市补货多为刚需，市场成交难见大单。进入下周，国际油价或维持疲软，变化率负向区间波动，本轮零售价仍将兑现下调，消息面利空难消。业者操作心态谨慎，消库之余小单补货，市场成交难改平淡。</w:t>
      </w:r>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西南地区汽柴行情维持跌势，市场成交难改平淡。分析来看：上周五国内成品油零售价兑现年内最大跌幅，主营汽柴价格大幅跟跌。进入本周，国际油价震荡下行，新一轮变化率仍维持负向较大幅度运行，下调预期依旧强烈，消息面利空难以消除。业者操作心态维持谨慎，消库之余逢低适量补货为主，市场成交未有明显提升。主营单位出货力度不减，汽柴价格持续下滑。其中，汽油需求维持疲软，批发价跌幅更为明显。进入下周，国际原油期价或维持区间震荡，变化率负向区间波动，本轮零售价下调仍为大概率事件，市场观望气氛难消。业者大单补货有限，市场成交难有改善。预计下周西南地区汽柴行弱势运行，部分单位价格或仍有回落。</w:t>
      </w:r>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步入下周，国际油价短期内难以摆脱疲软的态势。11月16日国内汽柴油零售价将迎来“二连跌”且有望刷新年内最大跌幅，消息面对国内成品油市场难有支撑。山东地炼仍有部分炼厂复工，开工率或将攀升，主营开工率维持高位，尽管北方炼厂柴油逐步转产负号，但市场整体供应仍较充足。“双十一”将至，物流运输行业进入高峰期，柴油需求或有提升，但北方进入取暖季，环保督查趋严，终端开工下降或抑制柴油需求。而因无节假日提振，汽油整体需求相对偏淡，批发/零售销量均不乐观。受政府整顿油品市场影响，山东地炼汽柴价格或仍将下行，主营外采成本或将继续下降。下游用户心态普遍悲观入市采购有限，主营销售单位追赶年度任务销售政策积极，地方炼厂面临检查或导致库存压力上升。市场仍受利空因素主导，且需求缺乏强势支撑，短期国内成品油行情仍存下跌空间。</w:t>
      </w:r>
    </w:p>
    <w:p>
      <w:pPr>
        <w:pStyle w:val="19"/>
        <w:keepNext w:val="0"/>
        <w:keepLines w:val="0"/>
        <w:widowControl/>
        <w:suppressLineNumbers w:val="0"/>
        <w:rPr>
          <w:rFonts w:ascii="华文仿宋" w:hAnsi="华文仿宋" w:eastAsia="华文仿宋"/>
          <w:sz w:val="28"/>
          <w:szCs w:val="28"/>
        </w:rPr>
      </w:pPr>
    </w:p>
    <w:p>
      <w:pPr>
        <w:pStyle w:val="2"/>
        <w:spacing w:line="360" w:lineRule="auto"/>
        <w:rPr>
          <w:rFonts w:hint="eastAsia" w:asciiTheme="minorEastAsia" w:hAnsiTheme="minorEastAsia" w:eastAsiaTheme="minorEastAsia"/>
          <w:kern w:val="2"/>
          <w:sz w:val="28"/>
          <w:szCs w:val="28"/>
        </w:rPr>
      </w:pPr>
      <w:r>
        <w:rPr>
          <w:rFonts w:hint="eastAsia" w:asciiTheme="minorEastAsia" w:hAnsiTheme="minorEastAsia" w:eastAsiaTheme="minorEastAsia"/>
          <w:kern w:val="2"/>
          <w:sz w:val="28"/>
          <w:szCs w:val="28"/>
        </w:rPr>
        <w:t>四、国内溶剂油市场综述</w:t>
      </w:r>
      <w:bookmarkEnd w:id="49"/>
    </w:p>
    <w:bookmarkEnd w:id="50"/>
    <w:bookmarkEnd w:id="51"/>
    <w:bookmarkEnd w:id="52"/>
    <w:bookmarkEnd w:id="53"/>
    <w:bookmarkEnd w:id="54"/>
    <w:p>
      <w:pPr>
        <w:pStyle w:val="19"/>
        <w:keepNext w:val="0"/>
        <w:keepLines w:val="0"/>
        <w:widowControl/>
        <w:suppressLineNumbers w:val="0"/>
        <w:ind w:firstLine="560" w:firstLineChars="200"/>
        <w:rPr>
          <w:rFonts w:hint="eastAsia" w:ascii="华文仿宋" w:hAnsi="华文仿宋" w:eastAsia="华文仿宋" w:cs="华文仿宋"/>
          <w:sz w:val="28"/>
          <w:szCs w:val="28"/>
        </w:rPr>
      </w:pPr>
      <w:bookmarkStart w:id="80" w:name="_GoBack"/>
      <w:bookmarkStart w:id="57" w:name="_Toc460250411"/>
      <w:bookmarkStart w:id="58" w:name="_Toc505350015"/>
      <w:r>
        <w:rPr>
          <w:rFonts w:hint="eastAsia" w:ascii="华文仿宋" w:hAnsi="华文仿宋" w:eastAsia="华文仿宋" w:cs="华文仿宋"/>
          <w:sz w:val="28"/>
          <w:szCs w:val="28"/>
        </w:rPr>
        <w:t>本周国内溶剂油市场弱势整理，特别是山东地区、华南地区、西北地区受原油连续下跌影响，价格明显下调。本周美国豁免一些国家进口伊朗原油，EIA短期报告整体偏空，国际油价整体下跌，消息面利好消息难以恢复。汽柴油购需两淡，需求面对溶剂油市场提振力消退，市场利空消息弥漫。业者入市积极性不高，持续观望心理，消耗库存，按需补货。后市预测：国际原油整体下跌，利空消息充斥市场，溶剂油市场行情每况日下。汽柴油需求减弱，成品油下调明显，需求面对溶剂油市场支撑动力坍塌。业者入市操盘情绪低迷，心态欠乐观，市场交投氛围平平，成交刚需。溶剂油市场或将继续弱势偏稳整理。</w:t>
      </w:r>
    </w:p>
    <w:bookmarkEnd w:id="80"/>
    <w:p>
      <w:pPr>
        <w:pStyle w:val="19"/>
        <w:keepNext w:val="0"/>
        <w:keepLines w:val="0"/>
        <w:widowControl/>
        <w:suppressLineNumbers w:val="0"/>
        <w:ind w:firstLine="560" w:firstLineChars="200"/>
        <w:rPr>
          <w:rFonts w:hint="eastAsia" w:ascii="华文仿宋" w:hAnsi="华文仿宋" w:eastAsia="华文仿宋"/>
          <w:sz w:val="28"/>
          <w:szCs w:val="28"/>
          <w:lang w:val="en-US" w:eastAsia="zh-CN"/>
        </w:rPr>
      </w:pPr>
    </w:p>
    <w:p>
      <w:pPr>
        <w:pStyle w:val="19"/>
        <w:keepNext w:val="0"/>
        <w:keepLines w:val="0"/>
        <w:widowControl/>
        <w:suppressLineNumbers w:val="0"/>
        <w:rPr>
          <w:rFonts w:ascii="华文仿宋" w:hAnsi="华文仿宋" w:eastAsia="华文仿宋"/>
          <w:sz w:val="28"/>
          <w:szCs w:val="28"/>
        </w:rPr>
      </w:pPr>
    </w:p>
    <w:p>
      <w:pPr>
        <w:pStyle w:val="19"/>
        <w:rPr>
          <w:rFonts w:hint="eastAsia" w:ascii="黑体"/>
          <w:b/>
          <w:bCs/>
          <w:sz w:val="28"/>
          <w:szCs w:val="28"/>
        </w:rPr>
      </w:pPr>
      <w:r>
        <w:rPr>
          <w:rFonts w:hint="eastAsia" w:ascii="黑体"/>
          <w:b/>
          <w:bCs/>
          <w:sz w:val="28"/>
          <w:szCs w:val="28"/>
        </w:rPr>
        <w:t>五、本周国内炼厂溶剂油产品价格对比</w:t>
      </w:r>
      <w:bookmarkEnd w:id="55"/>
      <w:bookmarkEnd w:id="56"/>
      <w:bookmarkEnd w:id="57"/>
      <w:bookmarkEnd w:id="58"/>
    </w:p>
    <w:p>
      <w:pPr>
        <w:rPr>
          <w:rFonts w:ascii="宋体" w:hAnsi="宋体"/>
          <w:sz w:val="20"/>
          <w:szCs w:val="20"/>
        </w:rPr>
      </w:pPr>
      <w:r>
        <w:rPr>
          <w:rFonts w:hint="eastAsia" w:ascii="宋体" w:hAnsi="宋体"/>
          <w:sz w:val="20"/>
          <w:szCs w:val="20"/>
        </w:rPr>
        <w:t>单位：元/吨</w:t>
      </w:r>
    </w:p>
    <w:tbl>
      <w:tblPr>
        <w:tblW w:w="9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9"/>
        <w:gridCol w:w="1953"/>
        <w:gridCol w:w="1090"/>
        <w:gridCol w:w="1090"/>
        <w:gridCol w:w="1090"/>
        <w:gridCol w:w="1090"/>
        <w:gridCol w:w="124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953"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4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2018-11-9</w:t>
            </w:r>
          </w:p>
        </w:tc>
        <w:tc>
          <w:tcPr>
            <w:tcW w:w="112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青岛石化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济南炼厂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杭州炼厂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金陵烷基苯厂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福建联合</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6060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-210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6020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南阳石化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南充炼厂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rPr>
          <w:rFonts w:ascii="宋体" w:hAnsi="宋体"/>
          <w:sz w:val="20"/>
          <w:szCs w:val="20"/>
        </w:rPr>
      </w:pPr>
    </w:p>
    <w:p>
      <w:pPr>
        <w:widowControl/>
        <w:jc w:val="center"/>
        <w:rPr>
          <w:rFonts w:ascii="华文仿宋" w:hAnsi="华文仿宋" w:eastAsia="华文仿宋"/>
          <w:sz w:val="28"/>
          <w:szCs w:val="28"/>
        </w:rPr>
      </w:pPr>
    </w:p>
    <w:p>
      <w:pPr>
        <w:widowControl/>
        <w:jc w:val="center"/>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59" w:name="_Toc296600821"/>
      <w:bookmarkStart w:id="60" w:name="_Toc505350016"/>
      <w:bookmarkStart w:id="61" w:name="_Toc460250412"/>
      <w:bookmarkStart w:id="62" w:name="_Toc281568213"/>
      <w:r>
        <w:rPr>
          <w:rFonts w:hint="eastAsia" w:ascii="黑体" w:hAnsi="宋体"/>
          <w:sz w:val="28"/>
          <w:szCs w:val="28"/>
        </w:rPr>
        <w:t>六、D系列特种溶剂油</w:t>
      </w:r>
      <w:bookmarkEnd w:id="59"/>
      <w:bookmarkEnd w:id="60"/>
      <w:bookmarkEnd w:id="61"/>
      <w:bookmarkEnd w:id="6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本周国内D系列溶剂油价格汇总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10"/>
        <w:gridCol w:w="1233"/>
        <w:gridCol w:w="1232"/>
        <w:gridCol w:w="1232"/>
        <w:gridCol w:w="1233"/>
        <w:gridCol w:w="1404"/>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23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23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40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2018-11-9</w:t>
            </w:r>
          </w:p>
        </w:tc>
        <w:tc>
          <w:tcPr>
            <w:tcW w:w="123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D20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D75</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D105</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D120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7745</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D65</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3" w:name="_Toc505350017"/>
      <w:bookmarkStart w:id="64" w:name="_Toc281568214"/>
      <w:bookmarkStart w:id="65" w:name="_Toc460250413"/>
      <w:bookmarkStart w:id="66" w:name="_Toc296600822"/>
      <w:r>
        <w:rPr>
          <w:rFonts w:hint="eastAsia" w:ascii="华文仿宋" w:hAnsi="华文仿宋" w:eastAsia="华文仿宋"/>
          <w:bCs w:val="0"/>
          <w:kern w:val="2"/>
          <w:sz w:val="28"/>
          <w:szCs w:val="28"/>
        </w:rPr>
        <w:t>七、重芳烃溶剂油</w:t>
      </w:r>
      <w:bookmarkEnd w:id="63"/>
      <w:bookmarkEnd w:id="64"/>
      <w:bookmarkEnd w:id="65"/>
      <w:bookmarkEnd w:id="66"/>
    </w:p>
    <w:p>
      <w:pPr>
        <w:autoSpaceDE w:val="0"/>
        <w:autoSpaceDN w:val="0"/>
        <w:adjustRightInd w:val="0"/>
        <w:ind w:firstLine="140" w:firstLineChars="50"/>
        <w:rPr>
          <w:rFonts w:ascii="华文仿宋" w:hAnsi="华文仿宋" w:eastAsia="华文仿宋"/>
          <w:sz w:val="28"/>
          <w:szCs w:val="28"/>
        </w:rPr>
      </w:pPr>
      <w:r>
        <w:rPr>
          <w:rFonts w:hint="eastAsia" w:ascii="华文仿宋" w:hAnsi="华文仿宋" w:eastAsia="华文仿宋"/>
          <w:sz w:val="28"/>
          <w:szCs w:val="28"/>
        </w:rPr>
        <w:t>单位：元/吨</w:t>
      </w:r>
    </w:p>
    <w:tbl>
      <w:tblPr>
        <w:tblW w:w="97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11"/>
        <w:gridCol w:w="1652"/>
        <w:gridCol w:w="1312"/>
        <w:gridCol w:w="1112"/>
        <w:gridCol w:w="1111"/>
        <w:gridCol w:w="1080"/>
        <w:gridCol w:w="1267"/>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65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1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111"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6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2018-11-9</w:t>
            </w:r>
          </w:p>
        </w:tc>
        <w:tc>
          <w:tcPr>
            <w:tcW w:w="112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混合芳烃</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混三甲苯-1</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混三甲苯-3</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混四甲苯</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S-2300#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S1001#</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S1501#</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S1800A</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S1800B</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S100#C</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混合甲乙苯</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混合三甲苯</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C10</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中海油惠州</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1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autoSpaceDE w:val="0"/>
        <w:autoSpaceDN w:val="0"/>
        <w:adjustRightInd w:val="0"/>
        <w:ind w:firstLine="140" w:firstLineChars="50"/>
        <w:rPr>
          <w:rFonts w:ascii="华文仿宋" w:hAnsi="华文仿宋" w:eastAsia="华文仿宋"/>
          <w:sz w:val="28"/>
          <w:szCs w:val="28"/>
        </w:rPr>
      </w:pPr>
    </w:p>
    <w:p>
      <w:pPr>
        <w:widowControl/>
        <w:jc w:val="center"/>
        <w:rPr>
          <w:rFonts w:ascii="华文仿宋" w:hAnsi="华文仿宋" w:eastAsia="华文仿宋"/>
          <w:sz w:val="28"/>
          <w:szCs w:val="28"/>
        </w:rPr>
      </w:pPr>
    </w:p>
    <w:p>
      <w:pPr>
        <w:widowControl/>
        <w:jc w:val="center"/>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7" w:name="_Toc505350018"/>
      <w:bookmarkStart w:id="68" w:name="_Toc180485835"/>
      <w:bookmarkStart w:id="69" w:name="_Toc281568215"/>
      <w:bookmarkStart w:id="70" w:name="_Toc460250414"/>
      <w:bookmarkStart w:id="71" w:name="_Toc296600823"/>
      <w:r>
        <w:rPr>
          <w:rFonts w:hint="eastAsia" w:ascii="华文仿宋" w:hAnsi="华文仿宋" w:eastAsia="华文仿宋"/>
          <w:bCs w:val="0"/>
          <w:kern w:val="2"/>
          <w:sz w:val="28"/>
          <w:szCs w:val="28"/>
        </w:rPr>
        <w:t>八、正己烷</w:t>
      </w:r>
      <w:bookmarkEnd w:id="67"/>
      <w:bookmarkEnd w:id="68"/>
      <w:bookmarkEnd w:id="69"/>
      <w:bookmarkEnd w:id="70"/>
      <w:bookmarkEnd w:id="7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hAnsi="华文仿宋" w:eastAsia="华文仿宋"/>
          <w:sz w:val="28"/>
          <w:szCs w:val="28"/>
        </w:rPr>
      </w:pPr>
      <w:r>
        <w:rPr>
          <w:rFonts w:hint="eastAsia" w:ascii="华文仿宋" w:hAnsi="华文仿宋" w:eastAsia="华文仿宋"/>
          <w:sz w:val="28"/>
          <w:szCs w:val="28"/>
        </w:rPr>
        <w:t>本周国内正己烷价格汇总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 xml:space="preserve">单位：元/吨 </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02"/>
        <w:gridCol w:w="1903"/>
        <w:gridCol w:w="1902"/>
        <w:gridCol w:w="2167"/>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90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90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216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2018-11-9</w:t>
            </w:r>
          </w:p>
        </w:tc>
        <w:tc>
          <w:tcPr>
            <w:tcW w:w="190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 w:val="0"/>
          <w:bCs w:val="0"/>
          <w:kern w:val="2"/>
          <w:sz w:val="28"/>
          <w:szCs w:val="28"/>
        </w:rPr>
      </w:pPr>
      <w:bookmarkStart w:id="72" w:name="_Toc460250415"/>
      <w:bookmarkStart w:id="73" w:name="_Toc296600824"/>
      <w:bookmarkStart w:id="74" w:name="_Toc505350019"/>
      <w:bookmarkStart w:id="75" w:name="_Toc281568216"/>
      <w:r>
        <w:rPr>
          <w:rFonts w:hint="eastAsia" w:ascii="华文仿宋" w:hAnsi="华文仿宋" w:eastAsia="华文仿宋"/>
          <w:b w:val="0"/>
          <w:bCs w:val="0"/>
          <w:kern w:val="2"/>
          <w:sz w:val="28"/>
          <w:szCs w:val="28"/>
        </w:rPr>
        <w:t>九、2018年3月中国溶剂油石脑油进出口数据统计</w:t>
      </w:r>
      <w:bookmarkEnd w:id="72"/>
      <w:bookmarkEnd w:id="73"/>
      <w:bookmarkEnd w:id="74"/>
      <w:bookmarkEnd w:id="75"/>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bookmarkStart w:id="76" w:name="_Toc281568218"/>
      <w:bookmarkStart w:id="77" w:name="_Toc296600826"/>
      <w:r>
        <w:rPr>
          <w:rFonts w:hint="eastAsia" w:ascii="华文仿宋" w:hAnsi="华文仿宋" w:eastAsia="华文仿宋"/>
          <w:sz w:val="28"/>
          <w:szCs w:val="28"/>
        </w:rPr>
        <w:t>2018年3月中国</w:t>
      </w:r>
      <w:r>
        <w:rPr>
          <w:rFonts w:ascii="华文仿宋" w:hAnsi="华文仿宋" w:eastAsia="华文仿宋"/>
          <w:sz w:val="28"/>
          <w:szCs w:val="28"/>
        </w:rPr>
        <w:t>橡胶溶剂油、油漆溶剂油、抽提溶剂油</w:t>
      </w:r>
      <w:bookmarkEnd w:id="76"/>
      <w:bookmarkEnd w:id="77"/>
      <w:r>
        <w:rPr>
          <w:rFonts w:hint="eastAsia" w:ascii="华文仿宋" w:hAnsi="华文仿宋" w:eastAsia="华文仿宋"/>
          <w:sz w:val="28"/>
          <w:szCs w:val="28"/>
        </w:rPr>
        <w:t>进出口数据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Layout w:type="fixed"/>
        <w:tblCellMar>
          <w:top w:w="15" w:type="dxa"/>
          <w:left w:w="15" w:type="dxa"/>
          <w:bottom w:w="15" w:type="dxa"/>
          <w:right w:w="15" w:type="dxa"/>
        </w:tblCellMar>
      </w:tblPr>
      <w:tblGrid>
        <w:gridCol w:w="2880"/>
        <w:gridCol w:w="1790"/>
        <w:gridCol w:w="1621"/>
        <w:gridCol w:w="1743"/>
        <w:gridCol w:w="1742"/>
      </w:tblGrid>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产销国</w:t>
            </w:r>
          </w:p>
        </w:tc>
        <w:tc>
          <w:tcPr>
            <w:tcW w:w="1790"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进口数量</w:t>
            </w:r>
          </w:p>
        </w:tc>
        <w:tc>
          <w:tcPr>
            <w:tcW w:w="1621"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进口美元</w:t>
            </w:r>
          </w:p>
        </w:tc>
        <w:tc>
          <w:tcPr>
            <w:tcW w:w="1743"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出口数量</w:t>
            </w:r>
          </w:p>
        </w:tc>
        <w:tc>
          <w:tcPr>
            <w:tcW w:w="1742"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出口美元</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俄罗斯联邦</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4964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台湾省</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10560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23654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德国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986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新加坡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785199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1096866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日本</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43468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92487</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朝鲜</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30020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42028</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比利时</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2559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8202</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法国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174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泰国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12400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12524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美国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628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4506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荷兰</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1216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4139</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韩国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35760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53998</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香港</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24960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41434</w:t>
            </w:r>
          </w:p>
        </w:tc>
      </w:tr>
      <w:tr>
        <w:tblPrEx>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马来西亚</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32600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35244</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2018年3月石脑油进出口数据(数量单位：千克/升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Layout w:type="fixed"/>
        <w:tblCellMar>
          <w:top w:w="15" w:type="dxa"/>
          <w:left w:w="15" w:type="dxa"/>
          <w:bottom w:w="15" w:type="dxa"/>
          <w:right w:w="15" w:type="dxa"/>
        </w:tblCellMar>
      </w:tblPr>
      <w:tblGrid>
        <w:gridCol w:w="1955"/>
        <w:gridCol w:w="1955"/>
        <w:gridCol w:w="1956"/>
        <w:gridCol w:w="1955"/>
        <w:gridCol w:w="1955"/>
      </w:tblGrid>
      <w:tr>
        <w:tblPrEx>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产销国</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进口数量</w:t>
            </w:r>
          </w:p>
        </w:tc>
        <w:tc>
          <w:tcPr>
            <w:tcW w:w="1956"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进口美元</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出口数量</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出口美元</w:t>
            </w:r>
          </w:p>
        </w:tc>
      </w:tr>
      <w:tr>
        <w:tblPrEx>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俄罗斯联邦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60850458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32928505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印度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29972525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17664699</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埃及</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36355897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21572481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日本</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86</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荷兰</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55866332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32618531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480"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阿拉伯联合酋长国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55461759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32868053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韩国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64861818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37385693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bl>
    <w:p>
      <w:pPr>
        <w:widowControl/>
        <w:jc w:val="center"/>
        <w:rPr>
          <w:rFonts w:ascii="华文仿宋" w:hAnsi="华文仿宋" w:eastAsia="华文仿宋"/>
          <w:sz w:val="28"/>
          <w:szCs w:val="28"/>
        </w:rPr>
      </w:pPr>
    </w:p>
    <w:sectPr>
      <w:headerReference r:id="rId3" w:type="default"/>
      <w:footerReference r:id="rId4" w:type="default"/>
      <w:pgSz w:w="11906" w:h="16838"/>
      <w:pgMar w:top="1440" w:right="1080" w:bottom="1440" w:left="108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roman"/>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42</w:t>
    </w:r>
    <w:r>
      <w:rPr>
        <w:b/>
        <w:bCs/>
        <w:sz w:val="24"/>
        <w:szCs w:val="24"/>
      </w:rPr>
      <w:fldChar w:fldCharType="end"/>
    </w:r>
  </w:p>
  <w:p>
    <w:pPr>
      <w:pStyle w:val="1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pPr>
      <w:pStyle w:val="13"/>
      <w:pBdr>
        <w:bottom w:val="none" w:color="auto" w:sz="0" w:space="0"/>
      </w:pBdr>
    </w:pP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BECC"/>
    <w:multiLevelType w:val="singleLevel"/>
    <w:tmpl w:val="2E66BE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4CFF"/>
    <w:rsid w:val="000071C7"/>
    <w:rsid w:val="00007808"/>
    <w:rsid w:val="000121DE"/>
    <w:rsid w:val="00013FDF"/>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ED3"/>
    <w:rsid w:val="000E4486"/>
    <w:rsid w:val="000F4930"/>
    <w:rsid w:val="000F6AFC"/>
    <w:rsid w:val="00100B41"/>
    <w:rsid w:val="001028D9"/>
    <w:rsid w:val="00103D77"/>
    <w:rsid w:val="001045A7"/>
    <w:rsid w:val="00111DD8"/>
    <w:rsid w:val="00111F37"/>
    <w:rsid w:val="00113D3C"/>
    <w:rsid w:val="00114C42"/>
    <w:rsid w:val="00114D13"/>
    <w:rsid w:val="00123276"/>
    <w:rsid w:val="00130438"/>
    <w:rsid w:val="001316A0"/>
    <w:rsid w:val="001351B0"/>
    <w:rsid w:val="00137FFE"/>
    <w:rsid w:val="00147D86"/>
    <w:rsid w:val="00150B7B"/>
    <w:rsid w:val="001546FC"/>
    <w:rsid w:val="00167025"/>
    <w:rsid w:val="00174197"/>
    <w:rsid w:val="00183F2A"/>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5CE6"/>
    <w:rsid w:val="00227F5A"/>
    <w:rsid w:val="00231BFF"/>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90A13"/>
    <w:rsid w:val="0029167F"/>
    <w:rsid w:val="0029698F"/>
    <w:rsid w:val="002A0B34"/>
    <w:rsid w:val="002A1698"/>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4B51"/>
    <w:rsid w:val="00397D27"/>
    <w:rsid w:val="003A05B5"/>
    <w:rsid w:val="003A177D"/>
    <w:rsid w:val="003A4492"/>
    <w:rsid w:val="003B2552"/>
    <w:rsid w:val="003B4A5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78A"/>
    <w:rsid w:val="004B2762"/>
    <w:rsid w:val="004B4629"/>
    <w:rsid w:val="004B5ABD"/>
    <w:rsid w:val="004B72B2"/>
    <w:rsid w:val="004C0320"/>
    <w:rsid w:val="004C1F94"/>
    <w:rsid w:val="004C2578"/>
    <w:rsid w:val="004C515D"/>
    <w:rsid w:val="004D1EB5"/>
    <w:rsid w:val="004D3C9D"/>
    <w:rsid w:val="004D6F1B"/>
    <w:rsid w:val="004E0D9B"/>
    <w:rsid w:val="004E2F19"/>
    <w:rsid w:val="004F3817"/>
    <w:rsid w:val="004F491D"/>
    <w:rsid w:val="004F57CD"/>
    <w:rsid w:val="004F7B37"/>
    <w:rsid w:val="0050120B"/>
    <w:rsid w:val="00501686"/>
    <w:rsid w:val="00501DD8"/>
    <w:rsid w:val="00504E0E"/>
    <w:rsid w:val="00510901"/>
    <w:rsid w:val="0051359C"/>
    <w:rsid w:val="00515CF7"/>
    <w:rsid w:val="00517918"/>
    <w:rsid w:val="0052375A"/>
    <w:rsid w:val="00524DE5"/>
    <w:rsid w:val="00527E80"/>
    <w:rsid w:val="00530810"/>
    <w:rsid w:val="0053224A"/>
    <w:rsid w:val="00533757"/>
    <w:rsid w:val="005351E4"/>
    <w:rsid w:val="005429EE"/>
    <w:rsid w:val="00542C07"/>
    <w:rsid w:val="00547632"/>
    <w:rsid w:val="00547B9C"/>
    <w:rsid w:val="005579EC"/>
    <w:rsid w:val="00565438"/>
    <w:rsid w:val="005666EC"/>
    <w:rsid w:val="005670E7"/>
    <w:rsid w:val="005673DC"/>
    <w:rsid w:val="00581114"/>
    <w:rsid w:val="00581F9C"/>
    <w:rsid w:val="00585C56"/>
    <w:rsid w:val="00587D98"/>
    <w:rsid w:val="00595E1A"/>
    <w:rsid w:val="0059652E"/>
    <w:rsid w:val="005965F5"/>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5E5619"/>
    <w:rsid w:val="00612F43"/>
    <w:rsid w:val="006145D2"/>
    <w:rsid w:val="00616239"/>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C7D15"/>
    <w:rsid w:val="006D0372"/>
    <w:rsid w:val="006D0B7F"/>
    <w:rsid w:val="006D0C94"/>
    <w:rsid w:val="006D23A3"/>
    <w:rsid w:val="006D6ABD"/>
    <w:rsid w:val="006E195D"/>
    <w:rsid w:val="006E58D9"/>
    <w:rsid w:val="006E7999"/>
    <w:rsid w:val="006F2697"/>
    <w:rsid w:val="006F7170"/>
    <w:rsid w:val="00720A30"/>
    <w:rsid w:val="00721AE4"/>
    <w:rsid w:val="00723454"/>
    <w:rsid w:val="007271CA"/>
    <w:rsid w:val="00730BB5"/>
    <w:rsid w:val="007314A0"/>
    <w:rsid w:val="00731F5F"/>
    <w:rsid w:val="007326DF"/>
    <w:rsid w:val="00742A37"/>
    <w:rsid w:val="00754B00"/>
    <w:rsid w:val="00763F6F"/>
    <w:rsid w:val="00765F8B"/>
    <w:rsid w:val="00767C71"/>
    <w:rsid w:val="00774217"/>
    <w:rsid w:val="007752FF"/>
    <w:rsid w:val="00776D2B"/>
    <w:rsid w:val="007812FC"/>
    <w:rsid w:val="007815C0"/>
    <w:rsid w:val="00782BC6"/>
    <w:rsid w:val="00783A4E"/>
    <w:rsid w:val="00785313"/>
    <w:rsid w:val="00785EE7"/>
    <w:rsid w:val="007873C3"/>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52C7"/>
    <w:rsid w:val="007E6808"/>
    <w:rsid w:val="007F0394"/>
    <w:rsid w:val="007F1029"/>
    <w:rsid w:val="007F4B19"/>
    <w:rsid w:val="00806040"/>
    <w:rsid w:val="008156F9"/>
    <w:rsid w:val="008161B2"/>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1178"/>
    <w:rsid w:val="00881E5D"/>
    <w:rsid w:val="00884F2A"/>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36FA"/>
    <w:rsid w:val="009166B6"/>
    <w:rsid w:val="00916884"/>
    <w:rsid w:val="00917A6A"/>
    <w:rsid w:val="00920F2D"/>
    <w:rsid w:val="00921A1B"/>
    <w:rsid w:val="00922FF4"/>
    <w:rsid w:val="009347F0"/>
    <w:rsid w:val="00935F33"/>
    <w:rsid w:val="0093638A"/>
    <w:rsid w:val="009378FF"/>
    <w:rsid w:val="00940506"/>
    <w:rsid w:val="00940754"/>
    <w:rsid w:val="00944A63"/>
    <w:rsid w:val="00945B4E"/>
    <w:rsid w:val="00947B06"/>
    <w:rsid w:val="00947B15"/>
    <w:rsid w:val="00952E08"/>
    <w:rsid w:val="00954B41"/>
    <w:rsid w:val="00956005"/>
    <w:rsid w:val="00956999"/>
    <w:rsid w:val="00964933"/>
    <w:rsid w:val="009717D1"/>
    <w:rsid w:val="00974FDE"/>
    <w:rsid w:val="00975BF1"/>
    <w:rsid w:val="00980E9A"/>
    <w:rsid w:val="00987DE6"/>
    <w:rsid w:val="00993180"/>
    <w:rsid w:val="009A3031"/>
    <w:rsid w:val="009A6AB7"/>
    <w:rsid w:val="009B11C6"/>
    <w:rsid w:val="009C5E0B"/>
    <w:rsid w:val="009D30D0"/>
    <w:rsid w:val="009D3DF0"/>
    <w:rsid w:val="009D4EB3"/>
    <w:rsid w:val="009F05BF"/>
    <w:rsid w:val="009F1D70"/>
    <w:rsid w:val="009F5944"/>
    <w:rsid w:val="00A0021E"/>
    <w:rsid w:val="00A0658F"/>
    <w:rsid w:val="00A13F55"/>
    <w:rsid w:val="00A140B5"/>
    <w:rsid w:val="00A154A5"/>
    <w:rsid w:val="00A2031A"/>
    <w:rsid w:val="00A20C84"/>
    <w:rsid w:val="00A26CD6"/>
    <w:rsid w:val="00A31F3B"/>
    <w:rsid w:val="00A33138"/>
    <w:rsid w:val="00A36CBA"/>
    <w:rsid w:val="00A42D38"/>
    <w:rsid w:val="00A4389F"/>
    <w:rsid w:val="00A4409F"/>
    <w:rsid w:val="00A44808"/>
    <w:rsid w:val="00A504C2"/>
    <w:rsid w:val="00A5136B"/>
    <w:rsid w:val="00A51A65"/>
    <w:rsid w:val="00A53FC4"/>
    <w:rsid w:val="00A6075D"/>
    <w:rsid w:val="00A63181"/>
    <w:rsid w:val="00A74C7D"/>
    <w:rsid w:val="00A773DA"/>
    <w:rsid w:val="00A77796"/>
    <w:rsid w:val="00A77E3A"/>
    <w:rsid w:val="00A81F35"/>
    <w:rsid w:val="00A8382F"/>
    <w:rsid w:val="00A8579A"/>
    <w:rsid w:val="00A93708"/>
    <w:rsid w:val="00AA2A31"/>
    <w:rsid w:val="00AA4211"/>
    <w:rsid w:val="00AA5F39"/>
    <w:rsid w:val="00AB0F41"/>
    <w:rsid w:val="00AB4BB0"/>
    <w:rsid w:val="00AB5344"/>
    <w:rsid w:val="00AC0BBE"/>
    <w:rsid w:val="00AC2EAE"/>
    <w:rsid w:val="00AD1F63"/>
    <w:rsid w:val="00AE6B0A"/>
    <w:rsid w:val="00AF044A"/>
    <w:rsid w:val="00AF2497"/>
    <w:rsid w:val="00AF6EDC"/>
    <w:rsid w:val="00B002B8"/>
    <w:rsid w:val="00B049AB"/>
    <w:rsid w:val="00B079E9"/>
    <w:rsid w:val="00B16FDE"/>
    <w:rsid w:val="00B1736E"/>
    <w:rsid w:val="00B2427E"/>
    <w:rsid w:val="00B26353"/>
    <w:rsid w:val="00B32F59"/>
    <w:rsid w:val="00B330CE"/>
    <w:rsid w:val="00B34DB9"/>
    <w:rsid w:val="00B3655C"/>
    <w:rsid w:val="00B36918"/>
    <w:rsid w:val="00B37BD5"/>
    <w:rsid w:val="00B4089B"/>
    <w:rsid w:val="00B41501"/>
    <w:rsid w:val="00B4252A"/>
    <w:rsid w:val="00B43FD3"/>
    <w:rsid w:val="00B46280"/>
    <w:rsid w:val="00B54753"/>
    <w:rsid w:val="00B56DAC"/>
    <w:rsid w:val="00B65C66"/>
    <w:rsid w:val="00B66525"/>
    <w:rsid w:val="00B7201D"/>
    <w:rsid w:val="00B72D56"/>
    <w:rsid w:val="00B73385"/>
    <w:rsid w:val="00B7660A"/>
    <w:rsid w:val="00B80D78"/>
    <w:rsid w:val="00B80F1F"/>
    <w:rsid w:val="00B81D14"/>
    <w:rsid w:val="00B85715"/>
    <w:rsid w:val="00B86CFA"/>
    <w:rsid w:val="00B87EBA"/>
    <w:rsid w:val="00B92B61"/>
    <w:rsid w:val="00B969D4"/>
    <w:rsid w:val="00BA230A"/>
    <w:rsid w:val="00BA7BA1"/>
    <w:rsid w:val="00BB2229"/>
    <w:rsid w:val="00BC087F"/>
    <w:rsid w:val="00BC23E1"/>
    <w:rsid w:val="00BC2882"/>
    <w:rsid w:val="00BC31D3"/>
    <w:rsid w:val="00BC3AF2"/>
    <w:rsid w:val="00BC4513"/>
    <w:rsid w:val="00BC476E"/>
    <w:rsid w:val="00BC6912"/>
    <w:rsid w:val="00BD1EE5"/>
    <w:rsid w:val="00BD3E25"/>
    <w:rsid w:val="00BE0143"/>
    <w:rsid w:val="00BE088D"/>
    <w:rsid w:val="00BE60C2"/>
    <w:rsid w:val="00BF4005"/>
    <w:rsid w:val="00BF56EB"/>
    <w:rsid w:val="00BF5FDD"/>
    <w:rsid w:val="00C010CC"/>
    <w:rsid w:val="00C04234"/>
    <w:rsid w:val="00C143F0"/>
    <w:rsid w:val="00C15280"/>
    <w:rsid w:val="00C16649"/>
    <w:rsid w:val="00C21042"/>
    <w:rsid w:val="00C22F47"/>
    <w:rsid w:val="00C25298"/>
    <w:rsid w:val="00C263DA"/>
    <w:rsid w:val="00C30738"/>
    <w:rsid w:val="00C5471C"/>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D06D5"/>
    <w:rsid w:val="00CD5F66"/>
    <w:rsid w:val="00CE2915"/>
    <w:rsid w:val="00CE48BB"/>
    <w:rsid w:val="00CF1CB7"/>
    <w:rsid w:val="00CF7DD5"/>
    <w:rsid w:val="00D013C8"/>
    <w:rsid w:val="00D03E8B"/>
    <w:rsid w:val="00D06BE0"/>
    <w:rsid w:val="00D13DC7"/>
    <w:rsid w:val="00D16B1B"/>
    <w:rsid w:val="00D30499"/>
    <w:rsid w:val="00D340ED"/>
    <w:rsid w:val="00D414AB"/>
    <w:rsid w:val="00D56268"/>
    <w:rsid w:val="00D57F76"/>
    <w:rsid w:val="00D766DC"/>
    <w:rsid w:val="00D84ADA"/>
    <w:rsid w:val="00D853F5"/>
    <w:rsid w:val="00D859DE"/>
    <w:rsid w:val="00D87D5F"/>
    <w:rsid w:val="00D919D9"/>
    <w:rsid w:val="00D9238E"/>
    <w:rsid w:val="00D9776A"/>
    <w:rsid w:val="00DA4501"/>
    <w:rsid w:val="00DA4F2B"/>
    <w:rsid w:val="00DA5FEE"/>
    <w:rsid w:val="00DA6C7F"/>
    <w:rsid w:val="00DB1006"/>
    <w:rsid w:val="00DB57C9"/>
    <w:rsid w:val="00DB5F48"/>
    <w:rsid w:val="00DB79D6"/>
    <w:rsid w:val="00DC59D6"/>
    <w:rsid w:val="00DC60AC"/>
    <w:rsid w:val="00DD364C"/>
    <w:rsid w:val="00DD4EB3"/>
    <w:rsid w:val="00DD7167"/>
    <w:rsid w:val="00DD7E7D"/>
    <w:rsid w:val="00DE139B"/>
    <w:rsid w:val="00DE34F1"/>
    <w:rsid w:val="00DE40FB"/>
    <w:rsid w:val="00DF65D2"/>
    <w:rsid w:val="00E0381A"/>
    <w:rsid w:val="00E2087D"/>
    <w:rsid w:val="00E222B8"/>
    <w:rsid w:val="00E25E6A"/>
    <w:rsid w:val="00E30A09"/>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8370B"/>
    <w:rsid w:val="00E83EC9"/>
    <w:rsid w:val="00E87184"/>
    <w:rsid w:val="00E87533"/>
    <w:rsid w:val="00E944D7"/>
    <w:rsid w:val="00E94998"/>
    <w:rsid w:val="00EA5E30"/>
    <w:rsid w:val="00EC02F1"/>
    <w:rsid w:val="00EE47B0"/>
    <w:rsid w:val="00EE7555"/>
    <w:rsid w:val="00EE78E5"/>
    <w:rsid w:val="00EF05B9"/>
    <w:rsid w:val="00EF59C3"/>
    <w:rsid w:val="00EF749C"/>
    <w:rsid w:val="00F0222D"/>
    <w:rsid w:val="00F036AB"/>
    <w:rsid w:val="00F051D9"/>
    <w:rsid w:val="00F07784"/>
    <w:rsid w:val="00F137E6"/>
    <w:rsid w:val="00F14617"/>
    <w:rsid w:val="00F14661"/>
    <w:rsid w:val="00F22426"/>
    <w:rsid w:val="00F2698F"/>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A0050"/>
    <w:rsid w:val="00FA0D01"/>
    <w:rsid w:val="00FC29B1"/>
    <w:rsid w:val="00FC7592"/>
    <w:rsid w:val="00FC770F"/>
    <w:rsid w:val="00FD2679"/>
    <w:rsid w:val="00FD40EB"/>
    <w:rsid w:val="00FD46B2"/>
    <w:rsid w:val="00FD63AC"/>
    <w:rsid w:val="00FE1CDB"/>
    <w:rsid w:val="00FE2871"/>
    <w:rsid w:val="00FE2B19"/>
    <w:rsid w:val="00FE3BE9"/>
    <w:rsid w:val="00FE6042"/>
    <w:rsid w:val="00FE6C55"/>
    <w:rsid w:val="00FF269E"/>
    <w:rsid w:val="00FF3251"/>
    <w:rsid w:val="00FF3578"/>
    <w:rsid w:val="034215CC"/>
    <w:rsid w:val="034D1875"/>
    <w:rsid w:val="03A810DA"/>
    <w:rsid w:val="04793982"/>
    <w:rsid w:val="0914216F"/>
    <w:rsid w:val="099F699F"/>
    <w:rsid w:val="0BB90B94"/>
    <w:rsid w:val="0BF558B0"/>
    <w:rsid w:val="0C6F4F00"/>
    <w:rsid w:val="0CBA42B6"/>
    <w:rsid w:val="0CD07931"/>
    <w:rsid w:val="0E220EFD"/>
    <w:rsid w:val="106000A3"/>
    <w:rsid w:val="106D2E5F"/>
    <w:rsid w:val="10C92BDE"/>
    <w:rsid w:val="11E06D1D"/>
    <w:rsid w:val="14BD6DE9"/>
    <w:rsid w:val="151B0610"/>
    <w:rsid w:val="153967D9"/>
    <w:rsid w:val="15A51265"/>
    <w:rsid w:val="1602563E"/>
    <w:rsid w:val="17DF730A"/>
    <w:rsid w:val="182037F9"/>
    <w:rsid w:val="1871150E"/>
    <w:rsid w:val="193B0DD2"/>
    <w:rsid w:val="1950525E"/>
    <w:rsid w:val="19995649"/>
    <w:rsid w:val="1A4B0BD2"/>
    <w:rsid w:val="1B142ABF"/>
    <w:rsid w:val="1BB02F43"/>
    <w:rsid w:val="1CD92D71"/>
    <w:rsid w:val="1DA91524"/>
    <w:rsid w:val="1DBC2256"/>
    <w:rsid w:val="1EFB122C"/>
    <w:rsid w:val="1F57560A"/>
    <w:rsid w:val="20DD1860"/>
    <w:rsid w:val="21416467"/>
    <w:rsid w:val="21467DDF"/>
    <w:rsid w:val="2258468B"/>
    <w:rsid w:val="24977CE4"/>
    <w:rsid w:val="250C493B"/>
    <w:rsid w:val="26E64670"/>
    <w:rsid w:val="272712C8"/>
    <w:rsid w:val="29CF7033"/>
    <w:rsid w:val="2C672FEB"/>
    <w:rsid w:val="2D12102F"/>
    <w:rsid w:val="2F3F3674"/>
    <w:rsid w:val="2F6F6534"/>
    <w:rsid w:val="2FB62CD5"/>
    <w:rsid w:val="3166404B"/>
    <w:rsid w:val="316E4BCF"/>
    <w:rsid w:val="32FB3069"/>
    <w:rsid w:val="332831C8"/>
    <w:rsid w:val="359C2633"/>
    <w:rsid w:val="360A4426"/>
    <w:rsid w:val="37623BD0"/>
    <w:rsid w:val="378A2746"/>
    <w:rsid w:val="382035D9"/>
    <w:rsid w:val="390E2AE7"/>
    <w:rsid w:val="3A2A6D06"/>
    <w:rsid w:val="3AAD4D2B"/>
    <w:rsid w:val="3BA17D0E"/>
    <w:rsid w:val="3C7F4653"/>
    <w:rsid w:val="3D5C793D"/>
    <w:rsid w:val="3DFD6225"/>
    <w:rsid w:val="3E0B15BA"/>
    <w:rsid w:val="3EC639AA"/>
    <w:rsid w:val="3FE24704"/>
    <w:rsid w:val="427631AB"/>
    <w:rsid w:val="43A8211E"/>
    <w:rsid w:val="4464587F"/>
    <w:rsid w:val="45455C37"/>
    <w:rsid w:val="47C07043"/>
    <w:rsid w:val="4B3A5EC6"/>
    <w:rsid w:val="4D722D5E"/>
    <w:rsid w:val="4DEE463E"/>
    <w:rsid w:val="50A4483B"/>
    <w:rsid w:val="50D54E3C"/>
    <w:rsid w:val="51AF26D5"/>
    <w:rsid w:val="532F052B"/>
    <w:rsid w:val="53CB1533"/>
    <w:rsid w:val="54A90501"/>
    <w:rsid w:val="552402CA"/>
    <w:rsid w:val="55434855"/>
    <w:rsid w:val="56490C7C"/>
    <w:rsid w:val="58343EAC"/>
    <w:rsid w:val="597E6C17"/>
    <w:rsid w:val="5B920EBC"/>
    <w:rsid w:val="5BFA6CAE"/>
    <w:rsid w:val="5D0D24D3"/>
    <w:rsid w:val="5D654113"/>
    <w:rsid w:val="5D676170"/>
    <w:rsid w:val="5DB45A4D"/>
    <w:rsid w:val="5E2A7A6D"/>
    <w:rsid w:val="5E3D22F6"/>
    <w:rsid w:val="5E9E5CF6"/>
    <w:rsid w:val="5F5A3274"/>
    <w:rsid w:val="5F5C54EB"/>
    <w:rsid w:val="5FB62CE4"/>
    <w:rsid w:val="5FDC66AB"/>
    <w:rsid w:val="60886E86"/>
    <w:rsid w:val="61426FC7"/>
    <w:rsid w:val="617E7216"/>
    <w:rsid w:val="64440A64"/>
    <w:rsid w:val="659D1EC8"/>
    <w:rsid w:val="65C42961"/>
    <w:rsid w:val="66AD6F06"/>
    <w:rsid w:val="67F355EF"/>
    <w:rsid w:val="68727AEB"/>
    <w:rsid w:val="68CB2404"/>
    <w:rsid w:val="6B353E8E"/>
    <w:rsid w:val="6B7A4196"/>
    <w:rsid w:val="6BC94628"/>
    <w:rsid w:val="6D082DCE"/>
    <w:rsid w:val="6DD964A3"/>
    <w:rsid w:val="6F514B5B"/>
    <w:rsid w:val="6FE46FB1"/>
    <w:rsid w:val="70071414"/>
    <w:rsid w:val="712C720C"/>
    <w:rsid w:val="74605603"/>
    <w:rsid w:val="74EA6BF5"/>
    <w:rsid w:val="75903C84"/>
    <w:rsid w:val="766E0138"/>
    <w:rsid w:val="76DA4E14"/>
    <w:rsid w:val="78C05101"/>
    <w:rsid w:val="79273F04"/>
    <w:rsid w:val="7A0850E0"/>
    <w:rsid w:val="7C4A2B81"/>
    <w:rsid w:val="7FAA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31"/>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qFormat/>
    <w:uiPriority w:val="0"/>
    <w:pPr>
      <w:keepNext/>
      <w:keepLines/>
      <w:spacing w:before="260" w:after="260" w:line="416" w:lineRule="auto"/>
      <w:outlineLvl w:val="2"/>
    </w:pPr>
    <w:rPr>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179"/>
    <w:semiHidden/>
    <w:unhideWhenUsed/>
    <w:qFormat/>
    <w:uiPriority w:val="99"/>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3"/>
    <w:basedOn w:val="1"/>
    <w:next w:val="1"/>
    <w:unhideWhenUsed/>
    <w:qFormat/>
    <w:uiPriority w:val="39"/>
    <w:pPr>
      <w:ind w:left="840" w:leftChars="400"/>
    </w:pPr>
  </w:style>
  <w:style w:type="paragraph" w:styleId="9">
    <w:name w:val="Date"/>
    <w:basedOn w:val="1"/>
    <w:next w:val="1"/>
    <w:qFormat/>
    <w:uiPriority w:val="0"/>
    <w:pPr>
      <w:ind w:left="100" w:leftChars="2500"/>
    </w:pPr>
    <w:rPr>
      <w:rFonts w:ascii="宋体"/>
      <w:kern w:val="0"/>
      <w:sz w:val="20"/>
      <w:szCs w:val="20"/>
      <w:lang w:val="zh-CN"/>
    </w:rPr>
  </w:style>
  <w:style w:type="paragraph" w:styleId="10">
    <w:name w:val="Body Text Indent 2"/>
    <w:basedOn w:val="1"/>
    <w:qFormat/>
    <w:uiPriority w:val="0"/>
    <w:pPr>
      <w:tabs>
        <w:tab w:val="left" w:pos="2520"/>
      </w:tabs>
      <w:ind w:firstLine="435"/>
    </w:pPr>
    <w:rPr>
      <w:szCs w:val="24"/>
    </w:rPr>
  </w:style>
  <w:style w:type="paragraph" w:styleId="11">
    <w:name w:val="Balloon Text"/>
    <w:basedOn w:val="1"/>
    <w:link w:val="37"/>
    <w:unhideWhenUsed/>
    <w:qFormat/>
    <w:uiPriority w:val="99"/>
    <w:rPr>
      <w:kern w:val="0"/>
      <w:sz w:val="18"/>
      <w:szCs w:val="18"/>
    </w:rPr>
  </w:style>
  <w:style w:type="paragraph" w:styleId="12">
    <w:name w:val="footer"/>
    <w:basedOn w:val="1"/>
    <w:link w:val="35"/>
    <w:unhideWhenUsed/>
    <w:qFormat/>
    <w:uiPriority w:val="99"/>
    <w:pPr>
      <w:tabs>
        <w:tab w:val="center" w:pos="4153"/>
        <w:tab w:val="right" w:pos="8306"/>
      </w:tabs>
      <w:snapToGrid w:val="0"/>
      <w:jc w:val="left"/>
    </w:pPr>
    <w:rPr>
      <w:kern w:val="0"/>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tabs>
        <w:tab w:val="right" w:leader="dot" w:pos="9170"/>
      </w:tabs>
      <w:spacing w:before="120" w:after="120"/>
      <w:jc w:val="left"/>
    </w:pPr>
    <w:rPr>
      <w:rFonts w:ascii="宋体" w:hAnsi="宋体"/>
      <w:b/>
      <w:bCs/>
      <w:caps/>
      <w:color w:val="000000"/>
      <w:sz w:val="24"/>
      <w:szCs w:val="24"/>
    </w:rPr>
  </w:style>
  <w:style w:type="paragraph" w:styleId="15">
    <w:name w:val="Subtitle"/>
    <w:basedOn w:val="1"/>
    <w:next w:val="1"/>
    <w:link w:val="39"/>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17">
    <w:name w:val="toc 2"/>
    <w:basedOn w:val="1"/>
    <w:next w:val="1"/>
    <w:qFormat/>
    <w:uiPriority w:val="39"/>
    <w:pPr>
      <w:tabs>
        <w:tab w:val="right" w:leader="dot" w:pos="9170"/>
      </w:tabs>
      <w:spacing w:line="360" w:lineRule="auto"/>
      <w:ind w:left="210"/>
      <w:jc w:val="left"/>
    </w:pPr>
    <w:rPr>
      <w:rFonts w:ascii="宋体" w:hAnsi="宋体"/>
      <w:b/>
      <w:smallCaps/>
      <w:color w:val="000000"/>
      <w:sz w:val="24"/>
      <w:szCs w:val="24"/>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table" w:styleId="26">
    <w:name w:val="Table Grid"/>
    <w:basedOn w:val="2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7">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3 Char"/>
    <w:qFormat/>
    <w:uiPriority w:val="0"/>
    <w:rPr>
      <w:rFonts w:eastAsia="宋体"/>
      <w:b/>
      <w:bCs/>
      <w:kern w:val="2"/>
      <w:sz w:val="32"/>
      <w:szCs w:val="32"/>
      <w:lang w:val="en-US" w:eastAsia="zh-CN" w:bidi="ar-SA"/>
    </w:rPr>
  </w:style>
  <w:style w:type="character" w:customStyle="1" w:styleId="29">
    <w:name w:val="页眉 Char"/>
    <w:link w:val="13"/>
    <w:qFormat/>
    <w:uiPriority w:val="99"/>
    <w:rPr>
      <w:sz w:val="18"/>
      <w:szCs w:val="18"/>
    </w:rPr>
  </w:style>
  <w:style w:type="character" w:customStyle="1" w:styleId="30">
    <w:name w:val="showtext"/>
    <w:basedOn w:val="20"/>
    <w:qFormat/>
    <w:uiPriority w:val="0"/>
  </w:style>
  <w:style w:type="character" w:customStyle="1" w:styleId="31">
    <w:name w:val="标题 2 Char1"/>
    <w:link w:val="3"/>
    <w:qFormat/>
    <w:uiPriority w:val="9"/>
    <w:rPr>
      <w:rFonts w:ascii="Cambria" w:hAnsi="Cambria"/>
      <w:b/>
      <w:bCs/>
      <w:kern w:val="2"/>
      <w:sz w:val="28"/>
      <w:szCs w:val="32"/>
    </w:rPr>
  </w:style>
  <w:style w:type="character" w:customStyle="1" w:styleId="32">
    <w:name w:val="普通 (Web) Char Char2"/>
    <w:qFormat/>
    <w:locked/>
    <w:uiPriority w:val="0"/>
    <w:rPr>
      <w:rFonts w:ascii="宋体" w:hAnsi="宋体" w:eastAsia="宋体" w:cs="宋体"/>
      <w:sz w:val="24"/>
      <w:szCs w:val="24"/>
      <w:lang w:val="en-US" w:eastAsia="zh-CN" w:bidi="ar-SA"/>
    </w:rPr>
  </w:style>
  <w:style w:type="character" w:customStyle="1" w:styleId="33">
    <w:name w:val="apple-converted-space"/>
    <w:basedOn w:val="20"/>
    <w:qFormat/>
    <w:uiPriority w:val="0"/>
  </w:style>
  <w:style w:type="character" w:customStyle="1" w:styleId="34">
    <w:name w:val="标题 1 Char"/>
    <w:link w:val="2"/>
    <w:qFormat/>
    <w:uiPriority w:val="9"/>
    <w:rPr>
      <w:rFonts w:eastAsia="黑体"/>
      <w:b/>
      <w:bCs/>
      <w:kern w:val="44"/>
      <w:sz w:val="32"/>
      <w:szCs w:val="44"/>
    </w:rPr>
  </w:style>
  <w:style w:type="character" w:customStyle="1" w:styleId="35">
    <w:name w:val="页脚 Char"/>
    <w:link w:val="12"/>
    <w:qFormat/>
    <w:uiPriority w:val="99"/>
    <w:rPr>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批注框文本 Char"/>
    <w:link w:val="11"/>
    <w:semiHidden/>
    <w:qFormat/>
    <w:uiPriority w:val="99"/>
    <w:rPr>
      <w:sz w:val="18"/>
      <w:szCs w:val="18"/>
    </w:rPr>
  </w:style>
  <w:style w:type="character" w:customStyle="1" w:styleId="38">
    <w:name w:val="style11"/>
    <w:qFormat/>
    <w:uiPriority w:val="0"/>
    <w:rPr>
      <w:color w:val="999999"/>
      <w:sz w:val="18"/>
      <w:szCs w:val="18"/>
    </w:rPr>
  </w:style>
  <w:style w:type="character" w:customStyle="1" w:styleId="39">
    <w:name w:val="副标题 Char"/>
    <w:link w:val="15"/>
    <w:qFormat/>
    <w:uiPriority w:val="11"/>
    <w:rPr>
      <w:rFonts w:ascii="Cambria" w:hAnsi="Cambria" w:cs="Times New Roman"/>
      <w:b/>
      <w:bCs/>
      <w:kern w:val="28"/>
      <w:sz w:val="32"/>
      <w:szCs w:val="32"/>
    </w:rPr>
  </w:style>
  <w:style w:type="character" w:customStyle="1" w:styleId="40">
    <w:name w:val="标题 2 Char"/>
    <w:qFormat/>
    <w:uiPriority w:val="0"/>
    <w:rPr>
      <w:rFonts w:ascii="Arial" w:hAnsi="Arial" w:eastAsia="黑体"/>
      <w:b/>
      <w:bCs/>
      <w:kern w:val="2"/>
      <w:sz w:val="32"/>
      <w:szCs w:val="32"/>
      <w:lang w:val="en-US" w:eastAsia="zh-CN" w:bidi="ar-SA"/>
    </w:rPr>
  </w:style>
  <w:style w:type="character" w:customStyle="1" w:styleId="41">
    <w:name w:val="style171"/>
    <w:qFormat/>
    <w:uiPriority w:val="0"/>
    <w:rPr>
      <w:sz w:val="21"/>
      <w:szCs w:val="21"/>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style61"/>
    <w:qFormat/>
    <w:uiPriority w:val="0"/>
    <w:rPr>
      <w:b/>
      <w:bCs/>
      <w:color w:val="3399FF"/>
      <w:sz w:val="24"/>
      <w:szCs w:val="24"/>
    </w:rPr>
  </w:style>
  <w:style w:type="character" w:customStyle="1" w:styleId="44">
    <w:name w:val="f41"/>
    <w:qFormat/>
    <w:uiPriority w:val="0"/>
    <w:rPr>
      <w:rFonts w:hint="eastAsia" w:ascii="宋体" w:hAnsi="宋体" w:eastAsia="宋体"/>
      <w:sz w:val="18"/>
      <w:szCs w:val="18"/>
    </w:rPr>
  </w:style>
  <w:style w:type="character" w:customStyle="1" w:styleId="45">
    <w:name w:val="标题 3 Char1"/>
    <w:qFormat/>
    <w:uiPriority w:val="0"/>
    <w:rPr>
      <w:rFonts w:eastAsia="宋体"/>
      <w:b/>
      <w:bCs/>
      <w:kern w:val="2"/>
      <w:sz w:val="32"/>
      <w:szCs w:val="32"/>
      <w:lang w:val="en-US" w:eastAsia="zh-CN" w:bidi="ar-SA"/>
    </w:rPr>
  </w:style>
  <w:style w:type="character" w:customStyle="1" w:styleId="46">
    <w:name w:val="style161"/>
    <w:qFormat/>
    <w:uiPriority w:val="0"/>
    <w:rPr>
      <w:sz w:val="24"/>
      <w:szCs w:val="24"/>
    </w:rPr>
  </w:style>
  <w:style w:type="character" w:customStyle="1" w:styleId="47">
    <w:name w:val="f31"/>
    <w:qFormat/>
    <w:uiPriority w:val="0"/>
    <w:rPr>
      <w:rFonts w:hint="default" w:ascii="ˎ̥" w:hAnsi="ˎ̥"/>
      <w:color w:val="999999"/>
      <w:sz w:val="16"/>
      <w:szCs w:val="16"/>
    </w:rPr>
  </w:style>
  <w:style w:type="paragraph" w:customStyle="1" w:styleId="4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5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51">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5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53">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4">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5">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5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9">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3">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6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6">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6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70">
    <w:name w:val="为440"/>
    <w:basedOn w:val="1"/>
    <w:qFormat/>
    <w:uiPriority w:val="0"/>
    <w:pPr>
      <w:adjustRightInd w:val="0"/>
      <w:spacing w:line="360" w:lineRule="atLeast"/>
      <w:jc w:val="left"/>
      <w:textAlignment w:val="baseline"/>
    </w:pPr>
    <w:rPr>
      <w:kern w:val="0"/>
      <w:sz w:val="24"/>
      <w:szCs w:val="20"/>
    </w:rPr>
  </w:style>
  <w:style w:type="paragraph" w:customStyle="1" w:styleId="71">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72">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7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4">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75">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6">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7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78">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7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80">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82">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83">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8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5">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6">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88">
    <w:name w:val="font9"/>
    <w:basedOn w:val="1"/>
    <w:qFormat/>
    <w:uiPriority w:val="0"/>
    <w:pPr>
      <w:widowControl/>
      <w:spacing w:before="100" w:beforeAutospacing="1" w:after="100" w:afterAutospacing="1"/>
      <w:jc w:val="left"/>
    </w:pPr>
    <w:rPr>
      <w:kern w:val="0"/>
      <w:sz w:val="20"/>
      <w:szCs w:val="20"/>
    </w:rPr>
  </w:style>
  <w:style w:type="paragraph" w:customStyle="1" w:styleId="89">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90">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91">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3">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94">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95">
    <w:name w:val="unnamed1"/>
    <w:basedOn w:val="1"/>
    <w:uiPriority w:val="0"/>
    <w:pPr>
      <w:widowControl/>
      <w:spacing w:line="330" w:lineRule="atLeast"/>
      <w:jc w:val="left"/>
    </w:pPr>
    <w:rPr>
      <w:rFonts w:ascii="宋体" w:hAnsi="宋体" w:cs="宋体"/>
      <w:kern w:val="0"/>
      <w:szCs w:val="21"/>
    </w:rPr>
  </w:style>
  <w:style w:type="paragraph" w:customStyle="1" w:styleId="96">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97">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100">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01">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02">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03">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104">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105">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06">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107">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8">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9">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11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12">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
    <w:name w:val="fgj02"/>
    <w:basedOn w:val="1"/>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1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szCs w:val="24"/>
    </w:rPr>
  </w:style>
  <w:style w:type="paragraph" w:customStyle="1" w:styleId="115">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6">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7">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8">
    <w:name w:val="table302"/>
    <w:basedOn w:val="1"/>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20">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2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123">
    <w:name w:val="font11"/>
    <w:basedOn w:val="1"/>
    <w:uiPriority w:val="0"/>
    <w:pPr>
      <w:widowControl/>
      <w:spacing w:before="100" w:beforeAutospacing="1" w:after="100" w:afterAutospacing="1"/>
      <w:jc w:val="left"/>
    </w:pPr>
    <w:rPr>
      <w:b/>
      <w:bCs/>
      <w:color w:val="FFFFFF"/>
      <w:kern w:val="0"/>
      <w:sz w:val="18"/>
      <w:szCs w:val="18"/>
    </w:rPr>
  </w:style>
  <w:style w:type="paragraph" w:customStyle="1" w:styleId="124">
    <w:name w:val="xl44"/>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125">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2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127">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2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129">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30">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3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132">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134">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35">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6">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7">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9">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140">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1">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42">
    <w:name w:val="xl69"/>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3">
    <w:name w:val="xl70"/>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44">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45">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6">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47">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8">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9">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0">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51">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5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5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54">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55">
    <w:name w:val="xl82"/>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6">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0">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61">
    <w:name w:val="xl94"/>
    <w:basedOn w:val="1"/>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2">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163">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4">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5">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7">
    <w:name w:val="xl93"/>
    <w:basedOn w:val="1"/>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0">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1">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3">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4">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5">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6">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77">
    <w:name w:val="z-窗体底端1"/>
    <w:basedOn w:val="1"/>
    <w:next w:val="1"/>
    <w:uiPriority w:val="0"/>
    <w:pPr>
      <w:widowControl/>
      <w:pBdr>
        <w:top w:val="single" w:color="auto" w:sz="6" w:space="1"/>
      </w:pBdr>
      <w:jc w:val="center"/>
    </w:pPr>
    <w:rPr>
      <w:rFonts w:ascii="Arial" w:hAnsi="Arial" w:cs="Arial"/>
      <w:vanish/>
      <w:kern w:val="0"/>
      <w:sz w:val="16"/>
      <w:szCs w:val="16"/>
    </w:rPr>
  </w:style>
  <w:style w:type="paragraph" w:customStyle="1" w:styleId="178">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character" w:customStyle="1" w:styleId="179">
    <w:name w:val="文档结构图 Char"/>
    <w:basedOn w:val="20"/>
    <w:link w:val="6"/>
    <w:semiHidden/>
    <w:uiPriority w:val="99"/>
    <w:rPr>
      <w:rFonts w:ascii="宋体"/>
      <w:kern w:val="2"/>
      <w:sz w:val="18"/>
      <w:szCs w:val="18"/>
    </w:rPr>
  </w:style>
  <w:style w:type="paragraph" w:styleId="18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1407;&#27833;\&#21608;&#25253;&#12289;&#26376;&#25253;\&#26368;&#26032;&#28342;&#21058;&#27833;&#21608;&#25253;&#65306;&#23665;&#19996;&#22320;&#28860;&#30707;&#33041;&#27833;&#20215;&#26684;&#36208;&#21183;&#22270;1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山东地炼石脑油价格走势图</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0511875670714"/>
          <c:y val="0.0288483151015519"/>
        </c:manualLayout>
      </c:layout>
      <c:overlay val="0"/>
    </c:title>
    <c:autoTitleDeleted val="0"/>
    <c:plotArea>
      <c:layout>
        <c:manualLayout>
          <c:layoutTarget val="inner"/>
          <c:xMode val="edge"/>
          <c:yMode val="edge"/>
          <c:x val="0.0825420823676333"/>
          <c:y val="0.142857210012928"/>
          <c:w val="0.858347386172007"/>
          <c:h val="0.591837324455242"/>
        </c:manualLayout>
      </c:layout>
      <c:lineChart>
        <c:grouping val="standard"/>
        <c:varyColors val="0"/>
        <c:ser>
          <c:idx val="8"/>
          <c:order val="0"/>
          <c:tx>
            <c:strRef>
              <c:f>'[最新溶剂油周报：山东地炼石脑油价格走势图11.2.xls]溶剂油周报-石脑油价格走势图表'!$D$178</c:f>
              <c:strCache>
                <c:ptCount val="1"/>
                <c:pt idx="0">
                  <c:v>鑫泰石化</c:v>
                </c:pt>
              </c:strCache>
            </c:strRef>
          </c:tx>
          <c:spPr>
            <a:ln w="38100" cap="rnd" cmpd="sng" algn="ctr">
              <a:solidFill>
                <a:srgbClr val="000000">
                  <a:alpha val="100000"/>
                </a:srgbClr>
              </a:solidFill>
              <a:prstDash val="solid"/>
              <a:round/>
            </a:ln>
          </c:spPr>
          <c:marker>
            <c:symbol val="none"/>
          </c:marker>
          <c:dLbls>
            <c:delete val="1"/>
          </c:dLbls>
          <c:cat>
            <c:numRef>
              <c:f>'[最新溶剂油周报：山东地炼石脑油价格走势图11.2.xls]溶剂油周报-石脑油价格走势图表'!$A$179:$C$349</c:f>
              <c:numCache>
                <c:formatCode>yyyy/m/d</c:formatCode>
                <c:ptCount val="17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pt idx="139" c:formatCode="yyyy/m/d">
                  <c:v>43259</c:v>
                </c:pt>
                <c:pt idx="140" c:formatCode="yyyy/m/d">
                  <c:v>43266</c:v>
                </c:pt>
                <c:pt idx="141" c:formatCode="yyyy/m/d">
                  <c:v>43273</c:v>
                </c:pt>
                <c:pt idx="142" c:formatCode="yyyy/m/d">
                  <c:v>43280</c:v>
                </c:pt>
                <c:pt idx="143" c:formatCode="yyyy/m/d">
                  <c:v>43287</c:v>
                </c:pt>
                <c:pt idx="144" c:formatCode="yyyy/m/d">
                  <c:v>43294</c:v>
                </c:pt>
                <c:pt idx="145" c:formatCode="yyyy/m/d">
                  <c:v>43301</c:v>
                </c:pt>
                <c:pt idx="146" c:formatCode="yyyy/m/d">
                  <c:v>43308</c:v>
                </c:pt>
                <c:pt idx="147" c:formatCode="yyyy/m/d">
                  <c:v>43315</c:v>
                </c:pt>
                <c:pt idx="148" c:formatCode="yyyy/m/d">
                  <c:v>43322</c:v>
                </c:pt>
                <c:pt idx="149" c:formatCode="yyyy/m/d">
                  <c:v>43329</c:v>
                </c:pt>
                <c:pt idx="150" c:formatCode="yyyy/m/d">
                  <c:v>43336</c:v>
                </c:pt>
                <c:pt idx="151" c:formatCode="yyyy/m/d">
                  <c:v>43343</c:v>
                </c:pt>
                <c:pt idx="152" c:formatCode="yyyy/m/d">
                  <c:v>43350</c:v>
                </c:pt>
                <c:pt idx="153" c:formatCode="yyyy/m/d">
                  <c:v>43357</c:v>
                </c:pt>
                <c:pt idx="154" c:formatCode="yyyy/m/d">
                  <c:v>43364</c:v>
                </c:pt>
                <c:pt idx="155" c:formatCode="yyyy/m/d">
                  <c:v>43371</c:v>
                </c:pt>
                <c:pt idx="156" c:formatCode="yyyy/m/d">
                  <c:v>43385</c:v>
                </c:pt>
                <c:pt idx="157" c:formatCode="yyyy/m/d">
                  <c:v>43392</c:v>
                </c:pt>
                <c:pt idx="158" c:formatCode="yyyy/m/d">
                  <c:v>43399</c:v>
                </c:pt>
                <c:pt idx="159" c:formatCode="yyyy/m/d">
                  <c:v>43406</c:v>
                </c:pt>
                <c:pt idx="160" c:formatCode="yyyy/m/d">
                  <c:v>43413</c:v>
                </c:pt>
              </c:numCache>
            </c:numRef>
          </c:cat>
          <c:val>
            <c:numRef>
              <c:f>'[最新溶剂油周报：山东地炼石脑油价格走势图11.2.xls]溶剂油周报-石脑油价格走势图表'!$D$179:$D$349</c:f>
              <c:numCache>
                <c:formatCode>@</c:formatCode>
                <c:ptCount val="171"/>
                <c:pt idx="0">
                  <c:v>5250</c:v>
                </c:pt>
                <c:pt idx="1">
                  <c:v>5250</c:v>
                </c:pt>
                <c:pt idx="2">
                  <c:v>5250</c:v>
                </c:pt>
                <c:pt idx="3">
                  <c:v>5250</c:v>
                </c:pt>
                <c:pt idx="4">
                  <c:v>5250</c:v>
                </c:pt>
                <c:pt idx="5">
                  <c:v>5250</c:v>
                </c:pt>
                <c:pt idx="6">
                  <c:v>5250</c:v>
                </c:pt>
                <c:pt idx="7">
                  <c:v>5250</c:v>
                </c:pt>
                <c:pt idx="8">
                  <c:v>5250</c:v>
                </c:pt>
                <c:pt idx="9">
                  <c:v>5250</c:v>
                </c:pt>
                <c:pt idx="10">
                  <c:v>4980</c:v>
                </c:pt>
                <c:pt idx="11">
                  <c:v>4980</c:v>
                </c:pt>
                <c:pt idx="12">
                  <c:v>4980</c:v>
                </c:pt>
                <c:pt idx="13">
                  <c:v>4800</c:v>
                </c:pt>
                <c:pt idx="14">
                  <c:v>4800</c:v>
                </c:pt>
                <c:pt idx="15">
                  <c:v>4800</c:v>
                </c:pt>
                <c:pt idx="16">
                  <c:v>4800</c:v>
                </c:pt>
                <c:pt idx="17">
                  <c:v>5500</c:v>
                </c:pt>
                <c:pt idx="18">
                  <c:v>5500</c:v>
                </c:pt>
                <c:pt idx="19">
                  <c:v>5500</c:v>
                </c:pt>
                <c:pt idx="20">
                  <c:v>5500</c:v>
                </c:pt>
                <c:pt idx="21">
                  <c:v>5500</c:v>
                </c:pt>
                <c:pt idx="22">
                  <c:v>3700</c:v>
                </c:pt>
                <c:pt idx="23">
                  <c:v>3700</c:v>
                </c:pt>
                <c:pt idx="24">
                  <c:v>3700</c:v>
                </c:pt>
                <c:pt idx="25">
                  <c:v>4200</c:v>
                </c:pt>
                <c:pt idx="26">
                  <c:v>4400</c:v>
                </c:pt>
                <c:pt idx="27">
                  <c:v>4400</c:v>
                </c:pt>
                <c:pt idx="28">
                  <c:v>4000</c:v>
                </c:pt>
                <c:pt idx="29">
                  <c:v>4000</c:v>
                </c:pt>
                <c:pt idx="30">
                  <c:v>4000</c:v>
                </c:pt>
                <c:pt idx="31">
                  <c:v>4000</c:v>
                </c:pt>
                <c:pt idx="32">
                  <c:v>4000</c:v>
                </c:pt>
                <c:pt idx="33">
                  <c:v>4000</c:v>
                </c:pt>
                <c:pt idx="34">
                  <c:v>4000</c:v>
                </c:pt>
                <c:pt idx="35">
                  <c:v>4500</c:v>
                </c:pt>
                <c:pt idx="36">
                  <c:v>4500</c:v>
                </c:pt>
                <c:pt idx="37">
                  <c:v>4500</c:v>
                </c:pt>
                <c:pt idx="38">
                  <c:v>4500</c:v>
                </c:pt>
                <c:pt idx="39">
                  <c:v>4500</c:v>
                </c:pt>
                <c:pt idx="40">
                  <c:v>4100</c:v>
                </c:pt>
                <c:pt idx="41">
                  <c:v>4100</c:v>
                </c:pt>
                <c:pt idx="42">
                  <c:v>4100</c:v>
                </c:pt>
                <c:pt idx="43">
                  <c:v>4100</c:v>
                </c:pt>
                <c:pt idx="44">
                  <c:v>4100</c:v>
                </c:pt>
                <c:pt idx="45">
                  <c:v>4100</c:v>
                </c:pt>
                <c:pt idx="46">
                  <c:v>4100</c:v>
                </c:pt>
                <c:pt idx="47">
                  <c:v>4100</c:v>
                </c:pt>
                <c:pt idx="48">
                  <c:v>4100</c:v>
                </c:pt>
                <c:pt idx="49">
                  <c:v>4100</c:v>
                </c:pt>
                <c:pt idx="50">
                  <c:v>4100</c:v>
                </c:pt>
                <c:pt idx="51">
                  <c:v>4100</c:v>
                </c:pt>
                <c:pt idx="52">
                  <c:v>4100</c:v>
                </c:pt>
                <c:pt idx="53" c:formatCode="General">
                  <c:v>4000</c:v>
                </c:pt>
                <c:pt idx="54" c:formatCode="General">
                  <c:v>4000</c:v>
                </c:pt>
                <c:pt idx="55" c:formatCode="General">
                  <c:v>4100</c:v>
                </c:pt>
                <c:pt idx="56" c:formatCode="General">
                  <c:v>4100</c:v>
                </c:pt>
                <c:pt idx="57" c:formatCode="General">
                  <c:v>4100</c:v>
                </c:pt>
                <c:pt idx="58" c:formatCode="General">
                  <c:v>4100</c:v>
                </c:pt>
                <c:pt idx="59" c:formatCode="General">
                  <c:v>4100</c:v>
                </c:pt>
                <c:pt idx="60" c:formatCode="General">
                  <c:v>4150</c:v>
                </c:pt>
                <c:pt idx="61" c:formatCode="General">
                  <c:v>4150</c:v>
                </c:pt>
                <c:pt idx="62" c:formatCode="General">
                  <c:v>4150</c:v>
                </c:pt>
                <c:pt idx="63" c:formatCode="General">
                  <c:v>4500</c:v>
                </c:pt>
                <c:pt idx="64" c:formatCode="General">
                  <c:v>4500</c:v>
                </c:pt>
                <c:pt idx="65" c:formatCode="General">
                  <c:v>4500</c:v>
                </c:pt>
                <c:pt idx="66" c:formatCode="General">
                  <c:v>4500</c:v>
                </c:pt>
                <c:pt idx="67" c:formatCode="General">
                  <c:v>4500</c:v>
                </c:pt>
                <c:pt idx="68" c:formatCode="General">
                  <c:v>4500</c:v>
                </c:pt>
                <c:pt idx="69" c:formatCode="General">
                  <c:v>4500</c:v>
                </c:pt>
                <c:pt idx="70" c:formatCode="General">
                  <c:v>4500</c:v>
                </c:pt>
                <c:pt idx="71" c:formatCode="General">
                  <c:v>4500</c:v>
                </c:pt>
                <c:pt idx="72" c:formatCode="General">
                  <c:v>4500</c:v>
                </c:pt>
                <c:pt idx="73" c:formatCode="General">
                  <c:v>4500</c:v>
                </c:pt>
                <c:pt idx="74" c:formatCode="General">
                  <c:v>4500</c:v>
                </c:pt>
                <c:pt idx="75" c:formatCode="General">
                  <c:v>4500</c:v>
                </c:pt>
                <c:pt idx="76" c:formatCode="General">
                  <c:v>4500</c:v>
                </c:pt>
                <c:pt idx="77" c:formatCode="General">
                  <c:v>4500</c:v>
                </c:pt>
                <c:pt idx="78" c:formatCode="General">
                  <c:v>4500</c:v>
                </c:pt>
                <c:pt idx="79" c:formatCode="General">
                  <c:v>5000</c:v>
                </c:pt>
                <c:pt idx="80" c:formatCode="General">
                  <c:v>5000</c:v>
                </c:pt>
                <c:pt idx="81" c:formatCode="General">
                  <c:v>5000</c:v>
                </c:pt>
                <c:pt idx="82" c:formatCode="General">
                  <c:v>5000</c:v>
                </c:pt>
                <c:pt idx="83" c:formatCode="General">
                  <c:v>5000</c:v>
                </c:pt>
                <c:pt idx="84" c:formatCode="General">
                  <c:v>5400</c:v>
                </c:pt>
                <c:pt idx="85" c:formatCode="General">
                  <c:v>5400</c:v>
                </c:pt>
                <c:pt idx="86" c:formatCode="General">
                  <c:v>5400</c:v>
                </c:pt>
                <c:pt idx="87" c:formatCode="General">
                  <c:v>5400</c:v>
                </c:pt>
                <c:pt idx="88" c:formatCode="General">
                  <c:v>5400</c:v>
                </c:pt>
                <c:pt idx="89" c:formatCode="General">
                  <c:v>5400</c:v>
                </c:pt>
                <c:pt idx="90" c:formatCode="General">
                  <c:v>5400</c:v>
                </c:pt>
                <c:pt idx="91" c:formatCode="General">
                  <c:v>5400</c:v>
                </c:pt>
                <c:pt idx="92" c:formatCode="General">
                  <c:v>5400</c:v>
                </c:pt>
                <c:pt idx="93" c:formatCode="General">
                  <c:v>5400</c:v>
                </c:pt>
                <c:pt idx="94" c:formatCode="General">
                  <c:v>5400</c:v>
                </c:pt>
                <c:pt idx="95" c:formatCode="General">
                  <c:v>5400</c:v>
                </c:pt>
                <c:pt idx="96" c:formatCode="General">
                  <c:v>4900</c:v>
                </c:pt>
                <c:pt idx="97" c:formatCode="General">
                  <c:v>5000</c:v>
                </c:pt>
                <c:pt idx="98" c:formatCode="General">
                  <c:v>5000</c:v>
                </c:pt>
                <c:pt idx="99" c:formatCode="General">
                  <c:v>5000</c:v>
                </c:pt>
                <c:pt idx="100" c:formatCode="General">
                  <c:v>5000</c:v>
                </c:pt>
                <c:pt idx="103" c:formatCode="General">
                  <c:v>0</c:v>
                </c:pt>
                <c:pt idx="104" c:formatCode="General">
                  <c:v>5000</c:v>
                </c:pt>
                <c:pt idx="105" c:formatCode="General">
                  <c:v>5000</c:v>
                </c:pt>
                <c:pt idx="106" c:formatCode="General">
                  <c:v>5000</c:v>
                </c:pt>
                <c:pt idx="107" c:formatCode="General">
                  <c:v>5000</c:v>
                </c:pt>
                <c:pt idx="108" c:formatCode="General">
                  <c:v>5000</c:v>
                </c:pt>
                <c:pt idx="109" c:formatCode="General">
                  <c:v>5000</c:v>
                </c:pt>
                <c:pt idx="110" c:formatCode="General">
                  <c:v>5000</c:v>
                </c:pt>
                <c:pt idx="111" c:formatCode="General">
                  <c:v>5000</c:v>
                </c:pt>
                <c:pt idx="112" c:formatCode="General">
                  <c:v>5000</c:v>
                </c:pt>
                <c:pt idx="113" c:formatCode="General">
                  <c:v>5000</c:v>
                </c:pt>
                <c:pt idx="114" c:formatCode="General">
                  <c:v>5000</c:v>
                </c:pt>
                <c:pt idx="115" c:formatCode="General">
                  <c:v>6150</c:v>
                </c:pt>
                <c:pt idx="116" c:formatCode="General">
                  <c:v>6100</c:v>
                </c:pt>
                <c:pt idx="117" c:formatCode="General">
                  <c:v>5950</c:v>
                </c:pt>
                <c:pt idx="118" c:formatCode="General">
                  <c:v>6100</c:v>
                </c:pt>
                <c:pt idx="119" c:formatCode="General">
                  <c:v>6150</c:v>
                </c:pt>
                <c:pt idx="120" c:formatCode="General">
                  <c:v>6300</c:v>
                </c:pt>
                <c:pt idx="121" c:formatCode="General">
                  <c:v>6300</c:v>
                </c:pt>
                <c:pt idx="122" c:formatCode="General">
                  <c:v>6300</c:v>
                </c:pt>
                <c:pt idx="123" c:formatCode="General">
                  <c:v>6250</c:v>
                </c:pt>
                <c:pt idx="124" c:formatCode="General">
                  <c:v>6150</c:v>
                </c:pt>
                <c:pt idx="125" c:formatCode="General">
                  <c:v>6300</c:v>
                </c:pt>
                <c:pt idx="126" c:formatCode="General">
                  <c:v>6150</c:v>
                </c:pt>
                <c:pt idx="127" c:formatCode="General">
                  <c:v>6150</c:v>
                </c:pt>
                <c:pt idx="128" c:formatCode="General">
                  <c:v>6150</c:v>
                </c:pt>
                <c:pt idx="129" c:formatCode="General">
                  <c:v>6150</c:v>
                </c:pt>
                <c:pt idx="130" c:formatCode="General">
                  <c:v>6150</c:v>
                </c:pt>
                <c:pt idx="131" c:formatCode="General">
                  <c:v>6350</c:v>
                </c:pt>
                <c:pt idx="132" c:formatCode="General">
                  <c:v>6250</c:v>
                </c:pt>
                <c:pt idx="133" c:formatCode="General">
                  <c:v>6250</c:v>
                </c:pt>
                <c:pt idx="134" c:formatCode="General">
                  <c:v>6300</c:v>
                </c:pt>
                <c:pt idx="135" c:formatCode="General">
                  <c:v>6350</c:v>
                </c:pt>
                <c:pt idx="136" c:formatCode="General">
                  <c:v>6600</c:v>
                </c:pt>
                <c:pt idx="137" c:formatCode="General">
                  <c:v>6650</c:v>
                </c:pt>
                <c:pt idx="138" c:formatCode="General">
                  <c:v>6650</c:v>
                </c:pt>
                <c:pt idx="139" c:formatCode="General">
                  <c:v>6450</c:v>
                </c:pt>
                <c:pt idx="140" c:formatCode="General">
                  <c:v>6450</c:v>
                </c:pt>
                <c:pt idx="141" c:formatCode="General">
                  <c:v>6450</c:v>
                </c:pt>
                <c:pt idx="142" c:formatCode="General">
                  <c:v>6400</c:v>
                </c:pt>
                <c:pt idx="143" c:formatCode="General">
                  <c:v>6400</c:v>
                </c:pt>
                <c:pt idx="144" c:formatCode="General">
                  <c:v>6650</c:v>
                </c:pt>
                <c:pt idx="145" c:formatCode="General">
                  <c:v>6600</c:v>
                </c:pt>
                <c:pt idx="146" c:formatCode="General">
                  <c:v>6600</c:v>
                </c:pt>
                <c:pt idx="147" c:formatCode="General">
                  <c:v>6800</c:v>
                </c:pt>
                <c:pt idx="148" c:formatCode="General">
                  <c:v>6800</c:v>
                </c:pt>
                <c:pt idx="149" c:formatCode="General">
                  <c:v>7200</c:v>
                </c:pt>
                <c:pt idx="150" c:formatCode="General">
                  <c:v>7200</c:v>
                </c:pt>
                <c:pt idx="151" c:formatCode="General">
                  <c:v>7200</c:v>
                </c:pt>
                <c:pt idx="152" c:formatCode="General">
                  <c:v>7650</c:v>
                </c:pt>
                <c:pt idx="153" c:formatCode="General">
                  <c:v>7950</c:v>
                </c:pt>
                <c:pt idx="154" c:formatCode="General">
                  <c:v>7700</c:v>
                </c:pt>
                <c:pt idx="155" c:formatCode="General">
                  <c:v>7750</c:v>
                </c:pt>
                <c:pt idx="156" c:formatCode="General">
                  <c:v>7900</c:v>
                </c:pt>
                <c:pt idx="157" c:formatCode="General">
                  <c:v>0</c:v>
                </c:pt>
                <c:pt idx="158" c:formatCode="General">
                  <c:v>7850</c:v>
                </c:pt>
                <c:pt idx="159" c:formatCode="General">
                  <c:v>7500</c:v>
                </c:pt>
                <c:pt idx="160" c:formatCode="General">
                  <c:v>7300</c:v>
                </c:pt>
              </c:numCache>
            </c:numRef>
          </c:val>
          <c:smooth val="0"/>
        </c:ser>
        <c:ser>
          <c:idx val="10"/>
          <c:order val="1"/>
          <c:tx>
            <c:strRef>
              <c:f>'[最新溶剂油周报：山东地炼石脑油价格走势图11.2.xls]溶剂油周报-石脑油价格走势图表'!$E$178</c:f>
              <c:strCache>
                <c:ptCount val="1"/>
                <c:pt idx="0">
                  <c:v>利津石化</c:v>
                </c:pt>
              </c:strCache>
            </c:strRef>
          </c:tx>
          <c:spPr>
            <a:ln w="38100" cap="rnd" cmpd="sng" algn="ctr">
              <a:solidFill>
                <a:srgbClr val="00B050"/>
              </a:solidFill>
              <a:prstDash val="solid"/>
              <a:round/>
            </a:ln>
          </c:spPr>
          <c:marker>
            <c:symbol val="none"/>
          </c:marker>
          <c:dLbls>
            <c:delete val="1"/>
          </c:dLbls>
          <c:cat>
            <c:numRef>
              <c:f>'[最新溶剂油周报：山东地炼石脑油价格走势图11.2.xls]溶剂油周报-石脑油价格走势图表'!$A$179:$C$349</c:f>
              <c:numCache>
                <c:formatCode>yyyy/m/d</c:formatCode>
                <c:ptCount val="17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pt idx="139" c:formatCode="yyyy/m/d">
                  <c:v>43259</c:v>
                </c:pt>
                <c:pt idx="140" c:formatCode="yyyy/m/d">
                  <c:v>43266</c:v>
                </c:pt>
                <c:pt idx="141" c:formatCode="yyyy/m/d">
                  <c:v>43273</c:v>
                </c:pt>
                <c:pt idx="142" c:formatCode="yyyy/m/d">
                  <c:v>43280</c:v>
                </c:pt>
                <c:pt idx="143" c:formatCode="yyyy/m/d">
                  <c:v>43287</c:v>
                </c:pt>
                <c:pt idx="144" c:formatCode="yyyy/m/d">
                  <c:v>43294</c:v>
                </c:pt>
                <c:pt idx="145" c:formatCode="yyyy/m/d">
                  <c:v>43301</c:v>
                </c:pt>
                <c:pt idx="146" c:formatCode="yyyy/m/d">
                  <c:v>43308</c:v>
                </c:pt>
                <c:pt idx="147" c:formatCode="yyyy/m/d">
                  <c:v>43315</c:v>
                </c:pt>
                <c:pt idx="148" c:formatCode="yyyy/m/d">
                  <c:v>43322</c:v>
                </c:pt>
                <c:pt idx="149" c:formatCode="yyyy/m/d">
                  <c:v>43329</c:v>
                </c:pt>
                <c:pt idx="150" c:formatCode="yyyy/m/d">
                  <c:v>43336</c:v>
                </c:pt>
                <c:pt idx="151" c:formatCode="yyyy/m/d">
                  <c:v>43343</c:v>
                </c:pt>
                <c:pt idx="152" c:formatCode="yyyy/m/d">
                  <c:v>43350</c:v>
                </c:pt>
                <c:pt idx="153" c:formatCode="yyyy/m/d">
                  <c:v>43357</c:v>
                </c:pt>
                <c:pt idx="154" c:formatCode="yyyy/m/d">
                  <c:v>43364</c:v>
                </c:pt>
                <c:pt idx="155" c:formatCode="yyyy/m/d">
                  <c:v>43371</c:v>
                </c:pt>
                <c:pt idx="156" c:formatCode="yyyy/m/d">
                  <c:v>43385</c:v>
                </c:pt>
                <c:pt idx="157" c:formatCode="yyyy/m/d">
                  <c:v>43392</c:v>
                </c:pt>
                <c:pt idx="158" c:formatCode="yyyy/m/d">
                  <c:v>43399</c:v>
                </c:pt>
                <c:pt idx="159" c:formatCode="yyyy/m/d">
                  <c:v>43406</c:v>
                </c:pt>
                <c:pt idx="160" c:formatCode="yyyy/m/d">
                  <c:v>43413</c:v>
                </c:pt>
              </c:numCache>
            </c:numRef>
          </c:cat>
          <c:val>
            <c:numRef>
              <c:f>'[最新溶剂油周报：山东地炼石脑油价格走势图11.2.xls]溶剂油周报-石脑油价格走势图表'!$E$179:$E$349</c:f>
              <c:numCache>
                <c:formatCode>@</c:formatCode>
                <c:ptCount val="171"/>
                <c:pt idx="0">
                  <c:v>4250</c:v>
                </c:pt>
                <c:pt idx="1">
                  <c:v>4050</c:v>
                </c:pt>
                <c:pt idx="2">
                  <c:v>4300</c:v>
                </c:pt>
                <c:pt idx="3">
                  <c:v>4500</c:v>
                </c:pt>
                <c:pt idx="4">
                  <c:v>4580</c:v>
                </c:pt>
                <c:pt idx="5">
                  <c:v>4580</c:v>
                </c:pt>
                <c:pt idx="6">
                  <c:v>4580</c:v>
                </c:pt>
                <c:pt idx="11">
                  <c:v>4150</c:v>
                </c:pt>
                <c:pt idx="12">
                  <c:v>4100</c:v>
                </c:pt>
                <c:pt idx="13">
                  <c:v>4030</c:v>
                </c:pt>
                <c:pt idx="14">
                  <c:v>3850</c:v>
                </c:pt>
                <c:pt idx="15">
                  <c:v>3550</c:v>
                </c:pt>
                <c:pt idx="16">
                  <c:v>3950</c:v>
                </c:pt>
                <c:pt idx="17">
                  <c:v>3850</c:v>
                </c:pt>
                <c:pt idx="18">
                  <c:v>3650</c:v>
                </c:pt>
                <c:pt idx="19">
                  <c:v>2800</c:v>
                </c:pt>
                <c:pt idx="20">
                  <c:v>2300</c:v>
                </c:pt>
                <c:pt idx="21">
                  <c:v>2800</c:v>
                </c:pt>
                <c:pt idx="22">
                  <c:v>2650</c:v>
                </c:pt>
                <c:pt idx="23">
                  <c:v>2650</c:v>
                </c:pt>
                <c:pt idx="24">
                  <c:v>2900</c:v>
                </c:pt>
                <c:pt idx="25">
                  <c:v>3300</c:v>
                </c:pt>
                <c:pt idx="26">
                  <c:v>3200</c:v>
                </c:pt>
                <c:pt idx="27">
                  <c:v>3400</c:v>
                </c:pt>
                <c:pt idx="28">
                  <c:v>3350</c:v>
                </c:pt>
                <c:pt idx="29">
                  <c:v>3000</c:v>
                </c:pt>
                <c:pt idx="30">
                  <c:v>3250</c:v>
                </c:pt>
                <c:pt idx="31">
                  <c:v>3250</c:v>
                </c:pt>
                <c:pt idx="32">
                  <c:v>3380</c:v>
                </c:pt>
                <c:pt idx="33">
                  <c:v>3430</c:v>
                </c:pt>
                <c:pt idx="34">
                  <c:v>3430</c:v>
                </c:pt>
                <c:pt idx="35">
                  <c:v>3480</c:v>
                </c:pt>
                <c:pt idx="36">
                  <c:v>3480</c:v>
                </c:pt>
                <c:pt idx="37">
                  <c:v>3380</c:v>
                </c:pt>
                <c:pt idx="38">
                  <c:v>3300</c:v>
                </c:pt>
                <c:pt idx="39">
                  <c:v>3050</c:v>
                </c:pt>
                <c:pt idx="40">
                  <c:v>3050</c:v>
                </c:pt>
                <c:pt idx="41">
                  <c:v>3050</c:v>
                </c:pt>
                <c:pt idx="42">
                  <c:v>3050</c:v>
                </c:pt>
                <c:pt idx="43">
                  <c:v>3050</c:v>
                </c:pt>
                <c:pt idx="44">
                  <c:v>3050</c:v>
                </c:pt>
                <c:pt idx="45">
                  <c:v>3050</c:v>
                </c:pt>
                <c:pt idx="46">
                  <c:v>3050</c:v>
                </c:pt>
                <c:pt idx="47">
                  <c:v>3050</c:v>
                </c:pt>
                <c:pt idx="48">
                  <c:v>3050</c:v>
                </c:pt>
                <c:pt idx="49">
                  <c:v>3050</c:v>
                </c:pt>
                <c:pt idx="50">
                  <c:v>3050</c:v>
                </c:pt>
                <c:pt idx="51" c:formatCode="General">
                  <c:v>3450</c:v>
                </c:pt>
                <c:pt idx="52" c:formatCode="General">
                  <c:v>3450</c:v>
                </c:pt>
                <c:pt idx="53" c:formatCode="General">
                  <c:v>3450</c:v>
                </c:pt>
                <c:pt idx="54" c:formatCode="General">
                  <c:v>3450</c:v>
                </c:pt>
                <c:pt idx="55" c:formatCode="General">
                  <c:v>3800</c:v>
                </c:pt>
                <c:pt idx="56" c:formatCode="General">
                  <c:v>4000</c:v>
                </c:pt>
                <c:pt idx="57" c:formatCode="General">
                  <c:v>3900</c:v>
                </c:pt>
                <c:pt idx="58" c:formatCode="General">
                  <c:v>3650</c:v>
                </c:pt>
                <c:pt idx="59" c:formatCode="General">
                  <c:v>3900</c:v>
                </c:pt>
                <c:pt idx="60" c:formatCode="General">
                  <c:v>4000</c:v>
                </c:pt>
                <c:pt idx="61" c:formatCode="General">
                  <c:v>4050</c:v>
                </c:pt>
                <c:pt idx="62" c:formatCode="General">
                  <c:v>4000</c:v>
                </c:pt>
                <c:pt idx="63" c:formatCode="General">
                  <c:v>4150</c:v>
                </c:pt>
                <c:pt idx="64" c:formatCode="General">
                  <c:v>4450</c:v>
                </c:pt>
                <c:pt idx="65" c:formatCode="General">
                  <c:v>4350</c:v>
                </c:pt>
                <c:pt idx="66" c:formatCode="General">
                  <c:v>4000</c:v>
                </c:pt>
                <c:pt idx="67" c:formatCode="General">
                  <c:v>4150</c:v>
                </c:pt>
                <c:pt idx="68" c:formatCode="General">
                  <c:v>4200</c:v>
                </c:pt>
                <c:pt idx="69" c:formatCode="General">
                  <c:v>4250</c:v>
                </c:pt>
                <c:pt idx="70" c:formatCode="General">
                  <c:v>4250</c:v>
                </c:pt>
                <c:pt idx="71" c:formatCode="General">
                  <c:v>4200</c:v>
                </c:pt>
                <c:pt idx="72" c:formatCode="General">
                  <c:v>4500</c:v>
                </c:pt>
                <c:pt idx="73" c:formatCode="General">
                  <c:v>4450</c:v>
                </c:pt>
                <c:pt idx="74" c:formatCode="General">
                  <c:v>4250</c:v>
                </c:pt>
                <c:pt idx="75" c:formatCode="General">
                  <c:v>4100</c:v>
                </c:pt>
                <c:pt idx="76" c:formatCode="General">
                  <c:v>4250</c:v>
                </c:pt>
                <c:pt idx="77" c:formatCode="General">
                  <c:v>4150</c:v>
                </c:pt>
                <c:pt idx="78" c:formatCode="General">
                  <c:v>4100</c:v>
                </c:pt>
                <c:pt idx="79" c:formatCode="General">
                  <c:v>4400</c:v>
                </c:pt>
                <c:pt idx="80" c:formatCode="General">
                  <c:v>4200</c:v>
                </c:pt>
                <c:pt idx="81" c:formatCode="General">
                  <c:v>4230</c:v>
                </c:pt>
                <c:pt idx="82" c:formatCode="General">
                  <c:v>4230</c:v>
                </c:pt>
                <c:pt idx="83" c:formatCode="General">
                  <c:v>4230</c:v>
                </c:pt>
                <c:pt idx="84" c:formatCode="General">
                  <c:v>4230</c:v>
                </c:pt>
                <c:pt idx="85" c:formatCode="General">
                  <c:v>4230</c:v>
                </c:pt>
                <c:pt idx="86" c:formatCode="General">
                  <c:v>4230</c:v>
                </c:pt>
                <c:pt idx="87" c:formatCode="General">
                  <c:v>4230</c:v>
                </c:pt>
                <c:pt idx="88" c:formatCode="General">
                  <c:v>0</c:v>
                </c:pt>
                <c:pt idx="89" c:formatCode="General">
                  <c:v>0</c:v>
                </c:pt>
                <c:pt idx="90" c:formatCode="General">
                  <c:v>0</c:v>
                </c:pt>
                <c:pt idx="91" c:formatCode="General">
                  <c:v>0</c:v>
                </c:pt>
                <c:pt idx="92" c:formatCode="General">
                  <c:v>0</c:v>
                </c:pt>
                <c:pt idx="93" c:formatCode="General">
                  <c:v>0</c:v>
                </c:pt>
                <c:pt idx="94" c:formatCode="General">
                  <c:v>0</c:v>
                </c:pt>
                <c:pt idx="95" c:formatCode="General">
                  <c:v>0</c:v>
                </c:pt>
                <c:pt idx="96" c:formatCode="General">
                  <c:v>0</c:v>
                </c:pt>
                <c:pt idx="97" c:formatCode="General">
                  <c:v>0</c:v>
                </c:pt>
                <c:pt idx="98" c:formatCode="General">
                  <c:v>0</c:v>
                </c:pt>
                <c:pt idx="99" c:formatCode="General">
                  <c:v>0</c:v>
                </c:pt>
                <c:pt idx="100" c:formatCode="General">
                  <c:v>0</c:v>
                </c:pt>
                <c:pt idx="103" c:formatCode="General">
                  <c:v>0</c:v>
                </c:pt>
                <c:pt idx="104" c:formatCode="General">
                  <c:v>0</c:v>
                </c:pt>
                <c:pt idx="105" c:formatCode="General">
                  <c:v>0</c:v>
                </c:pt>
                <c:pt idx="106" c:formatCode="General">
                  <c:v>0</c:v>
                </c:pt>
                <c:pt idx="107" c:formatCode="General">
                  <c:v>0</c:v>
                </c:pt>
                <c:pt idx="108" c:formatCode="General">
                  <c:v>0</c:v>
                </c:pt>
                <c:pt idx="109" c:formatCode="General">
                  <c:v>0</c:v>
                </c:pt>
                <c:pt idx="110" c:formatCode="General">
                  <c:v>0</c:v>
                </c:pt>
                <c:pt idx="111" c:formatCode="General">
                  <c:v>0</c:v>
                </c:pt>
                <c:pt idx="112" c:formatCode="General">
                  <c:v>0</c:v>
                </c:pt>
                <c:pt idx="113" c:formatCode="General">
                  <c:v>0</c:v>
                </c:pt>
                <c:pt idx="114" c:formatCode="General">
                  <c:v>0</c:v>
                </c:pt>
                <c:pt idx="115" c:formatCode="General">
                  <c:v>0</c:v>
                </c:pt>
                <c:pt idx="116" c:formatCode="General">
                  <c:v>0</c:v>
                </c:pt>
                <c:pt idx="117" c:formatCode="General">
                  <c:v>0</c:v>
                </c:pt>
                <c:pt idx="118" c:formatCode="General">
                  <c:v>0</c:v>
                </c:pt>
                <c:pt idx="119" c:formatCode="General">
                  <c:v>0</c:v>
                </c:pt>
                <c:pt idx="120" c:formatCode="General">
                  <c:v>0</c:v>
                </c:pt>
                <c:pt idx="121" c:formatCode="General">
                  <c:v>0</c:v>
                </c:pt>
                <c:pt idx="122" c:formatCode="General">
                  <c:v>0</c:v>
                </c:pt>
                <c:pt idx="123" c:formatCode="General">
                  <c:v>0</c:v>
                </c:pt>
                <c:pt idx="124" c:formatCode="General">
                  <c:v>0</c:v>
                </c:pt>
                <c:pt idx="125" c:formatCode="General">
                  <c:v>0</c:v>
                </c:pt>
                <c:pt idx="126" c:formatCode="General">
                  <c:v>0</c:v>
                </c:pt>
                <c:pt idx="127" c:formatCode="General">
                  <c:v>0</c:v>
                </c:pt>
                <c:pt idx="128" c:formatCode="General">
                  <c:v>0</c:v>
                </c:pt>
                <c:pt idx="129" c:formatCode="General">
                  <c:v>0</c:v>
                </c:pt>
                <c:pt idx="130" c:formatCode="General">
                  <c:v>0</c:v>
                </c:pt>
                <c:pt idx="131" c:formatCode="General">
                  <c:v>0</c:v>
                </c:pt>
                <c:pt idx="132" c:formatCode="General">
                  <c:v>0</c:v>
                </c:pt>
                <c:pt idx="133" c:formatCode="General">
                  <c:v>0</c:v>
                </c:pt>
                <c:pt idx="134" c:formatCode="General">
                  <c:v>0</c:v>
                </c:pt>
                <c:pt idx="135" c:formatCode="General">
                  <c:v>0</c:v>
                </c:pt>
                <c:pt idx="136" c:formatCode="General">
                  <c:v>0</c:v>
                </c:pt>
                <c:pt idx="137" c:formatCode="General">
                  <c:v>0</c:v>
                </c:pt>
                <c:pt idx="138" c:formatCode="General">
                  <c:v>0</c:v>
                </c:pt>
                <c:pt idx="139" c:formatCode="General">
                  <c:v>0</c:v>
                </c:pt>
                <c:pt idx="140" c:formatCode="General">
                  <c:v>0</c:v>
                </c:pt>
                <c:pt idx="141" c:formatCode="General">
                  <c:v>0</c:v>
                </c:pt>
                <c:pt idx="142" c:formatCode="General">
                  <c:v>0</c:v>
                </c:pt>
                <c:pt idx="143" c:formatCode="General">
                  <c:v>0</c:v>
                </c:pt>
                <c:pt idx="144" c:formatCode="General">
                  <c:v>0</c:v>
                </c:pt>
                <c:pt idx="145" c:formatCode="General">
                  <c:v>0</c:v>
                </c:pt>
                <c:pt idx="146" c:formatCode="General">
                  <c:v>0</c:v>
                </c:pt>
                <c:pt idx="147" c:formatCode="General">
                  <c:v>0</c:v>
                </c:pt>
                <c:pt idx="148" c:formatCode="General">
                  <c:v>0</c:v>
                </c:pt>
                <c:pt idx="149" c:formatCode="General">
                  <c:v>0</c:v>
                </c:pt>
                <c:pt idx="150" c:formatCode="General">
                  <c:v>0</c:v>
                </c:pt>
                <c:pt idx="151" c:formatCode="General">
                  <c:v>0</c:v>
                </c:pt>
                <c:pt idx="152" c:formatCode="General">
                  <c:v>0</c:v>
                </c:pt>
                <c:pt idx="153" c:formatCode="General">
                  <c:v>0</c:v>
                </c:pt>
                <c:pt idx="154" c:formatCode="General">
                  <c:v>0</c:v>
                </c:pt>
                <c:pt idx="155" c:formatCode="General">
                  <c:v>0</c:v>
                </c:pt>
                <c:pt idx="156" c:formatCode="General">
                  <c:v>0</c:v>
                </c:pt>
                <c:pt idx="157" c:formatCode="General">
                  <c:v>0</c:v>
                </c:pt>
                <c:pt idx="158" c:formatCode="General">
                  <c:v>0</c:v>
                </c:pt>
                <c:pt idx="159" c:formatCode="General">
                  <c:v>0</c:v>
                </c:pt>
                <c:pt idx="160" c:formatCode="General">
                  <c:v>0</c:v>
                </c:pt>
              </c:numCache>
            </c:numRef>
          </c:val>
          <c:smooth val="0"/>
        </c:ser>
        <c:ser>
          <c:idx val="1"/>
          <c:order val="2"/>
          <c:tx>
            <c:strRef>
              <c:f>'[最新溶剂油周报：山东地炼石脑油价格走势图11.2.xls]溶剂油周报-石脑油价格走势图表'!$F$178</c:f>
              <c:strCache>
                <c:ptCount val="1"/>
                <c:pt idx="0">
                  <c:v>安邦石化</c:v>
                </c:pt>
              </c:strCache>
            </c:strRef>
          </c:tx>
          <c:spPr>
            <a:ln w="38100" cap="rnd" cmpd="sng" algn="ctr">
              <a:solidFill>
                <a:srgbClr val="FF00FF">
                  <a:alpha val="100000"/>
                </a:srgbClr>
              </a:solidFill>
              <a:prstDash val="solid"/>
              <a:round/>
            </a:ln>
          </c:spPr>
          <c:marker>
            <c:symbol val="none"/>
          </c:marker>
          <c:dLbls>
            <c:delete val="1"/>
          </c:dLbls>
          <c:cat>
            <c:numRef>
              <c:f>'[最新溶剂油周报：山东地炼石脑油价格走势图11.2.xls]溶剂油周报-石脑油价格走势图表'!$A$179:$C$349</c:f>
              <c:numCache>
                <c:formatCode>yyyy/m/d</c:formatCode>
                <c:ptCount val="17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pt idx="139" c:formatCode="yyyy/m/d">
                  <c:v>43259</c:v>
                </c:pt>
                <c:pt idx="140" c:formatCode="yyyy/m/d">
                  <c:v>43266</c:v>
                </c:pt>
                <c:pt idx="141" c:formatCode="yyyy/m/d">
                  <c:v>43273</c:v>
                </c:pt>
                <c:pt idx="142" c:formatCode="yyyy/m/d">
                  <c:v>43280</c:v>
                </c:pt>
                <c:pt idx="143" c:formatCode="yyyy/m/d">
                  <c:v>43287</c:v>
                </c:pt>
                <c:pt idx="144" c:formatCode="yyyy/m/d">
                  <c:v>43294</c:v>
                </c:pt>
                <c:pt idx="145" c:formatCode="yyyy/m/d">
                  <c:v>43301</c:v>
                </c:pt>
                <c:pt idx="146" c:formatCode="yyyy/m/d">
                  <c:v>43308</c:v>
                </c:pt>
                <c:pt idx="147" c:formatCode="yyyy/m/d">
                  <c:v>43315</c:v>
                </c:pt>
                <c:pt idx="148" c:formatCode="yyyy/m/d">
                  <c:v>43322</c:v>
                </c:pt>
                <c:pt idx="149" c:formatCode="yyyy/m/d">
                  <c:v>43329</c:v>
                </c:pt>
                <c:pt idx="150" c:formatCode="yyyy/m/d">
                  <c:v>43336</c:v>
                </c:pt>
                <c:pt idx="151" c:formatCode="yyyy/m/d">
                  <c:v>43343</c:v>
                </c:pt>
                <c:pt idx="152" c:formatCode="yyyy/m/d">
                  <c:v>43350</c:v>
                </c:pt>
                <c:pt idx="153" c:formatCode="yyyy/m/d">
                  <c:v>43357</c:v>
                </c:pt>
                <c:pt idx="154" c:formatCode="yyyy/m/d">
                  <c:v>43364</c:v>
                </c:pt>
                <c:pt idx="155" c:formatCode="yyyy/m/d">
                  <c:v>43371</c:v>
                </c:pt>
                <c:pt idx="156" c:formatCode="yyyy/m/d">
                  <c:v>43385</c:v>
                </c:pt>
                <c:pt idx="157" c:formatCode="yyyy/m/d">
                  <c:v>43392</c:v>
                </c:pt>
                <c:pt idx="158" c:formatCode="yyyy/m/d">
                  <c:v>43399</c:v>
                </c:pt>
                <c:pt idx="159" c:formatCode="yyyy/m/d">
                  <c:v>43406</c:v>
                </c:pt>
                <c:pt idx="160" c:formatCode="yyyy/m/d">
                  <c:v>43413</c:v>
                </c:pt>
              </c:numCache>
            </c:numRef>
          </c:cat>
          <c:val>
            <c:numRef>
              <c:f>'[最新溶剂油周报：山东地炼石脑油价格走势图11.2.xls]溶剂油周报-石脑油价格走势图表'!$F$179:$F$349</c:f>
              <c:numCache>
                <c:formatCode>@</c:formatCode>
                <c:ptCount val="171"/>
                <c:pt idx="0">
                  <c:v>4570</c:v>
                </c:pt>
                <c:pt idx="1">
                  <c:v>4570</c:v>
                </c:pt>
                <c:pt idx="2">
                  <c:v>4650</c:v>
                </c:pt>
                <c:pt idx="3">
                  <c:v>4700</c:v>
                </c:pt>
                <c:pt idx="4">
                  <c:v>4700</c:v>
                </c:pt>
                <c:pt idx="5">
                  <c:v>4700</c:v>
                </c:pt>
                <c:pt idx="6">
                  <c:v>4700</c:v>
                </c:pt>
                <c:pt idx="7">
                  <c:v>4530</c:v>
                </c:pt>
                <c:pt idx="8">
                  <c:v>4530</c:v>
                </c:pt>
                <c:pt idx="9">
                  <c:v>4530</c:v>
                </c:pt>
                <c:pt idx="10">
                  <c:v>4530</c:v>
                </c:pt>
                <c:pt idx="11">
                  <c:v>4530</c:v>
                </c:pt>
                <c:pt idx="12">
                  <c:v>4200</c:v>
                </c:pt>
                <c:pt idx="13">
                  <c:v>4200</c:v>
                </c:pt>
                <c:pt idx="14">
                  <c:v>4000</c:v>
                </c:pt>
                <c:pt idx="15">
                  <c:v>3900</c:v>
                </c:pt>
                <c:pt idx="16">
                  <c:v>3900</c:v>
                </c:pt>
                <c:pt idx="17">
                  <c:v>3800</c:v>
                </c:pt>
                <c:pt idx="18">
                  <c:v>3800</c:v>
                </c:pt>
                <c:pt idx="19">
                  <c:v>3500</c:v>
                </c:pt>
                <c:pt idx="20">
                  <c:v>3500</c:v>
                </c:pt>
                <c:pt idx="21">
                  <c:v>3500</c:v>
                </c:pt>
                <c:pt idx="22">
                  <c:v>3500</c:v>
                </c:pt>
                <c:pt idx="23">
                  <c:v>2800</c:v>
                </c:pt>
                <c:pt idx="24">
                  <c:v>3100</c:v>
                </c:pt>
                <c:pt idx="25">
                  <c:v>3600</c:v>
                </c:pt>
                <c:pt idx="26">
                  <c:v>3600</c:v>
                </c:pt>
                <c:pt idx="27">
                  <c:v>3500</c:v>
                </c:pt>
                <c:pt idx="28">
                  <c:v>3500</c:v>
                </c:pt>
                <c:pt idx="29">
                  <c:v>3250</c:v>
                </c:pt>
                <c:pt idx="30">
                  <c:v>3250</c:v>
                </c:pt>
                <c:pt idx="31">
                  <c:v>3200</c:v>
                </c:pt>
                <c:pt idx="32">
                  <c:v>3200</c:v>
                </c:pt>
                <c:pt idx="33">
                  <c:v>3350</c:v>
                </c:pt>
                <c:pt idx="34">
                  <c:v>3530</c:v>
                </c:pt>
                <c:pt idx="35">
                  <c:v>3530</c:v>
                </c:pt>
                <c:pt idx="36">
                  <c:v>3530</c:v>
                </c:pt>
                <c:pt idx="37">
                  <c:v>3400</c:v>
                </c:pt>
                <c:pt idx="38">
                  <c:v>3300</c:v>
                </c:pt>
                <c:pt idx="39">
                  <c:v>3300</c:v>
                </c:pt>
                <c:pt idx="40">
                  <c:v>3400</c:v>
                </c:pt>
                <c:pt idx="41">
                  <c:v>3300</c:v>
                </c:pt>
                <c:pt idx="42">
                  <c:v>3300</c:v>
                </c:pt>
                <c:pt idx="43">
                  <c:v>3300</c:v>
                </c:pt>
                <c:pt idx="44">
                  <c:v>3300</c:v>
                </c:pt>
                <c:pt idx="45">
                  <c:v>3300</c:v>
                </c:pt>
                <c:pt idx="46">
                  <c:v>3300</c:v>
                </c:pt>
                <c:pt idx="47" c:formatCode="General">
                  <c:v>3200</c:v>
                </c:pt>
                <c:pt idx="48" c:formatCode="General">
                  <c:v>3550</c:v>
                </c:pt>
                <c:pt idx="49" c:formatCode="General">
                  <c:v>3600</c:v>
                </c:pt>
                <c:pt idx="50" c:formatCode="General">
                  <c:v>3600</c:v>
                </c:pt>
                <c:pt idx="51" c:formatCode="General">
                  <c:v>3350</c:v>
                </c:pt>
                <c:pt idx="52" c:formatCode="General">
                  <c:v>3550</c:v>
                </c:pt>
                <c:pt idx="53" c:formatCode="General">
                  <c:v>3500</c:v>
                </c:pt>
                <c:pt idx="54" c:formatCode="General">
                  <c:v>3500</c:v>
                </c:pt>
                <c:pt idx="55" c:formatCode="General">
                  <c:v>3800</c:v>
                </c:pt>
                <c:pt idx="56" c:formatCode="General">
                  <c:v>4000</c:v>
                </c:pt>
                <c:pt idx="57" c:formatCode="General">
                  <c:v>4000</c:v>
                </c:pt>
                <c:pt idx="58" c:formatCode="General">
                  <c:v>3900</c:v>
                </c:pt>
                <c:pt idx="59" c:formatCode="General">
                  <c:v>3800</c:v>
                </c:pt>
                <c:pt idx="60" c:formatCode="General">
                  <c:v>3950</c:v>
                </c:pt>
                <c:pt idx="61" c:formatCode="General">
                  <c:v>4000</c:v>
                </c:pt>
                <c:pt idx="62" c:formatCode="General">
                  <c:v>4000</c:v>
                </c:pt>
                <c:pt idx="63" c:formatCode="General">
                  <c:v>4150</c:v>
                </c:pt>
                <c:pt idx="64" c:formatCode="General">
                  <c:v>4500</c:v>
                </c:pt>
                <c:pt idx="65" c:formatCode="General">
                  <c:v>4500</c:v>
                </c:pt>
                <c:pt idx="66" c:formatCode="General">
                  <c:v>4300</c:v>
                </c:pt>
                <c:pt idx="67" c:formatCode="General">
                  <c:v>4300</c:v>
                </c:pt>
                <c:pt idx="68" c:formatCode="General">
                  <c:v>4400</c:v>
                </c:pt>
                <c:pt idx="69" c:formatCode="General">
                  <c:v>4400</c:v>
                </c:pt>
                <c:pt idx="70" c:formatCode="General">
                  <c:v>4400</c:v>
                </c:pt>
                <c:pt idx="71" c:formatCode="General">
                  <c:v>4400</c:v>
                </c:pt>
                <c:pt idx="72" c:formatCode="General">
                  <c:v>4750</c:v>
                </c:pt>
                <c:pt idx="73" c:formatCode="General">
                  <c:v>4800</c:v>
                </c:pt>
                <c:pt idx="74" c:formatCode="General">
                  <c:v>4720</c:v>
                </c:pt>
                <c:pt idx="75" c:formatCode="General">
                  <c:v>4500</c:v>
                </c:pt>
                <c:pt idx="76" c:formatCode="General">
                  <c:v>4600</c:v>
                </c:pt>
                <c:pt idx="77" c:formatCode="General">
                  <c:v>4600</c:v>
                </c:pt>
                <c:pt idx="78" c:formatCode="General">
                  <c:v>4600</c:v>
                </c:pt>
                <c:pt idx="79" c:formatCode="General">
                  <c:v>4650</c:v>
                </c:pt>
                <c:pt idx="80" c:formatCode="General">
                  <c:v>4650</c:v>
                </c:pt>
                <c:pt idx="81" c:formatCode="General">
                  <c:v>4500</c:v>
                </c:pt>
                <c:pt idx="82" c:formatCode="General">
                  <c:v>4500</c:v>
                </c:pt>
                <c:pt idx="83" c:formatCode="General">
                  <c:v>4500</c:v>
                </c:pt>
                <c:pt idx="84" c:formatCode="General">
                  <c:v>4700</c:v>
                </c:pt>
                <c:pt idx="85" c:formatCode="General">
                  <c:v>4750</c:v>
                </c:pt>
                <c:pt idx="86" c:formatCode="General">
                  <c:v>4750</c:v>
                </c:pt>
                <c:pt idx="87" c:formatCode="General">
                  <c:v>4750</c:v>
                </c:pt>
                <c:pt idx="88" c:formatCode="General">
                  <c:v>4850</c:v>
                </c:pt>
                <c:pt idx="89" c:formatCode="General">
                  <c:v>4750</c:v>
                </c:pt>
                <c:pt idx="90" c:formatCode="General">
                  <c:v>4550</c:v>
                </c:pt>
                <c:pt idx="91" c:formatCode="General">
                  <c:v>4600</c:v>
                </c:pt>
                <c:pt idx="92" c:formatCode="General">
                  <c:v>4500</c:v>
                </c:pt>
                <c:pt idx="93" c:formatCode="General">
                  <c:v>4500</c:v>
                </c:pt>
                <c:pt idx="94" c:formatCode="General">
                  <c:v>4600</c:v>
                </c:pt>
                <c:pt idx="95" c:formatCode="General">
                  <c:v>4600</c:v>
                </c:pt>
                <c:pt idx="96" c:formatCode="General">
                  <c:v>4550</c:v>
                </c:pt>
                <c:pt idx="97" c:formatCode="General">
                  <c:v>4660</c:v>
                </c:pt>
                <c:pt idx="98" c:formatCode="General">
                  <c:v>4730</c:v>
                </c:pt>
                <c:pt idx="99" c:formatCode="General">
                  <c:v>4780</c:v>
                </c:pt>
                <c:pt idx="100" c:formatCode="General">
                  <c:v>4840</c:v>
                </c:pt>
                <c:pt idx="103" c:formatCode="General">
                  <c:v>0</c:v>
                </c:pt>
                <c:pt idx="104" c:formatCode="General">
                  <c:v>4900</c:v>
                </c:pt>
                <c:pt idx="105" c:formatCode="General">
                  <c:v>4980</c:v>
                </c:pt>
                <c:pt idx="106" c:formatCode="General">
                  <c:v>5050</c:v>
                </c:pt>
                <c:pt idx="107" c:formatCode="General">
                  <c:v>5160</c:v>
                </c:pt>
                <c:pt idx="108" c:formatCode="General">
                  <c:v>5240</c:v>
                </c:pt>
                <c:pt idx="109" c:formatCode="General">
                  <c:v>5300</c:v>
                </c:pt>
                <c:pt idx="110" c:formatCode="General">
                  <c:v>5530</c:v>
                </c:pt>
                <c:pt idx="111" c:formatCode="General">
                  <c:v>6200</c:v>
                </c:pt>
                <c:pt idx="112" c:formatCode="General">
                  <c:v>6050</c:v>
                </c:pt>
                <c:pt idx="113" c:formatCode="General">
                  <c:v>6150</c:v>
                </c:pt>
                <c:pt idx="114" c:formatCode="General">
                  <c:v>6180</c:v>
                </c:pt>
                <c:pt idx="115" c:formatCode="General">
                  <c:v>6180</c:v>
                </c:pt>
                <c:pt idx="116" c:formatCode="General">
                  <c:v>5900</c:v>
                </c:pt>
                <c:pt idx="117" c:formatCode="General">
                  <c:v>5830</c:v>
                </c:pt>
                <c:pt idx="118" c:formatCode="General">
                  <c:v>6000</c:v>
                </c:pt>
                <c:pt idx="119" c:formatCode="General">
                  <c:v>5960</c:v>
                </c:pt>
                <c:pt idx="120" c:formatCode="General">
                  <c:v>6400</c:v>
                </c:pt>
                <c:pt idx="121" c:formatCode="General">
                  <c:v>6250</c:v>
                </c:pt>
                <c:pt idx="122" c:formatCode="General">
                  <c:v>6200</c:v>
                </c:pt>
                <c:pt idx="123" c:formatCode="General">
                  <c:v>5990</c:v>
                </c:pt>
                <c:pt idx="124" c:formatCode="General">
                  <c:v>5840</c:v>
                </c:pt>
                <c:pt idx="125" c:formatCode="General">
                  <c:v>5950</c:v>
                </c:pt>
                <c:pt idx="126" c:formatCode="General">
                  <c:v>5950</c:v>
                </c:pt>
                <c:pt idx="127" c:formatCode="General">
                  <c:v>5900</c:v>
                </c:pt>
                <c:pt idx="128" c:formatCode="General">
                  <c:v>5920</c:v>
                </c:pt>
                <c:pt idx="129" c:formatCode="General">
                  <c:v>6000</c:v>
                </c:pt>
                <c:pt idx="130" c:formatCode="General">
                  <c:v>6080</c:v>
                </c:pt>
                <c:pt idx="131" c:formatCode="General">
                  <c:v>6130</c:v>
                </c:pt>
                <c:pt idx="132" c:formatCode="General">
                  <c:v>6150</c:v>
                </c:pt>
                <c:pt idx="133" c:formatCode="General">
                  <c:v>6250</c:v>
                </c:pt>
                <c:pt idx="134" c:formatCode="General">
                  <c:v>6150</c:v>
                </c:pt>
                <c:pt idx="135" c:formatCode="General">
                  <c:v>6450</c:v>
                </c:pt>
                <c:pt idx="136" c:formatCode="General">
                  <c:v>6600</c:v>
                </c:pt>
                <c:pt idx="137" c:formatCode="General">
                  <c:v>6650</c:v>
                </c:pt>
                <c:pt idx="138" c:formatCode="General">
                  <c:v>0</c:v>
                </c:pt>
                <c:pt idx="139" c:formatCode="General">
                  <c:v>0</c:v>
                </c:pt>
                <c:pt idx="140" c:formatCode="General">
                  <c:v>0</c:v>
                </c:pt>
                <c:pt idx="141" c:formatCode="General">
                  <c:v>0</c:v>
                </c:pt>
                <c:pt idx="142" c:formatCode="General">
                  <c:v>0</c:v>
                </c:pt>
                <c:pt idx="143" c:formatCode="General">
                  <c:v>0</c:v>
                </c:pt>
                <c:pt idx="144" c:formatCode="General">
                  <c:v>0</c:v>
                </c:pt>
                <c:pt idx="145" c:formatCode="General">
                  <c:v>0</c:v>
                </c:pt>
                <c:pt idx="146" c:formatCode="General">
                  <c:v>0</c:v>
                </c:pt>
                <c:pt idx="147" c:formatCode="General">
                  <c:v>0</c:v>
                </c:pt>
                <c:pt idx="148" c:formatCode="General">
                  <c:v>0</c:v>
                </c:pt>
                <c:pt idx="149" c:formatCode="General">
                  <c:v>0</c:v>
                </c:pt>
                <c:pt idx="150" c:formatCode="General">
                  <c:v>0</c:v>
                </c:pt>
                <c:pt idx="151" c:formatCode="General">
                  <c:v>7600</c:v>
                </c:pt>
                <c:pt idx="152" c:formatCode="General">
                  <c:v>7500</c:v>
                </c:pt>
                <c:pt idx="153" c:formatCode="General">
                  <c:v>7730</c:v>
                </c:pt>
                <c:pt idx="154" c:formatCode="General">
                  <c:v>7630</c:v>
                </c:pt>
                <c:pt idx="155" c:formatCode="General">
                  <c:v>7580</c:v>
                </c:pt>
                <c:pt idx="156" c:formatCode="General">
                  <c:v>7500</c:v>
                </c:pt>
                <c:pt idx="157" c:formatCode="General">
                  <c:v>7500</c:v>
                </c:pt>
                <c:pt idx="158" c:formatCode="General">
                  <c:v>7450</c:v>
                </c:pt>
                <c:pt idx="159" c:formatCode="General">
                  <c:v>7500</c:v>
                </c:pt>
                <c:pt idx="160" c:formatCode="General">
                  <c:v>7500</c:v>
                </c:pt>
              </c:numCache>
            </c:numRef>
          </c:val>
          <c:smooth val="0"/>
        </c:ser>
        <c:ser>
          <c:idx val="5"/>
          <c:order val="3"/>
          <c:tx>
            <c:strRef>
              <c:f>'[最新溶剂油周报：山东地炼石脑油价格走势图11.2.xls]溶剂油周报-石脑油价格走势图表'!$G$178</c:f>
              <c:strCache>
                <c:ptCount val="1"/>
                <c:pt idx="0">
                  <c:v>富海石化</c:v>
                </c:pt>
              </c:strCache>
            </c:strRef>
          </c:tx>
          <c:spPr>
            <a:ln w="38100" cap="rnd" cmpd="sng" algn="ctr">
              <a:solidFill>
                <a:srgbClr val="800000">
                  <a:alpha val="100000"/>
                </a:srgbClr>
              </a:solidFill>
              <a:prstDash val="solid"/>
              <a:round/>
            </a:ln>
          </c:spPr>
          <c:marker>
            <c:symbol val="none"/>
          </c:marker>
          <c:dLbls>
            <c:delete val="1"/>
          </c:dLbls>
          <c:cat>
            <c:numRef>
              <c:f>'[最新溶剂油周报：山东地炼石脑油价格走势图11.2.xls]溶剂油周报-石脑油价格走势图表'!$A$179:$C$349</c:f>
              <c:numCache>
                <c:formatCode>yyyy/m/d</c:formatCode>
                <c:ptCount val="17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pt idx="139" c:formatCode="yyyy/m/d">
                  <c:v>43259</c:v>
                </c:pt>
                <c:pt idx="140" c:formatCode="yyyy/m/d">
                  <c:v>43266</c:v>
                </c:pt>
                <c:pt idx="141" c:formatCode="yyyy/m/d">
                  <c:v>43273</c:v>
                </c:pt>
                <c:pt idx="142" c:formatCode="yyyy/m/d">
                  <c:v>43280</c:v>
                </c:pt>
                <c:pt idx="143" c:formatCode="yyyy/m/d">
                  <c:v>43287</c:v>
                </c:pt>
                <c:pt idx="144" c:formatCode="yyyy/m/d">
                  <c:v>43294</c:v>
                </c:pt>
                <c:pt idx="145" c:formatCode="yyyy/m/d">
                  <c:v>43301</c:v>
                </c:pt>
                <c:pt idx="146" c:formatCode="yyyy/m/d">
                  <c:v>43308</c:v>
                </c:pt>
                <c:pt idx="147" c:formatCode="yyyy/m/d">
                  <c:v>43315</c:v>
                </c:pt>
                <c:pt idx="148" c:formatCode="yyyy/m/d">
                  <c:v>43322</c:v>
                </c:pt>
                <c:pt idx="149" c:formatCode="yyyy/m/d">
                  <c:v>43329</c:v>
                </c:pt>
                <c:pt idx="150" c:formatCode="yyyy/m/d">
                  <c:v>43336</c:v>
                </c:pt>
                <c:pt idx="151" c:formatCode="yyyy/m/d">
                  <c:v>43343</c:v>
                </c:pt>
                <c:pt idx="152" c:formatCode="yyyy/m/d">
                  <c:v>43350</c:v>
                </c:pt>
                <c:pt idx="153" c:formatCode="yyyy/m/d">
                  <c:v>43357</c:v>
                </c:pt>
                <c:pt idx="154" c:formatCode="yyyy/m/d">
                  <c:v>43364</c:v>
                </c:pt>
                <c:pt idx="155" c:formatCode="yyyy/m/d">
                  <c:v>43371</c:v>
                </c:pt>
                <c:pt idx="156" c:formatCode="yyyy/m/d">
                  <c:v>43385</c:v>
                </c:pt>
                <c:pt idx="157" c:formatCode="yyyy/m/d">
                  <c:v>43392</c:v>
                </c:pt>
                <c:pt idx="158" c:formatCode="yyyy/m/d">
                  <c:v>43399</c:v>
                </c:pt>
                <c:pt idx="159" c:formatCode="yyyy/m/d">
                  <c:v>43406</c:v>
                </c:pt>
                <c:pt idx="160" c:formatCode="yyyy/m/d">
                  <c:v>43413</c:v>
                </c:pt>
              </c:numCache>
            </c:numRef>
          </c:cat>
          <c:val>
            <c:numRef>
              <c:f>'[最新溶剂油周报：山东地炼石脑油价格走势图11.2.xls]溶剂油周报-石脑油价格走势图表'!$G$179:$G$349</c:f>
              <c:numCache>
                <c:formatCode>@</c:formatCode>
                <c:ptCount val="171"/>
                <c:pt idx="0">
                  <c:v>4600</c:v>
                </c:pt>
                <c:pt idx="1">
                  <c:v>4600</c:v>
                </c:pt>
                <c:pt idx="2">
                  <c:v>4600</c:v>
                </c:pt>
                <c:pt idx="3">
                  <c:v>4600</c:v>
                </c:pt>
                <c:pt idx="4">
                  <c:v>4600</c:v>
                </c:pt>
                <c:pt idx="5">
                  <c:v>4600</c:v>
                </c:pt>
                <c:pt idx="6">
                  <c:v>4550</c:v>
                </c:pt>
                <c:pt idx="7">
                  <c:v>4550</c:v>
                </c:pt>
                <c:pt idx="8">
                  <c:v>4550</c:v>
                </c:pt>
                <c:pt idx="9">
                  <c:v>4650</c:v>
                </c:pt>
                <c:pt idx="10">
                  <c:v>4600</c:v>
                </c:pt>
                <c:pt idx="11">
                  <c:v>4370</c:v>
                </c:pt>
                <c:pt idx="12">
                  <c:v>4370</c:v>
                </c:pt>
                <c:pt idx="13">
                  <c:v>4220</c:v>
                </c:pt>
                <c:pt idx="14">
                  <c:v>3900</c:v>
                </c:pt>
                <c:pt idx="15">
                  <c:v>3800</c:v>
                </c:pt>
                <c:pt idx="16">
                  <c:v>3900</c:v>
                </c:pt>
                <c:pt idx="17">
                  <c:v>3930</c:v>
                </c:pt>
                <c:pt idx="18">
                  <c:v>3800</c:v>
                </c:pt>
                <c:pt idx="19">
                  <c:v>3300</c:v>
                </c:pt>
                <c:pt idx="20">
                  <c:v>3250</c:v>
                </c:pt>
                <c:pt idx="21">
                  <c:v>3200</c:v>
                </c:pt>
                <c:pt idx="22">
                  <c:v>3068</c:v>
                </c:pt>
                <c:pt idx="23">
                  <c:v>3068</c:v>
                </c:pt>
                <c:pt idx="24">
                  <c:v>3068</c:v>
                </c:pt>
                <c:pt idx="25">
                  <c:v>3870</c:v>
                </c:pt>
                <c:pt idx="26">
                  <c:v>3700</c:v>
                </c:pt>
                <c:pt idx="27">
                  <c:v>3700</c:v>
                </c:pt>
                <c:pt idx="28">
                  <c:v>3700</c:v>
                </c:pt>
                <c:pt idx="29">
                  <c:v>3700</c:v>
                </c:pt>
                <c:pt idx="30">
                  <c:v>3500</c:v>
                </c:pt>
                <c:pt idx="31">
                  <c:v>3550</c:v>
                </c:pt>
                <c:pt idx="32">
                  <c:v>3600</c:v>
                </c:pt>
                <c:pt idx="33">
                  <c:v>3600</c:v>
                </c:pt>
                <c:pt idx="34">
                  <c:v>3480</c:v>
                </c:pt>
                <c:pt idx="35">
                  <c:v>3520</c:v>
                </c:pt>
                <c:pt idx="36">
                  <c:v>3520</c:v>
                </c:pt>
                <c:pt idx="37">
                  <c:v>3520</c:v>
                </c:pt>
                <c:pt idx="38">
                  <c:v>3350</c:v>
                </c:pt>
                <c:pt idx="39">
                  <c:v>3350</c:v>
                </c:pt>
                <c:pt idx="40">
                  <c:v>3230</c:v>
                </c:pt>
                <c:pt idx="41">
                  <c:v>3230</c:v>
                </c:pt>
                <c:pt idx="42">
                  <c:v>3230</c:v>
                </c:pt>
                <c:pt idx="43">
                  <c:v>3230</c:v>
                </c:pt>
                <c:pt idx="44">
                  <c:v>3230</c:v>
                </c:pt>
                <c:pt idx="45">
                  <c:v>3230</c:v>
                </c:pt>
                <c:pt idx="46">
                  <c:v>3230</c:v>
                </c:pt>
                <c:pt idx="47">
                  <c:v>3230</c:v>
                </c:pt>
                <c:pt idx="48" c:formatCode="General">
                  <c:v>3430</c:v>
                </c:pt>
                <c:pt idx="49" c:formatCode="General">
                  <c:v>3460</c:v>
                </c:pt>
                <c:pt idx="50" c:formatCode="General">
                  <c:v>3350</c:v>
                </c:pt>
                <c:pt idx="51" c:formatCode="General">
                  <c:v>3520</c:v>
                </c:pt>
                <c:pt idx="52" c:formatCode="General">
                  <c:v>3520</c:v>
                </c:pt>
                <c:pt idx="53" c:formatCode="General">
                  <c:v>3500</c:v>
                </c:pt>
                <c:pt idx="54" c:formatCode="General">
                  <c:v>3500</c:v>
                </c:pt>
                <c:pt idx="55" c:formatCode="General">
                  <c:v>3850</c:v>
                </c:pt>
                <c:pt idx="56" c:formatCode="General">
                  <c:v>4080</c:v>
                </c:pt>
                <c:pt idx="57" c:formatCode="General">
                  <c:v>3930</c:v>
                </c:pt>
                <c:pt idx="58" c:formatCode="General">
                  <c:v>3900</c:v>
                </c:pt>
                <c:pt idx="59" c:formatCode="General">
                  <c:v>3750</c:v>
                </c:pt>
                <c:pt idx="60" c:formatCode="General">
                  <c:v>3900</c:v>
                </c:pt>
                <c:pt idx="61" c:formatCode="General">
                  <c:v>3930</c:v>
                </c:pt>
                <c:pt idx="62" c:formatCode="General">
                  <c:v>3900</c:v>
                </c:pt>
                <c:pt idx="63" c:formatCode="General">
                  <c:v>4100</c:v>
                </c:pt>
                <c:pt idx="64" c:formatCode="General">
                  <c:v>4500</c:v>
                </c:pt>
                <c:pt idx="65" c:formatCode="General">
                  <c:v>4500</c:v>
                </c:pt>
                <c:pt idx="66" c:formatCode="General">
                  <c:v>4250</c:v>
                </c:pt>
                <c:pt idx="67" c:formatCode="General">
                  <c:v>4180</c:v>
                </c:pt>
                <c:pt idx="68" c:formatCode="General">
                  <c:v>4260</c:v>
                </c:pt>
                <c:pt idx="69" c:formatCode="General">
                  <c:v>4280</c:v>
                </c:pt>
                <c:pt idx="70" c:formatCode="General">
                  <c:v>4280</c:v>
                </c:pt>
                <c:pt idx="71" c:formatCode="General">
                  <c:v>4300</c:v>
                </c:pt>
                <c:pt idx="72" c:formatCode="General">
                  <c:v>4520</c:v>
                </c:pt>
                <c:pt idx="73" c:formatCode="General">
                  <c:v>4520</c:v>
                </c:pt>
                <c:pt idx="74" c:formatCode="General">
                  <c:v>4370</c:v>
                </c:pt>
                <c:pt idx="75" c:formatCode="General">
                  <c:v>4150</c:v>
                </c:pt>
                <c:pt idx="76" c:formatCode="General">
                  <c:v>4330</c:v>
                </c:pt>
                <c:pt idx="77" c:formatCode="General">
                  <c:v>4280</c:v>
                </c:pt>
                <c:pt idx="78" c:formatCode="General">
                  <c:v>4250</c:v>
                </c:pt>
                <c:pt idx="79" c:formatCode="General">
                  <c:v>4480</c:v>
                </c:pt>
                <c:pt idx="80" c:formatCode="General">
                  <c:v>4500</c:v>
                </c:pt>
                <c:pt idx="81" c:formatCode="General">
                  <c:v>4350</c:v>
                </c:pt>
                <c:pt idx="82" c:formatCode="General">
                  <c:v>4250</c:v>
                </c:pt>
                <c:pt idx="83" c:formatCode="General">
                  <c:v>4250</c:v>
                </c:pt>
                <c:pt idx="84" c:formatCode="General">
                  <c:v>4250</c:v>
                </c:pt>
                <c:pt idx="85" c:formatCode="General">
                  <c:v>4250</c:v>
                </c:pt>
                <c:pt idx="86" c:formatCode="General">
                  <c:v>4250</c:v>
                </c:pt>
                <c:pt idx="87" c:formatCode="General">
                  <c:v>4250</c:v>
                </c:pt>
                <c:pt idx="88" c:formatCode="General">
                  <c:v>4250</c:v>
                </c:pt>
                <c:pt idx="89" c:formatCode="General">
                  <c:v>4180</c:v>
                </c:pt>
                <c:pt idx="90" c:formatCode="General">
                  <c:v>3970</c:v>
                </c:pt>
                <c:pt idx="91" c:formatCode="General">
                  <c:v>3970</c:v>
                </c:pt>
                <c:pt idx="92" c:formatCode="General">
                  <c:v>4000</c:v>
                </c:pt>
                <c:pt idx="93" c:formatCode="General">
                  <c:v>4030</c:v>
                </c:pt>
                <c:pt idx="94" c:formatCode="General">
                  <c:v>4100</c:v>
                </c:pt>
                <c:pt idx="95" c:formatCode="General">
                  <c:v>4100</c:v>
                </c:pt>
                <c:pt idx="96" c:formatCode="General">
                  <c:v>4230</c:v>
                </c:pt>
                <c:pt idx="97" c:formatCode="General">
                  <c:v>4370</c:v>
                </c:pt>
                <c:pt idx="98" c:formatCode="General">
                  <c:v>4370</c:v>
                </c:pt>
                <c:pt idx="99" c:formatCode="General">
                  <c:v>4310</c:v>
                </c:pt>
                <c:pt idx="100" c:formatCode="General">
                  <c:v>4310</c:v>
                </c:pt>
                <c:pt idx="103" c:formatCode="General">
                  <c:v>0</c:v>
                </c:pt>
                <c:pt idx="104" c:formatCode="General">
                  <c:v>4310</c:v>
                </c:pt>
                <c:pt idx="105" c:formatCode="General">
                  <c:v>4400</c:v>
                </c:pt>
                <c:pt idx="106" c:formatCode="General">
                  <c:v>4550</c:v>
                </c:pt>
                <c:pt idx="107" c:formatCode="General">
                  <c:v>4520</c:v>
                </c:pt>
                <c:pt idx="108" c:formatCode="General">
                  <c:v>4480</c:v>
                </c:pt>
                <c:pt idx="109" c:formatCode="General">
                  <c:v>4480</c:v>
                </c:pt>
                <c:pt idx="110" c:formatCode="General">
                  <c:v>4690</c:v>
                </c:pt>
                <c:pt idx="111" c:formatCode="General">
                  <c:v>5750</c:v>
                </c:pt>
                <c:pt idx="112" c:formatCode="General">
                  <c:v>5420</c:v>
                </c:pt>
                <c:pt idx="113" c:formatCode="General">
                  <c:v>5400</c:v>
                </c:pt>
                <c:pt idx="114" c:formatCode="General">
                  <c:v>5430</c:v>
                </c:pt>
                <c:pt idx="115" c:formatCode="General">
                  <c:v>5430</c:v>
                </c:pt>
                <c:pt idx="116" c:formatCode="General">
                  <c:v>5210</c:v>
                </c:pt>
                <c:pt idx="117" c:formatCode="General">
                  <c:v>5090</c:v>
                </c:pt>
                <c:pt idx="118" c:formatCode="General">
                  <c:v>5190</c:v>
                </c:pt>
                <c:pt idx="119" c:formatCode="General">
                  <c:v>5210</c:v>
                </c:pt>
                <c:pt idx="120" c:formatCode="General">
                  <c:v>5210</c:v>
                </c:pt>
                <c:pt idx="121" c:formatCode="General">
                  <c:v>5670</c:v>
                </c:pt>
                <c:pt idx="122" c:formatCode="General">
                  <c:v>5500</c:v>
                </c:pt>
                <c:pt idx="123" c:formatCode="General">
                  <c:v>5200</c:v>
                </c:pt>
                <c:pt idx="124" c:formatCode="General">
                  <c:v>5200</c:v>
                </c:pt>
                <c:pt idx="125" c:formatCode="General">
                  <c:v>5290</c:v>
                </c:pt>
                <c:pt idx="126" c:formatCode="General">
                  <c:v>5310</c:v>
                </c:pt>
                <c:pt idx="127" c:formatCode="General">
                  <c:v>5210</c:v>
                </c:pt>
                <c:pt idx="128" c:formatCode="General">
                  <c:v>5080</c:v>
                </c:pt>
                <c:pt idx="129" c:formatCode="General">
                  <c:v>4800</c:v>
                </c:pt>
                <c:pt idx="130" c:formatCode="General">
                  <c:v>4800</c:v>
                </c:pt>
                <c:pt idx="131" c:formatCode="General">
                  <c:v>4800</c:v>
                </c:pt>
                <c:pt idx="132" c:formatCode="General">
                  <c:v>4860</c:v>
                </c:pt>
                <c:pt idx="133" c:formatCode="General">
                  <c:v>4840</c:v>
                </c:pt>
                <c:pt idx="134" c:formatCode="General">
                  <c:v>4760</c:v>
                </c:pt>
                <c:pt idx="135" c:formatCode="General">
                  <c:v>4920</c:v>
                </c:pt>
                <c:pt idx="136" c:formatCode="General">
                  <c:v>5100</c:v>
                </c:pt>
                <c:pt idx="137" c:formatCode="General">
                  <c:v>5110</c:v>
                </c:pt>
                <c:pt idx="138" c:formatCode="General">
                  <c:v>4890</c:v>
                </c:pt>
                <c:pt idx="139" c:formatCode="General">
                  <c:v>4730</c:v>
                </c:pt>
                <c:pt idx="140" c:formatCode="General">
                  <c:v>4760</c:v>
                </c:pt>
                <c:pt idx="141" c:formatCode="General">
                  <c:v>4760</c:v>
                </c:pt>
                <c:pt idx="142" c:formatCode="General">
                  <c:v>4760</c:v>
                </c:pt>
                <c:pt idx="143" c:formatCode="General">
                  <c:v>4780</c:v>
                </c:pt>
                <c:pt idx="144" c:formatCode="General">
                  <c:v>4830</c:v>
                </c:pt>
                <c:pt idx="145" c:formatCode="General">
                  <c:v>5010</c:v>
                </c:pt>
                <c:pt idx="146" c:formatCode="General">
                  <c:v>5010</c:v>
                </c:pt>
                <c:pt idx="147" c:formatCode="General">
                  <c:v>5010</c:v>
                </c:pt>
                <c:pt idx="148" c:formatCode="General">
                  <c:v>5010</c:v>
                </c:pt>
                <c:pt idx="149" c:formatCode="General">
                  <c:v>5010</c:v>
                </c:pt>
                <c:pt idx="150" c:formatCode="General">
                  <c:v>5010</c:v>
                </c:pt>
                <c:pt idx="151" c:formatCode="General">
                  <c:v>5470</c:v>
                </c:pt>
                <c:pt idx="152" c:formatCode="General">
                  <c:v>5550</c:v>
                </c:pt>
                <c:pt idx="153" c:formatCode="General">
                  <c:v>5700</c:v>
                </c:pt>
                <c:pt idx="154" c:formatCode="General">
                  <c:v>5620</c:v>
                </c:pt>
                <c:pt idx="155" c:formatCode="General">
                  <c:v>5620</c:v>
                </c:pt>
                <c:pt idx="156" c:formatCode="General">
                  <c:v>5750</c:v>
                </c:pt>
                <c:pt idx="157" c:formatCode="General">
                  <c:v>5600</c:v>
                </c:pt>
                <c:pt idx="158" c:formatCode="General">
                  <c:v>5570</c:v>
                </c:pt>
                <c:pt idx="159" c:formatCode="General">
                  <c:v>5570</c:v>
                </c:pt>
                <c:pt idx="160" c:formatCode="General">
                  <c:v>5270</c:v>
                </c:pt>
              </c:numCache>
            </c:numRef>
          </c:val>
          <c:smooth val="0"/>
        </c:ser>
        <c:ser>
          <c:idx val="6"/>
          <c:order val="4"/>
          <c:tx>
            <c:strRef>
              <c:f>'[最新溶剂油周报：山东地炼石脑油价格走势图11.2.xls]溶剂油周报-石脑油价格走势图表'!$H$178</c:f>
              <c:strCache>
                <c:ptCount val="1"/>
                <c:pt idx="0">
                  <c:v>寿光石化</c:v>
                </c:pt>
              </c:strCache>
            </c:strRef>
          </c:tx>
          <c:spPr>
            <a:ln w="38100" cap="rnd" cmpd="sng" algn="ctr">
              <a:solidFill>
                <a:srgbClr val="0000FF">
                  <a:alpha val="100000"/>
                </a:srgbClr>
              </a:solidFill>
              <a:prstDash val="solid"/>
              <a:round/>
            </a:ln>
          </c:spPr>
          <c:marker>
            <c:symbol val="none"/>
          </c:marker>
          <c:dLbls>
            <c:delete val="1"/>
          </c:dLbls>
          <c:cat>
            <c:numRef>
              <c:f>'[最新溶剂油周报：山东地炼石脑油价格走势图11.2.xls]溶剂油周报-石脑油价格走势图表'!$A$179:$C$349</c:f>
              <c:numCache>
                <c:formatCode>yyyy/m/d</c:formatCode>
                <c:ptCount val="17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pt idx="139" c:formatCode="yyyy/m/d">
                  <c:v>43259</c:v>
                </c:pt>
                <c:pt idx="140" c:formatCode="yyyy/m/d">
                  <c:v>43266</c:v>
                </c:pt>
                <c:pt idx="141" c:formatCode="yyyy/m/d">
                  <c:v>43273</c:v>
                </c:pt>
                <c:pt idx="142" c:formatCode="yyyy/m/d">
                  <c:v>43280</c:v>
                </c:pt>
                <c:pt idx="143" c:formatCode="yyyy/m/d">
                  <c:v>43287</c:v>
                </c:pt>
                <c:pt idx="144" c:formatCode="yyyy/m/d">
                  <c:v>43294</c:v>
                </c:pt>
                <c:pt idx="145" c:formatCode="yyyy/m/d">
                  <c:v>43301</c:v>
                </c:pt>
                <c:pt idx="146" c:formatCode="yyyy/m/d">
                  <c:v>43308</c:v>
                </c:pt>
                <c:pt idx="147" c:formatCode="yyyy/m/d">
                  <c:v>43315</c:v>
                </c:pt>
                <c:pt idx="148" c:formatCode="yyyy/m/d">
                  <c:v>43322</c:v>
                </c:pt>
                <c:pt idx="149" c:formatCode="yyyy/m/d">
                  <c:v>43329</c:v>
                </c:pt>
                <c:pt idx="150" c:formatCode="yyyy/m/d">
                  <c:v>43336</c:v>
                </c:pt>
                <c:pt idx="151" c:formatCode="yyyy/m/d">
                  <c:v>43343</c:v>
                </c:pt>
                <c:pt idx="152" c:formatCode="yyyy/m/d">
                  <c:v>43350</c:v>
                </c:pt>
                <c:pt idx="153" c:formatCode="yyyy/m/d">
                  <c:v>43357</c:v>
                </c:pt>
                <c:pt idx="154" c:formatCode="yyyy/m/d">
                  <c:v>43364</c:v>
                </c:pt>
                <c:pt idx="155" c:formatCode="yyyy/m/d">
                  <c:v>43371</c:v>
                </c:pt>
                <c:pt idx="156" c:formatCode="yyyy/m/d">
                  <c:v>43385</c:v>
                </c:pt>
                <c:pt idx="157" c:formatCode="yyyy/m/d">
                  <c:v>43392</c:v>
                </c:pt>
                <c:pt idx="158" c:formatCode="yyyy/m/d">
                  <c:v>43399</c:v>
                </c:pt>
                <c:pt idx="159" c:formatCode="yyyy/m/d">
                  <c:v>43406</c:v>
                </c:pt>
                <c:pt idx="160" c:formatCode="yyyy/m/d">
                  <c:v>43413</c:v>
                </c:pt>
              </c:numCache>
            </c:numRef>
          </c:cat>
          <c:val>
            <c:numRef>
              <c:f>'[最新溶剂油周报：山东地炼石脑油价格走势图11.2.xls]溶剂油周报-石脑油价格走势图表'!$H$179:$H$349</c:f>
              <c:numCache>
                <c:formatCode>General</c:formatCode>
                <c:ptCount val="171"/>
                <c:pt idx="17" c:formatCode="@">
                  <c:v>3650</c:v>
                </c:pt>
                <c:pt idx="18" c:formatCode="@">
                  <c:v>3650</c:v>
                </c:pt>
                <c:pt idx="19" c:formatCode="@">
                  <c:v>3650</c:v>
                </c:pt>
                <c:pt idx="20" c:formatCode="@">
                  <c:v>3650</c:v>
                </c:pt>
                <c:pt idx="21" c:formatCode="@">
                  <c:v>3650</c:v>
                </c:pt>
                <c:pt idx="22" c:formatCode="@">
                  <c:v>3650</c:v>
                </c:pt>
                <c:pt idx="23" c:formatCode="@">
                  <c:v>3650</c:v>
                </c:pt>
                <c:pt idx="24" c:formatCode="@">
                  <c:v>3650</c:v>
                </c:pt>
                <c:pt idx="25" c:formatCode="@">
                  <c:v>3650</c:v>
                </c:pt>
                <c:pt idx="26" c:formatCode="@">
                  <c:v>3650</c:v>
                </c:pt>
                <c:pt idx="27" c:formatCode="@">
                  <c:v>4000</c:v>
                </c:pt>
                <c:pt idx="28" c:formatCode="@">
                  <c:v>4000</c:v>
                </c:pt>
                <c:pt idx="29" c:formatCode="@">
                  <c:v>4000</c:v>
                </c:pt>
                <c:pt idx="30" c:formatCode="@">
                  <c:v>4000</c:v>
                </c:pt>
                <c:pt idx="31" c:formatCode="@">
                  <c:v>4000</c:v>
                </c:pt>
                <c:pt idx="32" c:formatCode="@">
                  <c:v>4000</c:v>
                </c:pt>
                <c:pt idx="33" c:formatCode="@">
                  <c:v>4000</c:v>
                </c:pt>
                <c:pt idx="34" c:formatCode="@">
                  <c:v>4000</c:v>
                </c:pt>
                <c:pt idx="35" c:formatCode="@">
                  <c:v>4000</c:v>
                </c:pt>
                <c:pt idx="36" c:formatCode="@">
                  <c:v>4000</c:v>
                </c:pt>
                <c:pt idx="37" c:formatCode="@">
                  <c:v>4000</c:v>
                </c:pt>
                <c:pt idx="38" c:formatCode="@">
                  <c:v>4000</c:v>
                </c:pt>
                <c:pt idx="39" c:formatCode="@">
                  <c:v>4000</c:v>
                </c:pt>
                <c:pt idx="40" c:formatCode="@">
                  <c:v>4000</c:v>
                </c:pt>
                <c:pt idx="41" c:formatCode="@">
                  <c:v>4000</c:v>
                </c:pt>
                <c:pt idx="42" c:formatCode="@">
                  <c:v>4000</c:v>
                </c:pt>
                <c:pt idx="43" c:formatCode="@">
                  <c:v>4000</c:v>
                </c:pt>
                <c:pt idx="44" c:formatCode="@">
                  <c:v>4000</c:v>
                </c:pt>
                <c:pt idx="45" c:formatCode="@">
                  <c:v>4000</c:v>
                </c:pt>
                <c:pt idx="46" c:formatCode="@">
                  <c:v>4000</c:v>
                </c:pt>
                <c:pt idx="47" c:formatCode="@">
                  <c:v>4000</c:v>
                </c:pt>
                <c:pt idx="48" c:formatCode="@">
                  <c:v>4000</c:v>
                </c:pt>
                <c:pt idx="49" c:formatCode="@">
                  <c:v>4000</c:v>
                </c:pt>
                <c:pt idx="50" c:formatCode="@">
                  <c:v>4000</c:v>
                </c:pt>
                <c:pt idx="51" c:formatCode="@">
                  <c:v>4000</c:v>
                </c:pt>
                <c:pt idx="52" c:formatCode="@">
                  <c:v>4000</c:v>
                </c:pt>
                <c:pt idx="53" c:formatCode="@">
                  <c:v>4000</c:v>
                </c:pt>
                <c:pt idx="54" c:formatCode="@">
                  <c:v>4000</c:v>
                </c:pt>
                <c:pt idx="55" c:formatCode="@">
                  <c:v>4000</c:v>
                </c:pt>
                <c:pt idx="56" c:formatCode="@">
                  <c:v>4000</c:v>
                </c:pt>
                <c:pt idx="57" c:formatCode="@">
                  <c:v>4000</c:v>
                </c:pt>
                <c:pt idx="58" c:formatCode="@">
                  <c:v>4000</c:v>
                </c:pt>
                <c:pt idx="59" c:formatCode="@">
                  <c:v>4000</c:v>
                </c:pt>
                <c:pt idx="60" c:formatCode="@">
                  <c:v>4000</c:v>
                </c:pt>
                <c:pt idx="61" c:formatCode="@">
                  <c:v>4000</c:v>
                </c:pt>
                <c:pt idx="62" c:formatCode="@">
                  <c:v>4000</c:v>
                </c:pt>
                <c:pt idx="63" c:formatCode="@">
                  <c:v>4000</c:v>
                </c:pt>
                <c:pt idx="64" c:formatCode="@">
                  <c:v>4000</c:v>
                </c:pt>
                <c:pt idx="65" c:formatCode="@">
                  <c:v>4000</c:v>
                </c:pt>
                <c:pt idx="66" c:formatCode="@">
                  <c:v>4000</c:v>
                </c:pt>
                <c:pt idx="67" c:formatCode="@">
                  <c:v>4000</c:v>
                </c:pt>
                <c:pt idx="68" c:formatCode="@">
                  <c:v>4000</c:v>
                </c:pt>
                <c:pt idx="69" c:formatCode="@">
                  <c:v>4000</c:v>
                </c:pt>
                <c:pt idx="70" c:formatCode="@">
                  <c:v>4000</c:v>
                </c:pt>
                <c:pt idx="71">
                  <c:v>4000</c:v>
                </c:pt>
                <c:pt idx="72">
                  <c:v>4000</c:v>
                </c:pt>
                <c:pt idx="73">
                  <c:v>4000</c:v>
                </c:pt>
                <c:pt idx="74">
                  <c:v>4000</c:v>
                </c:pt>
                <c:pt idx="75">
                  <c:v>4000</c:v>
                </c:pt>
                <c:pt idx="76">
                  <c:v>4000</c:v>
                </c:pt>
                <c:pt idx="77">
                  <c:v>4000</c:v>
                </c:pt>
                <c:pt idx="78">
                  <c:v>4000</c:v>
                </c:pt>
                <c:pt idx="79">
                  <c:v>4000</c:v>
                </c:pt>
                <c:pt idx="80">
                  <c:v>4000</c:v>
                </c:pt>
                <c:pt idx="81">
                  <c:v>4000</c:v>
                </c:pt>
                <c:pt idx="82">
                  <c:v>4000</c:v>
                </c:pt>
                <c:pt idx="83">
                  <c:v>4000</c:v>
                </c:pt>
                <c:pt idx="84">
                  <c:v>4000</c:v>
                </c:pt>
                <c:pt idx="85">
                  <c:v>4000</c:v>
                </c:pt>
                <c:pt idx="86">
                  <c:v>4000</c:v>
                </c:pt>
                <c:pt idx="87">
                  <c:v>4000</c:v>
                </c:pt>
                <c:pt idx="88">
                  <c:v>4000</c:v>
                </c:pt>
                <c:pt idx="89">
                  <c:v>4000</c:v>
                </c:pt>
                <c:pt idx="90">
                  <c:v>4000</c:v>
                </c:pt>
                <c:pt idx="91">
                  <c:v>4000</c:v>
                </c:pt>
                <c:pt idx="92">
                  <c:v>4000</c:v>
                </c:pt>
                <c:pt idx="93">
                  <c:v>4000</c:v>
                </c:pt>
                <c:pt idx="94">
                  <c:v>4000</c:v>
                </c:pt>
                <c:pt idx="95">
                  <c:v>4000</c:v>
                </c:pt>
                <c:pt idx="96">
                  <c:v>4000</c:v>
                </c:pt>
                <c:pt idx="97">
                  <c:v>4000</c:v>
                </c:pt>
                <c:pt idx="98">
                  <c:v>4000</c:v>
                </c:pt>
                <c:pt idx="99">
                  <c:v>4000</c:v>
                </c:pt>
                <c:pt idx="100">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numCache>
            </c:numRef>
          </c:val>
          <c:smooth val="0"/>
        </c:ser>
        <c:dLbls>
          <c:showLegendKey val="0"/>
          <c:showVal val="0"/>
          <c:showCatName val="0"/>
          <c:showSerName val="0"/>
          <c:showPercent val="0"/>
          <c:showBubbleSize val="0"/>
        </c:dLbls>
        <c:marker val="0"/>
        <c:smooth val="0"/>
        <c:axId val="396652592"/>
        <c:axId val="297731300"/>
      </c:lineChart>
      <c:dateAx>
        <c:axId val="396652592"/>
        <c:scaling>
          <c:orientation val="minMax"/>
          <c:max val="43413"/>
          <c:min val="43048"/>
        </c:scaling>
        <c:delete val="0"/>
        <c:axPos val="b"/>
        <c:title>
          <c:tx>
            <c:rich>
              <a:bodyPr rot="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000" b="0" i="0" u="none" strike="noStrike" baseline="0">
                    <a:solidFill>
                      <a:srgbClr val="000000"/>
                    </a:solidFill>
                    <a:latin typeface="宋体" panose="02010600030101010101" charset="-122"/>
                    <a:ea typeface="宋体" panose="02010600030101010101" charset="-122"/>
                    <a:cs typeface="宋体" panose="02010600030101010101" charset="-122"/>
                  </a:rPr>
                  <a:t>元/吨</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0314024540035944"/>
              <c:y val="0.0750266871003541"/>
            </c:manualLayout>
          </c:layout>
          <c:overlay val="0"/>
        </c:title>
        <c:numFmt formatCode="yyyy/m/d;@" sourceLinked="0"/>
        <c:majorTickMark val="in"/>
        <c:minorTickMark val="none"/>
        <c:tickLblPos val="nextTo"/>
        <c:spPr>
          <a:ln w="3175" cap="flat" cmpd="sng" algn="ctr">
            <a:solidFill>
              <a:srgbClr val="000000">
                <a:alpha val="100000"/>
              </a:srgbClr>
            </a:solidFill>
            <a:prstDash val="solid"/>
            <a:round/>
          </a:ln>
        </c:spPr>
        <c:txPr>
          <a:bodyPr rot="-540000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97731300"/>
        <c:crossesAt val="2000"/>
        <c:auto val="1"/>
        <c:lblOffset val="100"/>
        <c:baseTimeUnit val="days"/>
        <c:majorUnit val="1"/>
        <c:majorTimeUnit val="months"/>
        <c:minorUnit val="1"/>
        <c:minorTimeUnit val="months"/>
      </c:dateAx>
      <c:valAx>
        <c:axId val="297731300"/>
        <c:scaling>
          <c:orientation val="minMax"/>
          <c:max val="8500"/>
          <c:min val="2000"/>
        </c:scaling>
        <c:delete val="0"/>
        <c:axPos val="l"/>
        <c:majorGridlines>
          <c:spPr>
            <a:ln w="3175" cap="flat" cmpd="sng" algn="ctr">
              <a:solidFill>
                <a:srgbClr val="000000">
                  <a:alpha val="100000"/>
                </a:srgbClr>
              </a:solidFill>
              <a:prstDash val="solid"/>
              <a:round/>
            </a:ln>
          </c:spPr>
        </c:majorGridlines>
        <c:numFmt formatCode="@" sourceLinked="1"/>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96652592"/>
        <c:crossesAt val="42241"/>
        <c:crossBetween val="between"/>
        <c:majorUnit val="500"/>
        <c:minorUnit val="100"/>
      </c:valAx>
      <c:spPr>
        <a:solidFill>
          <a:srgbClr val="FFFFFF">
            <a:alpha val="100000"/>
          </a:srgbClr>
        </a:solidFill>
        <a:ln w="3175">
          <a:noFill/>
        </a:ln>
      </c:spPr>
    </c:plotArea>
    <c:legend>
      <c:legendPos val="r"/>
      <c:layout>
        <c:manualLayout>
          <c:xMode val="edge"/>
          <c:yMode val="edge"/>
          <c:x val="0.0719999655215512"/>
          <c:y val="0.867679191107823"/>
          <c:w val="0.865"/>
          <c:h val="0.087"/>
        </c:manualLayout>
      </c:layout>
      <c:overlay val="0"/>
      <c:spPr>
        <a:solidFill>
          <a:srgbClr val="FFFFFF">
            <a:alpha val="100000"/>
          </a:srgbClr>
        </a:solidFill>
        <a:ln w="3175">
          <a:noFill/>
        </a:ln>
      </c:spPr>
      <c:txPr>
        <a:bodyPr rot="0" spcFirstLastPara="0" vertOverflow="ellipsis" vert="horz" wrap="square" anchor="ctr" anchorCtr="1"/>
        <a:lstStyle/>
        <a:p>
          <a:pPr>
            <a:defRPr lang="zh-CN" sz="71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D62B-B3FF-4E5E-A47E-08BA072DDC9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2708</Words>
  <Characters>15442</Characters>
  <Lines>128</Lines>
  <Paragraphs>36</Paragraphs>
  <TotalTime>156</TotalTime>
  <ScaleCrop>false</ScaleCrop>
  <LinksUpToDate>false</LinksUpToDate>
  <CharactersWithSpaces>18114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2018-08-31T06:57:00Z</dcterms:created>
  <dc:creator>AutoBVT</dc:creator>
  <cp:lastModifiedBy>梦蝶</cp:lastModifiedBy>
  <dcterms:modified xsi:type="dcterms:W3CDTF">2018-11-09T08:17:36Z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