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F11086">
      <w:pPr>
        <w:spacing w:line="400" w:lineRule="exact"/>
        <w:rPr>
          <w:rFonts w:cs="Times New Roman"/>
        </w:rPr>
      </w:pPr>
      <w:r w:rsidRPr="00F110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F11086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650ED7" w:rsidRDefault="00650ED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5912525"/>
                  <w:r>
                    <w:rPr>
                      <w:kern w:val="2"/>
                    </w:rPr>
                    <w:t>2018.</w:t>
                  </w:r>
                  <w:r w:rsidR="00F331BE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6A224F">
                    <w:rPr>
                      <w:rFonts w:hint="eastAsia"/>
                      <w:kern w:val="2"/>
                    </w:rPr>
                    <w:t>2</w:t>
                  </w:r>
                  <w:r w:rsidR="008A450F">
                    <w:rPr>
                      <w:rFonts w:hint="eastAsia"/>
                      <w:kern w:val="2"/>
                    </w:rPr>
                    <w:t>8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F11086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F11086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650ED7" w:rsidRDefault="00650ED7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846284" w:rsidRDefault="00F11086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F11086">
                    <w:fldChar w:fldCharType="begin"/>
                  </w:r>
                  <w:r w:rsidR="00650ED7">
                    <w:instrText xml:space="preserve"> TOC \o "1-3" \h \z \u </w:instrText>
                  </w:r>
                  <w:r w:rsidRPr="00F11086">
                    <w:fldChar w:fldCharType="separate"/>
                  </w:r>
                  <w:hyperlink r:id="rId9" w:anchor="_Toc525912525" w:history="1">
                    <w:r w:rsidR="00846284" w:rsidRPr="00690307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84628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846284" w:rsidRPr="00690307">
                      <w:rPr>
                        <w:rStyle w:val="a9"/>
                        <w:noProof/>
                      </w:rPr>
                      <w:t>2018.9.28</w:t>
                    </w:r>
                    <w:r w:rsidR="00846284">
                      <w:rPr>
                        <w:noProof/>
                        <w:webHidden/>
                      </w:rPr>
                      <w:tab/>
                    </w:r>
                    <w:r w:rsidR="00846284">
                      <w:rPr>
                        <w:noProof/>
                        <w:webHidden/>
                      </w:rPr>
                      <w:fldChar w:fldCharType="begin"/>
                    </w:r>
                    <w:r w:rsidR="00846284">
                      <w:rPr>
                        <w:noProof/>
                        <w:webHidden/>
                      </w:rPr>
                      <w:instrText xml:space="preserve"> PAGEREF _Toc525912525 \h </w:instrText>
                    </w:r>
                    <w:r w:rsidR="00846284">
                      <w:rPr>
                        <w:noProof/>
                        <w:webHidden/>
                      </w:rPr>
                    </w:r>
                    <w:r w:rsidR="00846284">
                      <w:rPr>
                        <w:noProof/>
                        <w:webHidden/>
                      </w:rPr>
                      <w:fldChar w:fldCharType="separate"/>
                    </w:r>
                    <w:r w:rsidR="00846284">
                      <w:rPr>
                        <w:noProof/>
                        <w:webHidden/>
                      </w:rPr>
                      <w:t>1</w:t>
                    </w:r>
                    <w:r w:rsidR="00846284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46284" w:rsidRDefault="0084628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912526" w:history="1">
                    <w:r w:rsidRPr="00690307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_Toc525912526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46284" w:rsidRDefault="00846284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912527" w:history="1">
                    <w:r w:rsidRPr="00690307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_Toc525912527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46284" w:rsidRDefault="0084628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912528" w:history="1">
                    <w:r w:rsidRPr="00690307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_Toc525912528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46284" w:rsidRDefault="0084628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912529" w:history="1">
                    <w:r w:rsidRPr="00690307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_Toc525912529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46284" w:rsidRDefault="0084628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912530" w:history="1">
                    <w:r w:rsidRPr="00690307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_Toc525912530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50ED7" w:rsidRDefault="00F11086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300238840"/>
      <w:bookmarkStart w:id="31" w:name="_Toc525912526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32" w:name="_Toc392240277"/>
      <w:bookmarkStart w:id="33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34" w:name="_Toc511390006"/>
      <w:bookmarkStart w:id="35" w:name="_Toc513127191"/>
      <w:bookmarkStart w:id="36" w:name="_Toc515610374"/>
      <w:bookmarkStart w:id="37" w:name="_Toc516234892"/>
      <w:bookmarkStart w:id="38" w:name="_Toc516234898"/>
      <w:bookmarkStart w:id="39" w:name="_Toc516839085"/>
      <w:bookmarkStart w:id="40" w:name="_Toc517425039"/>
      <w:bookmarkStart w:id="41" w:name="_Toc518032000"/>
      <w:bookmarkStart w:id="42" w:name="_Toc518638260"/>
      <w:bookmarkStart w:id="43" w:name="_Toc519848558"/>
      <w:bookmarkStart w:id="44" w:name="_Toc520465077"/>
      <w:bookmarkStart w:id="45" w:name="_Toc521057602"/>
      <w:bookmarkStart w:id="46" w:name="_Toc521660548"/>
      <w:bookmarkStart w:id="47" w:name="_Toc522259765"/>
      <w:bookmarkStart w:id="48" w:name="_Toc522280055"/>
      <w:bookmarkStart w:id="49" w:name="_Toc522870746"/>
      <w:bookmarkStart w:id="50" w:name="_Toc522870752"/>
      <w:bookmarkStart w:id="51" w:name="_Toc522870761"/>
      <w:bookmarkStart w:id="52" w:name="_Toc522870770"/>
      <w:bookmarkStart w:id="53" w:name="_Toc524091682"/>
      <w:bookmarkStart w:id="54" w:name="_Toc524701465"/>
      <w:bookmarkStart w:id="55" w:name="_Toc525289547"/>
      <w:bookmarkStart w:id="56" w:name="_Toc525306464"/>
      <w:bookmarkStart w:id="57" w:name="_Toc525306475"/>
      <w:bookmarkStart w:id="58" w:name="_Toc525912527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59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96603F" w:rsidRPr="0096603F" w:rsidRDefault="00937BDF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37BDF">
        <w:rPr>
          <w:rFonts w:ascii="仿宋" w:eastAsia="仿宋" w:hAnsi="仿宋" w:cs="仿宋" w:hint="eastAsia"/>
          <w:sz w:val="28"/>
          <w:szCs w:val="28"/>
        </w:rPr>
        <w:t>本周</w:t>
      </w:r>
      <w:r w:rsidR="00E403E5" w:rsidRPr="00885B66">
        <w:rPr>
          <w:rFonts w:ascii="仿宋" w:eastAsia="仿宋" w:hAnsi="仿宋" w:cs="仿宋" w:hint="eastAsia"/>
          <w:sz w:val="28"/>
          <w:szCs w:val="28"/>
        </w:rPr>
        <w:t>受上周华北区域重质纯碱低价上调影响后，市场主流成交重心整理维稳运行为主；轻质纯碱供需平衡，市场延续走稳为主。当前轻重质纯碱主流出厂执行价差较小，生产厂家重质纯碱生产积极性较弱，国内轻质纯碱供应宽松，重质纯碱供应偏紧。据业内反馈，多区域厂家重质纯碱吨包货源供应紧张，发运多以小包发运为主。本周纯碱用户接货价格趋近，成交重心进一步维稳在到货1900-2000元/吨，而华南及东北等较为偏远区域用户到站价格稍高。综合整体市场表现略为稳定。</w:t>
      </w:r>
    </w:p>
    <w:p w:rsidR="00E92017" w:rsidRDefault="00537D9E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="001C4856"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E403E5" w:rsidRPr="00885B66" w:rsidRDefault="005C08DC" w:rsidP="00885B66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轻碱主流含税出厂价格：</w:t>
      </w:r>
      <w:r w:rsidR="00E403E5" w:rsidRPr="00885B66">
        <w:rPr>
          <w:rFonts w:ascii="仿宋" w:eastAsia="仿宋" w:hAnsi="仿宋" w:cs="仿宋" w:hint="eastAsia"/>
          <w:sz w:val="28"/>
          <w:szCs w:val="28"/>
        </w:rPr>
        <w:t>辽宁地区现阶段本地贸易出货价格在1950元/吨左右，终端到货2000/吨左右；河北地区出厂1780-1820元/吨；山东地区出厂1830-1880元/吨；江苏地区主流出厂1750-1850元/吨；杭州地区出厂1800-1850元/吨；福建地区出厂1830-1880元/吨；广东地区出厂1950-2050元/吨；华中地区1780-1850元/吨；青海地区出厂1500-1550元/吨；川渝区域出厂1800-1850元/吨；云贵地区出厂1850-1900元/吨。 </w:t>
      </w:r>
    </w:p>
    <w:p w:rsidR="0096603F" w:rsidRPr="00885B66" w:rsidRDefault="00FB54E9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FB54E9">
        <w:rPr>
          <w:rFonts w:ascii="仿宋" w:eastAsia="仿宋" w:hAnsi="仿宋" w:cs="仿宋" w:hint="eastAsia"/>
          <w:sz w:val="28"/>
          <w:szCs w:val="28"/>
        </w:rPr>
        <w:t>重碱主流含税送到价格</w:t>
      </w:r>
      <w:r w:rsidR="00C412D4">
        <w:rPr>
          <w:rFonts w:ascii="仿宋" w:eastAsia="仿宋" w:hAnsi="仿宋" w:cs="仿宋" w:hint="eastAsia"/>
          <w:sz w:val="28"/>
          <w:szCs w:val="28"/>
        </w:rPr>
        <w:t>:</w:t>
      </w:r>
      <w:r w:rsidR="00E403E5" w:rsidRPr="00885B66">
        <w:rPr>
          <w:rFonts w:ascii="仿宋" w:eastAsia="仿宋" w:hAnsi="仿宋" w:cs="仿宋" w:hint="eastAsia"/>
          <w:sz w:val="28"/>
          <w:szCs w:val="28"/>
        </w:rPr>
        <w:t>目前华北地区重碱主流送到1900-1950元/吨左右，沙河区域主流送达提升至1900元/吨以上；青海区域主流出</w:t>
      </w:r>
      <w:r w:rsidR="00E403E5" w:rsidRPr="00885B66">
        <w:rPr>
          <w:rFonts w:ascii="仿宋" w:eastAsia="仿宋" w:hAnsi="仿宋" w:cs="仿宋" w:hint="eastAsia"/>
          <w:sz w:val="28"/>
          <w:szCs w:val="28"/>
        </w:rPr>
        <w:lastRenderedPageBreak/>
        <w:t>厂价1500-1550元/吨；西南区域送到1850-1900元/吨；东北区域重碱主流送到1950-2050元/吨；广东重碱送到价格2000-2100元/吨；华东片区主流送到参考1900-1950元/吨。</w:t>
      </w:r>
    </w:p>
    <w:p w:rsidR="00537D9E" w:rsidRPr="004203C1" w:rsidRDefault="00537D9E" w:rsidP="00937BD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C412D4" w:rsidRPr="00885B66" w:rsidRDefault="00C412D4" w:rsidP="00FB54E9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截止目前，辽宁大化、湘潭碱业、甘肃金昌、江苏德邦等众停机碱厂仍未宣布计划开机动态，下周供应无突加增量可能，而内蒙苏尼特碱业装置本月停机一月、金山集团新增装置投产消息不明，行业整体开工率将保持约84%。当前厂家检修变动频次走缓，加上各纯碱企业库存不高，市场供应趋稳，而下游方面均以按需采购，轻质纯碱市场或延续走稳为主，重质纯碱售价或因供应偏紧而有望窄幅上调。</w:t>
      </w: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59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C412D4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16559E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6603F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C412D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C514C7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514C7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514C7">
              <w:rPr>
                <w:rFonts w:asciiTheme="minorEastAsia" w:eastAsiaTheme="minorEastAsia" w:hAnsiTheme="minorEastAsia" w:hint="eastAsia"/>
              </w:rPr>
              <w:t>8</w:t>
            </w:r>
            <w:r w:rsidR="00405BA5">
              <w:rPr>
                <w:rFonts w:asciiTheme="minorEastAsia" w:eastAsiaTheme="minorEastAsia" w:hAnsiTheme="minorEastAsia" w:hint="eastAsia"/>
              </w:rPr>
              <w:t>8</w:t>
            </w:r>
            <w:r w:rsidR="00F4206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</w:t>
            </w:r>
            <w:r w:rsidR="00C514C7">
              <w:rPr>
                <w:rFonts w:asciiTheme="minorEastAsia" w:eastAsiaTheme="minorEastAsia" w:hAnsiTheme="minorEastAsia" w:hint="eastAsia"/>
              </w:rPr>
              <w:t>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96603F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C41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C412D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</w:tr>
      <w:tr w:rsidR="0096603F" w:rsidTr="00650ED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760D21" w:rsidRDefault="0096603F" w:rsidP="00C41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C412D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937BD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9F6A41">
              <w:rPr>
                <w:rFonts w:asciiTheme="minorEastAsia" w:eastAsiaTheme="minorEastAsia" w:hAnsiTheme="minorEastAsia" w:hint="eastAsia"/>
              </w:rPr>
              <w:t>8</w:t>
            </w:r>
            <w:r w:rsidR="00C412D4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</w:tr>
      <w:tr w:rsidR="0096603F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760D21" w:rsidRDefault="0096603F" w:rsidP="00C41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C412D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</w:tr>
      <w:tr w:rsidR="0096603F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C41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C412D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C514C7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C412D4">
              <w:rPr>
                <w:rFonts w:asciiTheme="minorEastAsia" w:eastAsiaTheme="minorEastAsia" w:hAnsiTheme="minorEastAsia" w:hint="eastAsia"/>
              </w:rPr>
              <w:t>80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="00C412D4">
              <w:rPr>
                <w:rFonts w:asciiTheme="minorEastAsia" w:eastAsiaTheme="minorEastAsia" w:hAnsiTheme="minorEastAsia" w:hint="eastAsia"/>
              </w:rPr>
              <w:t>3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</w:tr>
      <w:tr w:rsidR="0096603F" w:rsidTr="00650ED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C41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C412D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="00C412D4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="00C412D4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96603F" w:rsidTr="00650ED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C41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C412D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412D4">
              <w:rPr>
                <w:rFonts w:asciiTheme="minorEastAsia" w:eastAsiaTheme="minorEastAsia" w:hAnsiTheme="minorEastAsia" w:hint="eastAsia"/>
              </w:rPr>
              <w:t>50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412D4">
              <w:rPr>
                <w:rFonts w:asciiTheme="minorEastAsia" w:eastAsiaTheme="minorEastAsia" w:hAnsiTheme="minorEastAsia" w:hint="eastAsia"/>
              </w:rPr>
              <w:t>80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412D4">
              <w:rPr>
                <w:rFonts w:asciiTheme="minorEastAsia" w:eastAsiaTheme="minorEastAsia" w:hAnsiTheme="minorEastAsia" w:hint="eastAsia"/>
              </w:rPr>
              <w:t>50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412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412D4">
              <w:rPr>
                <w:rFonts w:asciiTheme="minorEastAsia" w:eastAsiaTheme="minorEastAsia" w:hAnsiTheme="minorEastAsia" w:hint="eastAsia"/>
              </w:rPr>
              <w:t>80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60" w:name="_Toc392240279"/>
      <w:bookmarkStart w:id="61" w:name="_Toc485981323"/>
      <w:bookmarkStart w:id="62" w:name="_Toc511390007"/>
      <w:bookmarkStart w:id="63" w:name="_Toc513127192"/>
      <w:bookmarkStart w:id="64" w:name="_Toc515610375"/>
      <w:bookmarkStart w:id="65" w:name="_Toc516234893"/>
      <w:bookmarkStart w:id="66" w:name="_Toc516234899"/>
      <w:bookmarkStart w:id="67" w:name="_Toc516839086"/>
      <w:bookmarkStart w:id="68" w:name="_Toc517425040"/>
      <w:bookmarkStart w:id="69" w:name="_Toc518032001"/>
      <w:bookmarkStart w:id="70" w:name="_Toc518638261"/>
      <w:bookmarkStart w:id="71" w:name="_Toc519848559"/>
      <w:bookmarkStart w:id="72" w:name="_Toc520465078"/>
      <w:bookmarkStart w:id="73" w:name="_Toc521057603"/>
      <w:bookmarkStart w:id="74" w:name="_Toc521660549"/>
      <w:bookmarkStart w:id="75" w:name="_Toc522259766"/>
      <w:bookmarkStart w:id="76" w:name="_Toc522280056"/>
      <w:bookmarkStart w:id="77" w:name="_Toc522870747"/>
      <w:bookmarkStart w:id="78" w:name="_Toc522870753"/>
      <w:bookmarkStart w:id="79" w:name="_Toc522870762"/>
      <w:bookmarkStart w:id="80" w:name="_Toc522870771"/>
      <w:bookmarkStart w:id="81" w:name="_Toc524091683"/>
      <w:bookmarkStart w:id="82" w:name="_Toc524701466"/>
      <w:bookmarkStart w:id="83" w:name="_Toc525289548"/>
      <w:bookmarkStart w:id="84" w:name="_Toc525306465"/>
      <w:bookmarkStart w:id="85" w:name="_Toc525306476"/>
      <w:bookmarkStart w:id="86" w:name="_Toc525912528"/>
      <w:r>
        <w:rPr>
          <w:rFonts w:cs="黑体" w:hint="eastAsia"/>
        </w:rPr>
        <w:t>烧碱</w:t>
      </w:r>
      <w:bookmarkEnd w:id="3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87" w:name="_Toc300238848"/>
      <w:bookmarkStart w:id="88" w:name="_Toc295403449"/>
      <w:bookmarkStart w:id="89" w:name="_Toc252539754"/>
      <w:bookmarkStart w:id="90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91" w:name="_Toc300238850"/>
      <w:bookmarkStart w:id="92" w:name="_Toc392240280"/>
      <w:bookmarkStart w:id="93" w:name="_Toc295403451"/>
      <w:bookmarkStart w:id="94" w:name="_Toc264643747"/>
      <w:bookmarkEnd w:id="87"/>
      <w:bookmarkEnd w:id="88"/>
      <w:bookmarkEnd w:id="89"/>
      <w:bookmarkEnd w:id="90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C412D4" w:rsidRPr="00885B66" w:rsidRDefault="006A224F" w:rsidP="00885B66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本周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中国烧碱市场区域性差异明显，本周华北以山东为代表的地区价格低位盘整，部分企业的价格灵活下调；华东安徽、江苏及地区液碱成交重心不断提升；西北地区液碱价格整体走势向下，液碱下调幅度200元/吨（折百），但月末时候受氧化铝行业用碱增加、山东烧碱装置减产的影响，西北企业报价坚挺维稳。9月27日中国32%离子膜液碱市场价格指数1039，较上周四（9月20日）数据相比↑0.38%；9月27日中国50%离子膜液碱市场平均出厂价格在1731.9元/吨，较上周四（9月20日）数据相比稳定。 </w:t>
      </w:r>
    </w:p>
    <w:p w:rsidR="00C412D4" w:rsidRPr="00885B66" w:rsidRDefault="00C412D4" w:rsidP="00885B66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本周价格调整原因：1、前期华北以山东为代表的地区液碱价格持续走低，本周液碱价格已处于低位，个别企业前期持稳观望，本周价格灵活下调，9月26日晚山东信发老厂63万氯碱装置停车检修，具体开工日期暂未确定。2、目前山西地区10月份氧化铝用碱价格已确定，执行液碱到家价格3430-3480元/吨（折百）。预计其他地区氧化铝用碱价格持稳为主。3、西北地区本周厂家库存高位，中间商拿货不积极，部分厂家报价走低，其他企业等待氧化铝用碱价格确定后灵活调整。</w:t>
      </w:r>
    </w:p>
    <w:p w:rsidR="00537D9E" w:rsidRPr="00FD138F" w:rsidRDefault="00537D9E" w:rsidP="00405BA5">
      <w:pPr>
        <w:widowControl/>
        <w:ind w:firstLine="420"/>
        <w:jc w:val="left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Pr="00885B66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885B66" w:rsidRDefault="007A5962" w:rsidP="00885B66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32%离子膜液碱主流出厂价格：</w:t>
      </w:r>
      <w:r w:rsidR="00C412D4" w:rsidRPr="00885B66">
        <w:rPr>
          <w:rFonts w:ascii="仿宋" w:eastAsia="仿宋" w:hAnsi="仿宋" w:cs="仿宋" w:hint="eastAsia"/>
          <w:kern w:val="2"/>
          <w:sz w:val="28"/>
          <w:szCs w:val="28"/>
        </w:rPr>
        <w:t>山东供给氧化铝行业现汇出厂价格执行880元/吨，供其他客户主流出厂价格900-975元/吨；河北950-1030元/吨；天津3200-3250元/吨（折百）；21日起浙江送到经萧绍销商1130-1140元/吨；江苏苏北960-1000元/吨，苏南1050-1100元/吨；安徽1080-1100元/吨；江西地区1060-1100元/吨；福建省内送到1130-1140元/吨；广西1180-1200元/吨；湖北1050-1100元/吨；</w:t>
      </w:r>
      <w:r w:rsidR="00C412D4" w:rsidRPr="00885B66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河南1120-1140元/吨（折百）；内蒙古3250-3400元/吨（折百）；辽宁1050元/吨；四川3750-3900元/吨（折百）。</w:t>
      </w:r>
    </w:p>
    <w:p w:rsidR="00C412D4" w:rsidRPr="00885B66" w:rsidRDefault="00C412D4" w:rsidP="00885B66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高浓碱主流出厂价格：山东48%离子膜液碱出厂1390-1490元/吨，50%离子膜液碱出厂1500-1620元/吨。天津49%离子膜碱出厂价格3400-3450元/吨（折百），福建50%离子膜液碱省内送到1920-1930元/吨；广西50%离子膜液碱出厂价格1780-1800元/吨；内蒙古48-50%离子膜液碱出厂价格3450-3500元/吨（折百）；陕西地区50%离子膜液碱出厂价格3400-3500元/吨（折百）均有；江苏地区48%离子膜液碱出厂价格1650-1680元/吨。辽宁地区45%离子膜液碱出厂报价在1650-1680元/吨；四川地区50%离子膜液碱主流出厂价格3800-3950元/吨（折百）。</w:t>
      </w:r>
    </w:p>
    <w:p w:rsidR="007A223B" w:rsidRPr="00885B66" w:rsidRDefault="008F6424" w:rsidP="00885B66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后市预测：</w:t>
      </w:r>
    </w:p>
    <w:p w:rsidR="00C412D4" w:rsidRPr="00885B66" w:rsidRDefault="00240A04" w:rsidP="00885B66">
      <w:pPr>
        <w:pStyle w:val="a7"/>
        <w:spacing w:before="0" w:beforeAutospacing="0" w:after="0" w:afterAutospacing="0" w:line="400" w:lineRule="exact"/>
        <w:ind w:firstLineChars="50" w:firstLine="140"/>
        <w:rPr>
          <w:rFonts w:ascii="仿宋" w:eastAsia="仿宋" w:hAnsi="仿宋" w:cs="仿宋" w:hint="eastAsia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1、</w:t>
      </w:r>
      <w:r w:rsidR="00C412D4" w:rsidRPr="00885B66">
        <w:rPr>
          <w:rFonts w:ascii="仿宋" w:eastAsia="仿宋" w:hAnsi="仿宋" w:cs="仿宋" w:hint="eastAsia"/>
          <w:kern w:val="2"/>
          <w:sz w:val="28"/>
          <w:szCs w:val="28"/>
        </w:rPr>
        <w:t>氧化铝行业的用量暂时稳定。但氧化铝行业采暖季减产情况不明朗，氧化铝现货价格本周趋于稳定。</w:t>
      </w:r>
    </w:p>
    <w:p w:rsidR="00C412D4" w:rsidRPr="00885B66" w:rsidRDefault="00240A04" w:rsidP="00885B66">
      <w:pPr>
        <w:pStyle w:val="a7"/>
        <w:spacing w:before="0" w:beforeAutospacing="0" w:after="0" w:afterAutospacing="0" w:line="400" w:lineRule="exact"/>
        <w:ind w:firstLineChars="50" w:firstLine="140"/>
        <w:rPr>
          <w:rFonts w:ascii="仿宋" w:eastAsia="仿宋" w:hAnsi="仿宋" w:cs="仿宋" w:hint="eastAsia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2、</w:t>
      </w:r>
      <w:r w:rsidR="00C412D4" w:rsidRPr="00885B66">
        <w:rPr>
          <w:rFonts w:ascii="仿宋" w:eastAsia="仿宋" w:hAnsi="仿宋" w:cs="仿宋" w:hint="eastAsia"/>
          <w:kern w:val="2"/>
          <w:sz w:val="28"/>
          <w:szCs w:val="28"/>
        </w:rPr>
        <w:t>传统旺季，随着天气逐渐转凉，华东地区下游需求逐渐转好，加之传统旺季，预计十一假期过后价格有上调可能。</w:t>
      </w:r>
    </w:p>
    <w:p w:rsidR="00C412D4" w:rsidRPr="00885B66" w:rsidRDefault="00240A04" w:rsidP="00885B66">
      <w:pPr>
        <w:pStyle w:val="a7"/>
        <w:spacing w:before="0" w:beforeAutospacing="0" w:after="0" w:afterAutospacing="0" w:line="400" w:lineRule="exact"/>
        <w:ind w:firstLineChars="50" w:firstLine="140"/>
        <w:rPr>
          <w:rFonts w:ascii="仿宋" w:eastAsia="仿宋" w:hAnsi="仿宋" w:cs="仿宋" w:hint="eastAsia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3、</w:t>
      </w:r>
      <w:r w:rsidR="00C412D4" w:rsidRPr="00885B66">
        <w:rPr>
          <w:rFonts w:ascii="仿宋" w:eastAsia="仿宋" w:hAnsi="仿宋" w:cs="仿宋" w:hint="eastAsia"/>
          <w:kern w:val="2"/>
          <w:sz w:val="28"/>
          <w:szCs w:val="28"/>
        </w:rPr>
        <w:t>山东信发老厂停车检修，但暂未有采购烧碱的明确消息，对市场影响暂未明确，10月山西氧化铝用碱价格稳定，氧化铝用碱确定后其他行业用碱价格多随之灵活调整，调整幅度不大，考虑到国庆期间，氯碱企业生产负荷不确定，部分装置或因企业自身安排、节假日原因而减负荷运行，山东省烧碱市场整体走势或将有扭转可能。</w:t>
      </w:r>
    </w:p>
    <w:p w:rsidR="00537D9E" w:rsidRPr="002C5DD5" w:rsidRDefault="00537D9E" w:rsidP="00C412D4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91"/>
      <w:bookmarkEnd w:id="92"/>
      <w:bookmarkEnd w:id="93"/>
      <w:bookmarkEnd w:id="94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C412D4" w:rsidRPr="00C412D4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lastRenderedPageBreak/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C412D4" w:rsidRPr="00C412D4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C412D4" w:rsidRPr="00C412D4" w:rsidTr="00650ED7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2018/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412D4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/</w:t>
            </w: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2D4" w:rsidRPr="00C412D4" w:rsidRDefault="00C412D4" w:rsidP="00C412D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95" w:name="_Toc485981325"/>
      <w:bookmarkStart w:id="96" w:name="_Toc250731929"/>
      <w:bookmarkStart w:id="97" w:name="_Toc300238851"/>
      <w:bookmarkStart w:id="98" w:name="_Toc392240282"/>
      <w:bookmarkStart w:id="99" w:name="_Toc295403452"/>
      <w:bookmarkStart w:id="100" w:name="_Toc233795930"/>
      <w:bookmarkStart w:id="101" w:name="_Toc252539758"/>
      <w:bookmarkStart w:id="102" w:name="_Toc511390008"/>
      <w:bookmarkStart w:id="103" w:name="_Toc513127193"/>
      <w:bookmarkStart w:id="104" w:name="_Toc515610376"/>
      <w:bookmarkStart w:id="105" w:name="_Toc516234894"/>
      <w:bookmarkStart w:id="106" w:name="_Toc516234900"/>
      <w:bookmarkStart w:id="107" w:name="_Toc516839087"/>
      <w:bookmarkStart w:id="108" w:name="_Toc517425041"/>
      <w:bookmarkStart w:id="109" w:name="_Toc518032002"/>
      <w:bookmarkStart w:id="110" w:name="_Toc518638262"/>
      <w:bookmarkStart w:id="111" w:name="_Toc519848560"/>
      <w:bookmarkStart w:id="112" w:name="_Toc520465079"/>
      <w:bookmarkStart w:id="113" w:name="_Toc521057604"/>
      <w:bookmarkStart w:id="114" w:name="_Toc521660550"/>
      <w:bookmarkStart w:id="115" w:name="_Toc522259767"/>
      <w:bookmarkStart w:id="116" w:name="_Toc522280057"/>
      <w:bookmarkStart w:id="117" w:name="_Toc522870748"/>
      <w:bookmarkStart w:id="118" w:name="_Toc522870754"/>
      <w:bookmarkStart w:id="119" w:name="_Toc522870763"/>
      <w:bookmarkStart w:id="120" w:name="_Toc522870772"/>
      <w:bookmarkStart w:id="121" w:name="_Toc524091684"/>
      <w:bookmarkStart w:id="122" w:name="_Toc524701467"/>
      <w:bookmarkStart w:id="123" w:name="_Toc525289549"/>
      <w:bookmarkStart w:id="124" w:name="_Toc525306466"/>
      <w:bookmarkStart w:id="125" w:name="_Toc525306477"/>
      <w:bookmarkStart w:id="126" w:name="_Toc525912529"/>
      <w:r>
        <w:rPr>
          <w:rFonts w:ascii="黑体" w:hAnsi="黑体" w:cs="黑体" w:hint="eastAsia"/>
          <w:sz w:val="30"/>
          <w:szCs w:val="30"/>
        </w:rPr>
        <w:t>液氯</w:t>
      </w:r>
      <w:bookmarkStart w:id="127" w:name="_Toc233795931"/>
      <w:bookmarkStart w:id="128" w:name="_Toc252539759"/>
      <w:bookmarkStart w:id="129" w:name="_Toc185611021"/>
      <w:bookmarkStart w:id="130" w:name="_Toc250731930"/>
      <w:bookmarkStart w:id="131" w:name="_Toc485981326"/>
      <w:bookmarkStart w:id="132" w:name="_Toc392240283"/>
      <w:bookmarkStart w:id="133" w:name="_Toc295403453"/>
      <w:bookmarkStart w:id="134" w:name="_Toc300238852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35" w:name="_Toc511390009"/>
      <w:bookmarkStart w:id="136" w:name="_Toc513127194"/>
      <w:bookmarkStart w:id="137" w:name="_Toc515610377"/>
      <w:bookmarkStart w:id="138" w:name="_Toc516234895"/>
      <w:bookmarkStart w:id="139" w:name="_Toc516234901"/>
      <w:bookmarkStart w:id="140" w:name="_Toc516839088"/>
      <w:bookmarkStart w:id="141" w:name="_Toc517425042"/>
      <w:bookmarkStart w:id="142" w:name="_Toc518032003"/>
      <w:bookmarkStart w:id="143" w:name="_Toc518638263"/>
      <w:bookmarkStart w:id="144" w:name="_Toc519848561"/>
      <w:bookmarkStart w:id="145" w:name="_Toc520465080"/>
      <w:bookmarkStart w:id="146" w:name="_Toc521057605"/>
      <w:bookmarkStart w:id="147" w:name="_Toc521660551"/>
      <w:bookmarkStart w:id="148" w:name="_Toc522259768"/>
      <w:bookmarkStart w:id="149" w:name="_Toc522280058"/>
      <w:bookmarkStart w:id="150" w:name="_Toc522870749"/>
      <w:bookmarkStart w:id="151" w:name="_Toc522870755"/>
      <w:bookmarkStart w:id="152" w:name="_Toc522870764"/>
      <w:bookmarkStart w:id="153" w:name="_Toc522870773"/>
      <w:bookmarkStart w:id="154" w:name="_Toc524091685"/>
      <w:bookmarkStart w:id="155" w:name="_Toc524701468"/>
      <w:bookmarkStart w:id="156" w:name="_Toc525289550"/>
      <w:bookmarkStart w:id="157" w:name="_Toc525306467"/>
      <w:bookmarkStart w:id="158" w:name="_Toc525306478"/>
      <w:bookmarkStart w:id="159" w:name="_Toc525912530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160" w:name="_Toc250731931"/>
      <w:bookmarkStart w:id="161" w:name="_Toc252539760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885B66" w:rsidRPr="00885B66" w:rsidRDefault="00885B66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本周液氯市场迎来金九，山东、河北、辽宁地区多地液氯价格正价销售。</w:t>
      </w:r>
    </w:p>
    <w:p w:rsidR="00885B66" w:rsidRPr="00885B66" w:rsidRDefault="00885B66" w:rsidP="00885B66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苏地区南北液氯市场走势不一，受山东地区带动苏北地区价格上涨，今日江苏北部地区槽车出厂价格在</w:t>
      </w:r>
      <w:r w:rsidRPr="00885B66">
        <w:rPr>
          <w:rFonts w:ascii="仿宋" w:eastAsia="仿宋" w:hAnsi="仿宋" w:cs="仿宋"/>
          <w:sz w:val="28"/>
          <w:szCs w:val="28"/>
        </w:rPr>
        <w:t>100-150</w:t>
      </w:r>
      <w:r w:rsidRPr="00885B66">
        <w:rPr>
          <w:rFonts w:ascii="仿宋" w:eastAsia="仿宋" w:hAnsi="仿宋" w:cs="仿宋" w:hint="eastAsia"/>
          <w:sz w:val="28"/>
          <w:szCs w:val="28"/>
        </w:rPr>
        <w:t>元</w:t>
      </w:r>
      <w:r w:rsidRPr="00885B66">
        <w:rPr>
          <w:rFonts w:ascii="仿宋" w:eastAsia="仿宋" w:hAnsi="仿宋" w:cs="仿宋"/>
          <w:sz w:val="28"/>
          <w:szCs w:val="28"/>
        </w:rPr>
        <w:t>/</w:t>
      </w:r>
      <w:r w:rsidRPr="00885B66">
        <w:rPr>
          <w:rFonts w:ascii="仿宋" w:eastAsia="仿宋" w:hAnsi="仿宋" w:cs="仿宋" w:hint="eastAsia"/>
          <w:sz w:val="28"/>
          <w:szCs w:val="28"/>
        </w:rPr>
        <w:t>吨，江苏南部地区分化明显，部分以氯化石蜡为主要下游的企业出货不畅，近期氯化石蜡企业因液蜡上涨成本压力极大，部分企业甚至成本倒挂，苏南一些液氯涨价的阻力颇大。但据了解泰兴富彤三氯化磷开车缓解了部分厂家的出货压力，因此苏南地区有厂家坚持在槽车出货</w:t>
      </w:r>
      <w:r w:rsidRPr="00885B66">
        <w:rPr>
          <w:rFonts w:ascii="仿宋" w:eastAsia="仿宋" w:hAnsi="仿宋" w:cs="仿宋"/>
          <w:sz w:val="28"/>
          <w:szCs w:val="28"/>
        </w:rPr>
        <w:t>100</w:t>
      </w:r>
      <w:r w:rsidRPr="00885B66">
        <w:rPr>
          <w:rFonts w:ascii="仿宋" w:eastAsia="仿宋" w:hAnsi="仿宋" w:cs="仿宋" w:hint="eastAsia"/>
          <w:sz w:val="28"/>
          <w:szCs w:val="28"/>
        </w:rPr>
        <w:t>元</w:t>
      </w:r>
      <w:r w:rsidRPr="00885B66">
        <w:rPr>
          <w:rFonts w:ascii="仿宋" w:eastAsia="仿宋" w:hAnsi="仿宋" w:cs="仿宋"/>
          <w:sz w:val="28"/>
          <w:szCs w:val="28"/>
        </w:rPr>
        <w:t>/</w:t>
      </w:r>
      <w:r w:rsidRPr="00885B66">
        <w:rPr>
          <w:rFonts w:ascii="仿宋" w:eastAsia="仿宋" w:hAnsi="仿宋" w:cs="仿宋" w:hint="eastAsia"/>
          <w:sz w:val="28"/>
          <w:szCs w:val="28"/>
        </w:rPr>
        <w:t>吨的高价。近期江苏东普新增装置投产，部分液氯外销，对苏南带来了液氯出货压力。安徽、浙江、江西地区基本产销平衡，浙江虽有巨化科技十一期间检修但浙江嘉化仍有轮检计划，对浙江的影响暂难预计。</w:t>
      </w:r>
    </w:p>
    <w:p w:rsidR="00885B66" w:rsidRPr="00885B66" w:rsidRDefault="00885B66" w:rsidP="00885B66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lastRenderedPageBreak/>
        <w:t>河南地区本周有小幅回调的趋势，近期山东地区的上涨，对河南的交叉客户营销较大，河南周边出货转好迹象明显，补贴逐渐缩减。河北地区因山东西部的供应缺失，定价主动权加大，预计价格脱离山东影响为主，近期山西以及河南等地区的液氯市场价格将有一定调整，上调为主。</w:t>
      </w:r>
    </w:p>
    <w:p w:rsidR="00885B66" w:rsidRPr="00885B66" w:rsidRDefault="00885B66" w:rsidP="00885B66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西北地区液氯市场分歧较大，省内出货有补贴有执行</w:t>
      </w:r>
      <w:r w:rsidRPr="00885B66">
        <w:rPr>
          <w:rFonts w:ascii="仿宋" w:eastAsia="仿宋" w:hAnsi="仿宋" w:cs="仿宋"/>
          <w:sz w:val="28"/>
          <w:szCs w:val="28"/>
        </w:rPr>
        <w:t>1</w:t>
      </w:r>
      <w:r w:rsidRPr="00885B66">
        <w:rPr>
          <w:rFonts w:ascii="仿宋" w:eastAsia="仿宋" w:hAnsi="仿宋" w:cs="仿宋" w:hint="eastAsia"/>
          <w:sz w:val="28"/>
          <w:szCs w:val="28"/>
        </w:rPr>
        <w:t>元</w:t>
      </w:r>
      <w:r w:rsidRPr="00885B66">
        <w:rPr>
          <w:rFonts w:ascii="仿宋" w:eastAsia="仿宋" w:hAnsi="仿宋" w:cs="仿宋"/>
          <w:sz w:val="28"/>
          <w:szCs w:val="28"/>
        </w:rPr>
        <w:t>/</w:t>
      </w:r>
      <w:r w:rsidRPr="00885B66">
        <w:rPr>
          <w:rFonts w:ascii="仿宋" w:eastAsia="仿宋" w:hAnsi="仿宋" w:cs="仿宋" w:hint="eastAsia"/>
          <w:sz w:val="28"/>
          <w:szCs w:val="28"/>
        </w:rPr>
        <w:t>吨，各家企业针对自身承受能力订价为主，西南地区液氯市场平稳走货为主，当地企业出货一般。</w:t>
      </w:r>
    </w:p>
    <w:p w:rsidR="00405BA5" w:rsidRPr="00885B66" w:rsidRDefault="00405BA5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F974D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885B66" w:rsidRPr="00885B66" w:rsidRDefault="00885B66" w:rsidP="00885B66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本周节后山东市场由金岭采购打破僵局，液氯市场价格大幅度上调，并且山东信发预备检修氯碱装置，下游企业、中间商积极备货，价格自（</w:t>
      </w:r>
      <w:r w:rsidRPr="00885B66">
        <w:rPr>
          <w:rFonts w:ascii="仿宋" w:eastAsia="仿宋" w:hAnsi="仿宋" w:cs="仿宋"/>
          <w:sz w:val="28"/>
          <w:szCs w:val="28"/>
        </w:rPr>
        <w:t>-350</w:t>
      </w:r>
      <w:r w:rsidRPr="00885B66">
        <w:rPr>
          <w:rFonts w:ascii="仿宋" w:eastAsia="仿宋" w:hAnsi="仿宋" w:cs="仿宋" w:hint="eastAsia"/>
          <w:sz w:val="28"/>
          <w:szCs w:val="28"/>
        </w:rPr>
        <w:t>）拉涨到</w:t>
      </w:r>
      <w:r w:rsidRPr="00885B66">
        <w:rPr>
          <w:rFonts w:ascii="仿宋" w:eastAsia="仿宋" w:hAnsi="仿宋" w:cs="仿宋"/>
          <w:sz w:val="28"/>
          <w:szCs w:val="28"/>
        </w:rPr>
        <w:t>400</w:t>
      </w:r>
      <w:r w:rsidRPr="00885B66">
        <w:rPr>
          <w:rFonts w:ascii="仿宋" w:eastAsia="仿宋" w:hAnsi="仿宋" w:cs="仿宋" w:hint="eastAsia"/>
          <w:sz w:val="28"/>
          <w:szCs w:val="28"/>
        </w:rPr>
        <w:t>元</w:t>
      </w:r>
      <w:r w:rsidRPr="00885B66">
        <w:rPr>
          <w:rFonts w:ascii="仿宋" w:eastAsia="仿宋" w:hAnsi="仿宋" w:cs="仿宋"/>
          <w:sz w:val="28"/>
          <w:szCs w:val="28"/>
        </w:rPr>
        <w:t>/</w:t>
      </w:r>
      <w:r w:rsidRPr="00885B66">
        <w:rPr>
          <w:rFonts w:ascii="仿宋" w:eastAsia="仿宋" w:hAnsi="仿宋" w:cs="仿宋" w:hint="eastAsia"/>
          <w:sz w:val="28"/>
          <w:szCs w:val="28"/>
        </w:rPr>
        <w:t>吨，整体市场供销平衡，但省内下游企业因承受不了高价而减产的厂家亦有，今日</w:t>
      </w:r>
      <w:r w:rsidRPr="00885B66">
        <w:rPr>
          <w:rFonts w:ascii="仿宋" w:eastAsia="仿宋" w:hAnsi="仿宋" w:cs="仿宋"/>
          <w:sz w:val="28"/>
          <w:szCs w:val="28"/>
        </w:rPr>
        <w:t>CPE</w:t>
      </w:r>
      <w:r w:rsidRPr="00885B66">
        <w:rPr>
          <w:rFonts w:ascii="仿宋" w:eastAsia="仿宋" w:hAnsi="仿宋" w:cs="仿宋" w:hint="eastAsia"/>
          <w:sz w:val="28"/>
          <w:szCs w:val="28"/>
        </w:rPr>
        <w:t>、氯化石蜡企业因价格倒挂减产、停产。</w:t>
      </w: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885B66" w:rsidRPr="00885B66">
        <w:rPr>
          <w:rFonts w:ascii="仿宋" w:eastAsia="仿宋" w:hAnsi="仿宋" w:cs="仿宋" w:hint="eastAsia"/>
          <w:sz w:val="28"/>
          <w:szCs w:val="28"/>
        </w:rPr>
        <w:t>本周的北方液氯暴涨体现出当地的供应过剩的局面，如遇大企业停车，价格提振明显，华东地区则是下游不景气难以支撑上游市场涨价。山东地区遇此次检修利好，或将持续上涨但下游承受能力有限，大涨之后有下滑的风险；华东地区十一期间检修较多，厂家多期盼平稳过度为主。山东、河北地区液氯市场预计有</w:t>
      </w:r>
      <w:r w:rsidR="00885B66" w:rsidRPr="00885B66">
        <w:rPr>
          <w:rFonts w:ascii="仿宋" w:eastAsia="仿宋" w:hAnsi="仿宋" w:cs="仿宋"/>
          <w:sz w:val="28"/>
          <w:szCs w:val="28"/>
        </w:rPr>
        <w:t>300-500</w:t>
      </w:r>
      <w:r w:rsidR="00885B66" w:rsidRPr="00885B66">
        <w:rPr>
          <w:rFonts w:ascii="仿宋" w:eastAsia="仿宋" w:hAnsi="仿宋" w:cs="仿宋" w:hint="eastAsia"/>
          <w:sz w:val="28"/>
          <w:szCs w:val="28"/>
        </w:rPr>
        <w:t>元</w:t>
      </w:r>
      <w:r w:rsidR="00885B66" w:rsidRPr="00885B66">
        <w:rPr>
          <w:rFonts w:ascii="仿宋" w:eastAsia="仿宋" w:hAnsi="仿宋" w:cs="仿宋"/>
          <w:sz w:val="28"/>
          <w:szCs w:val="28"/>
        </w:rPr>
        <w:t>/</w:t>
      </w:r>
      <w:r w:rsidR="00885B66" w:rsidRPr="00885B66">
        <w:rPr>
          <w:rFonts w:ascii="仿宋" w:eastAsia="仿宋" w:hAnsi="仿宋" w:cs="仿宋" w:hint="eastAsia"/>
          <w:sz w:val="28"/>
          <w:szCs w:val="28"/>
        </w:rPr>
        <w:t>吨的调整空间，其他地区预计持稳为主。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lastRenderedPageBreak/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62" w:name="_Toc233795926"/>
            <w:bookmarkEnd w:id="160"/>
            <w:bookmarkEnd w:id="161"/>
            <w:bookmarkEnd w:id="16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405B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660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85B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</w:tr>
      <w:tr w:rsidR="00885B66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B66" w:rsidRDefault="00885B66" w:rsidP="00885B66">
            <w:pPr>
              <w:jc w:val="center"/>
            </w:pP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400</w:t>
            </w:r>
          </w:p>
        </w:tc>
      </w:tr>
      <w:tr w:rsidR="00885B66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B66" w:rsidRDefault="00885B66" w:rsidP="00885B66">
            <w:pPr>
              <w:jc w:val="center"/>
            </w:pP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885B66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B66" w:rsidRDefault="00885B66" w:rsidP="00885B66">
            <w:pPr>
              <w:jc w:val="center"/>
            </w:pP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 w:rsidP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885B66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B66" w:rsidRDefault="00885B66" w:rsidP="00885B66">
            <w:pPr>
              <w:jc w:val="center"/>
            </w:pP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885B66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B66" w:rsidRDefault="00885B66" w:rsidP="00885B66">
            <w:pPr>
              <w:jc w:val="center"/>
            </w:pP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885B66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B66" w:rsidRDefault="00885B66" w:rsidP="00885B66">
            <w:pPr>
              <w:jc w:val="center"/>
            </w:pP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46C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6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B66" w:rsidRDefault="00885B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23" w:rsidRDefault="00702423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02423" w:rsidRDefault="0070242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F11086">
    <w:pPr>
      <w:pStyle w:val="a4"/>
      <w:jc w:val="center"/>
    </w:pPr>
    <w:r>
      <w:rPr>
        <w:b/>
        <w:bCs/>
      </w:rPr>
      <w:fldChar w:fldCharType="begin"/>
    </w:r>
    <w:r w:rsidR="00650ED7">
      <w:rPr>
        <w:b/>
        <w:bCs/>
      </w:rPr>
      <w:instrText>PAGE</w:instrText>
    </w:r>
    <w:r>
      <w:rPr>
        <w:b/>
        <w:bCs/>
      </w:rPr>
      <w:fldChar w:fldCharType="separate"/>
    </w:r>
    <w:r w:rsidR="00846284">
      <w:rPr>
        <w:b/>
        <w:bCs/>
        <w:noProof/>
      </w:rPr>
      <w:t>2</w:t>
    </w:r>
    <w:r>
      <w:rPr>
        <w:b/>
        <w:bCs/>
      </w:rPr>
      <w:fldChar w:fldCharType="end"/>
    </w:r>
    <w:r w:rsidR="00650ED7">
      <w:rPr>
        <w:lang w:val="zh-CN"/>
      </w:rPr>
      <w:t xml:space="preserve"> / </w:t>
    </w:r>
    <w:r>
      <w:rPr>
        <w:b/>
        <w:bCs/>
      </w:rPr>
      <w:fldChar w:fldCharType="begin"/>
    </w:r>
    <w:r w:rsidR="00650ED7">
      <w:rPr>
        <w:b/>
        <w:bCs/>
      </w:rPr>
      <w:instrText>NUMPAGES</w:instrText>
    </w:r>
    <w:r>
      <w:rPr>
        <w:b/>
        <w:bCs/>
      </w:rPr>
      <w:fldChar w:fldCharType="separate"/>
    </w:r>
    <w:r w:rsidR="00846284">
      <w:rPr>
        <w:b/>
        <w:bCs/>
        <w:noProof/>
      </w:rPr>
      <w:t>9</w:t>
    </w:r>
    <w:r>
      <w:rPr>
        <w:b/>
        <w:bCs/>
      </w:rPr>
      <w:fldChar w:fldCharType="end"/>
    </w:r>
  </w:p>
  <w:p w:rsidR="00650ED7" w:rsidRDefault="00650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23" w:rsidRDefault="00702423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02423" w:rsidRDefault="0070242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650ED7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0ED7" w:rsidRDefault="00650ED7">
    <w:pPr>
      <w:pStyle w:val="a5"/>
      <w:pBdr>
        <w:bottom w:val="none" w:sz="0" w:space="0" w:color="auto"/>
      </w:pBdr>
    </w:pPr>
  </w:p>
  <w:p w:rsidR="00650ED7" w:rsidRDefault="00650ED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26A36"/>
    <w:rsid w:val="0004320C"/>
    <w:rsid w:val="00065726"/>
    <w:rsid w:val="0007741E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F4985"/>
    <w:rsid w:val="001078AB"/>
    <w:rsid w:val="001164A9"/>
    <w:rsid w:val="00123320"/>
    <w:rsid w:val="0012620F"/>
    <w:rsid w:val="00135248"/>
    <w:rsid w:val="0014784B"/>
    <w:rsid w:val="00153176"/>
    <w:rsid w:val="00163783"/>
    <w:rsid w:val="0016559E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0A04"/>
    <w:rsid w:val="00243FEA"/>
    <w:rsid w:val="002545A5"/>
    <w:rsid w:val="002636AD"/>
    <w:rsid w:val="002712B6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D67FA"/>
    <w:rsid w:val="002E11E0"/>
    <w:rsid w:val="002E4AEB"/>
    <w:rsid w:val="00317D90"/>
    <w:rsid w:val="00323B86"/>
    <w:rsid w:val="003462AE"/>
    <w:rsid w:val="00356333"/>
    <w:rsid w:val="00361079"/>
    <w:rsid w:val="003625BB"/>
    <w:rsid w:val="0036609F"/>
    <w:rsid w:val="0038128C"/>
    <w:rsid w:val="00384728"/>
    <w:rsid w:val="00384E33"/>
    <w:rsid w:val="0039401A"/>
    <w:rsid w:val="003A0AB2"/>
    <w:rsid w:val="003A331B"/>
    <w:rsid w:val="003B64C7"/>
    <w:rsid w:val="003C0792"/>
    <w:rsid w:val="003D4003"/>
    <w:rsid w:val="003F31AD"/>
    <w:rsid w:val="003F7207"/>
    <w:rsid w:val="00405BA5"/>
    <w:rsid w:val="00407D4B"/>
    <w:rsid w:val="00412C07"/>
    <w:rsid w:val="00415F5A"/>
    <w:rsid w:val="004203C1"/>
    <w:rsid w:val="00420B7E"/>
    <w:rsid w:val="00433B13"/>
    <w:rsid w:val="00454B72"/>
    <w:rsid w:val="00456670"/>
    <w:rsid w:val="00475F92"/>
    <w:rsid w:val="00486295"/>
    <w:rsid w:val="00486621"/>
    <w:rsid w:val="00486BF4"/>
    <w:rsid w:val="00491A4E"/>
    <w:rsid w:val="004954AD"/>
    <w:rsid w:val="004954D8"/>
    <w:rsid w:val="004B3E19"/>
    <w:rsid w:val="004B7BA6"/>
    <w:rsid w:val="004C2399"/>
    <w:rsid w:val="004C5799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337DE"/>
    <w:rsid w:val="00537D9E"/>
    <w:rsid w:val="00543B15"/>
    <w:rsid w:val="0056058C"/>
    <w:rsid w:val="00565264"/>
    <w:rsid w:val="00596F7F"/>
    <w:rsid w:val="005A3CE4"/>
    <w:rsid w:val="005A7F2C"/>
    <w:rsid w:val="005C08D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A02D9"/>
    <w:rsid w:val="006A224F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E6D87"/>
    <w:rsid w:val="006F134F"/>
    <w:rsid w:val="00702144"/>
    <w:rsid w:val="00702423"/>
    <w:rsid w:val="007135D7"/>
    <w:rsid w:val="0072188E"/>
    <w:rsid w:val="0073241A"/>
    <w:rsid w:val="00737C28"/>
    <w:rsid w:val="00745B76"/>
    <w:rsid w:val="00766A49"/>
    <w:rsid w:val="00770753"/>
    <w:rsid w:val="007731FD"/>
    <w:rsid w:val="00773E14"/>
    <w:rsid w:val="00774768"/>
    <w:rsid w:val="00774E6C"/>
    <w:rsid w:val="00776665"/>
    <w:rsid w:val="007801FD"/>
    <w:rsid w:val="007859E5"/>
    <w:rsid w:val="007A141A"/>
    <w:rsid w:val="007A167E"/>
    <w:rsid w:val="007A223B"/>
    <w:rsid w:val="007A339C"/>
    <w:rsid w:val="007A5962"/>
    <w:rsid w:val="007A6F27"/>
    <w:rsid w:val="007B1517"/>
    <w:rsid w:val="007C32F6"/>
    <w:rsid w:val="007D6B00"/>
    <w:rsid w:val="007E0972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34CB5"/>
    <w:rsid w:val="00937BDF"/>
    <w:rsid w:val="009410E0"/>
    <w:rsid w:val="0094505E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E3765"/>
    <w:rsid w:val="009E57C4"/>
    <w:rsid w:val="009F531E"/>
    <w:rsid w:val="009F6A41"/>
    <w:rsid w:val="00A0531F"/>
    <w:rsid w:val="00A0658F"/>
    <w:rsid w:val="00A10EAD"/>
    <w:rsid w:val="00A13F55"/>
    <w:rsid w:val="00A17FAC"/>
    <w:rsid w:val="00A244F2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B049BC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D3D76"/>
    <w:rsid w:val="00BE38E4"/>
    <w:rsid w:val="00BE7A8B"/>
    <w:rsid w:val="00BF0ECD"/>
    <w:rsid w:val="00BF454B"/>
    <w:rsid w:val="00BF7D26"/>
    <w:rsid w:val="00C10F0C"/>
    <w:rsid w:val="00C1328E"/>
    <w:rsid w:val="00C13A91"/>
    <w:rsid w:val="00C31207"/>
    <w:rsid w:val="00C328A4"/>
    <w:rsid w:val="00C378FA"/>
    <w:rsid w:val="00C412D4"/>
    <w:rsid w:val="00C4540B"/>
    <w:rsid w:val="00C514C7"/>
    <w:rsid w:val="00C60172"/>
    <w:rsid w:val="00C61ECF"/>
    <w:rsid w:val="00C70AD6"/>
    <w:rsid w:val="00CA1673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4CD9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B70BA"/>
    <w:rsid w:val="00DD0254"/>
    <w:rsid w:val="00DE1FB5"/>
    <w:rsid w:val="00DE27B8"/>
    <w:rsid w:val="00DE583F"/>
    <w:rsid w:val="00E075D9"/>
    <w:rsid w:val="00E14507"/>
    <w:rsid w:val="00E16F09"/>
    <w:rsid w:val="00E403E5"/>
    <w:rsid w:val="00E40936"/>
    <w:rsid w:val="00E45DBB"/>
    <w:rsid w:val="00E50F72"/>
    <w:rsid w:val="00E51CFA"/>
    <w:rsid w:val="00E51E94"/>
    <w:rsid w:val="00E54C5D"/>
    <w:rsid w:val="00E6203C"/>
    <w:rsid w:val="00E679A7"/>
    <w:rsid w:val="00E70F83"/>
    <w:rsid w:val="00E74E3E"/>
    <w:rsid w:val="00E86451"/>
    <w:rsid w:val="00E92017"/>
    <w:rsid w:val="00E92B36"/>
    <w:rsid w:val="00E94998"/>
    <w:rsid w:val="00E952E4"/>
    <w:rsid w:val="00EA18E3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1086"/>
    <w:rsid w:val="00F122BB"/>
    <w:rsid w:val="00F25810"/>
    <w:rsid w:val="00F331BE"/>
    <w:rsid w:val="00F4206D"/>
    <w:rsid w:val="00F52099"/>
    <w:rsid w:val="00F56B77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9028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632</Words>
  <Characters>3608</Characters>
  <Application>Microsoft Office Word</Application>
  <DocSecurity>0</DocSecurity>
  <Lines>30</Lines>
  <Paragraphs>8</Paragraphs>
  <ScaleCrop>false</ScaleCrop>
  <Company>china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44</cp:revision>
  <dcterms:created xsi:type="dcterms:W3CDTF">2018-07-12T05:18:00Z</dcterms:created>
  <dcterms:modified xsi:type="dcterms:W3CDTF">2018-09-28T07:40:00Z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