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15" w:rsidRDefault="00FE2871">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6C7D15" w:rsidRPr="00150B7B" w:rsidRDefault="00DF3E22">
      <w:pPr>
        <w:outlineLvl w:val="0"/>
        <w:rPr>
          <w:rFonts w:ascii="黑体" w:eastAsia="黑体" w:hAnsi="宋体" w:cs="Arial"/>
          <w:b/>
          <w:bCs/>
          <w:kern w:val="0"/>
          <w:sz w:val="30"/>
          <w:szCs w:val="30"/>
        </w:rPr>
      </w:pPr>
      <w:r w:rsidRPr="00DF3E22">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w:txbxContent>
                <w:p w:rsidR="00D84ADA" w:rsidRDefault="00D84ADA">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D84ADA" w:rsidRDefault="00D84ADA">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D84ADA" w:rsidRDefault="00D84ADA">
                  <w:pPr>
                    <w:jc w:val="left"/>
                  </w:pPr>
                </w:p>
              </w:txbxContent>
            </v:textbox>
          </v:shape>
        </w:pict>
      </w:r>
      <w:r w:rsidRPr="00DF3E22">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filled="f" stroked="f">
            <v:textbox>
              <w:txbxContent>
                <w:p w:rsidR="00D84ADA" w:rsidRDefault="00D84ADA">
                  <w:pPr>
                    <w:pStyle w:val="1"/>
                    <w:jc w:val="center"/>
                    <w:rPr>
                      <w:kern w:val="2"/>
                    </w:rPr>
                  </w:pPr>
                  <w:bookmarkStart w:id="0" w:name="_Toc485828984"/>
                  <w:bookmarkStart w:id="1" w:name="_Toc505349996"/>
                  <w:r>
                    <w:rPr>
                      <w:rFonts w:hint="eastAsia"/>
                      <w:kern w:val="2"/>
                    </w:rPr>
                    <w:t>2018.</w:t>
                  </w:r>
                  <w:bookmarkEnd w:id="0"/>
                  <w:bookmarkEnd w:id="1"/>
                  <w:r>
                    <w:rPr>
                      <w:rFonts w:hint="eastAsia"/>
                      <w:kern w:val="2"/>
                    </w:rPr>
                    <w:t>08.17</w:t>
                  </w:r>
                </w:p>
                <w:p w:rsidR="00D84ADA" w:rsidRDefault="00D84ADA"/>
              </w:txbxContent>
            </v:textbox>
          </v:shape>
        </w:pict>
      </w:r>
      <w:r w:rsidR="00FE2871">
        <w:br w:type="page"/>
      </w:r>
      <w:bookmarkStart w:id="2" w:name="_Toc485828985"/>
      <w:r w:rsidRPr="00DF3E22">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filled="f" stroked="f">
            <v:textbox>
              <w:txbxContent>
                <w:p w:rsidR="00D84ADA" w:rsidRDefault="00D84ADA">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D84ADA" w:rsidRDefault="00DF3E22">
                  <w:pPr>
                    <w:pStyle w:val="10"/>
                    <w:rPr>
                      <w:rFonts w:asciiTheme="minorHAnsi" w:eastAsiaTheme="minorEastAsia" w:hAnsiTheme="minorHAnsi" w:cstheme="minorBidi"/>
                      <w:b w:val="0"/>
                      <w:bCs w:val="0"/>
                      <w:caps w:val="0"/>
                      <w:color w:val="auto"/>
                      <w:sz w:val="21"/>
                      <w:szCs w:val="22"/>
                    </w:rPr>
                  </w:pPr>
                  <w:r w:rsidRPr="00DF3E22">
                    <w:rPr>
                      <w:sz w:val="20"/>
                    </w:rPr>
                    <w:fldChar w:fldCharType="begin"/>
                  </w:r>
                  <w:r w:rsidR="00D84ADA">
                    <w:rPr>
                      <w:sz w:val="20"/>
                    </w:rPr>
                    <w:instrText xml:space="preserve"> TOC \o "1-3" \h \z \u </w:instrText>
                  </w:r>
                  <w:r w:rsidRPr="00DF3E22">
                    <w:rPr>
                      <w:sz w:val="20"/>
                    </w:rPr>
                    <w:fldChar w:fldCharType="separate"/>
                  </w:r>
                  <w:hyperlink r:id="rId10" w:anchor="_Toc505349996" w:history="1"/>
                  <w:hyperlink w:anchor="_Toc505349997" w:history="1">
                    <w:r w:rsidR="00D84ADA">
                      <w:rPr>
                        <w:rStyle w:val="ae"/>
                        <w:rFonts w:ascii="黑体" w:hint="eastAsia"/>
                      </w:rPr>
                      <w:t>一、国际原油</w:t>
                    </w:r>
                    <w:r w:rsidR="00D84ADA">
                      <w:tab/>
                    </w:r>
                    <w:r>
                      <w:fldChar w:fldCharType="begin"/>
                    </w:r>
                    <w:r w:rsidR="00D84ADA">
                      <w:instrText xml:space="preserve"> PAGEREF _Toc505349997 \h </w:instrText>
                    </w:r>
                    <w:r>
                      <w:fldChar w:fldCharType="separate"/>
                    </w:r>
                    <w:r w:rsidR="00D84ADA">
                      <w:t>3</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49998" w:history="1">
                    <w:r w:rsidR="00D84ADA">
                      <w:rPr>
                        <w:rStyle w:val="ae"/>
                        <w:rFonts w:ascii="黑体" w:eastAsia="黑体" w:cs="Arial" w:hint="eastAsia"/>
                        <w:bCs/>
                        <w:kern w:val="0"/>
                      </w:rPr>
                      <w:t>（一）、国际原油市场回顾</w:t>
                    </w:r>
                    <w:r w:rsidR="00D84ADA">
                      <w:tab/>
                    </w:r>
                    <w:r>
                      <w:fldChar w:fldCharType="begin"/>
                    </w:r>
                    <w:r w:rsidR="00D84ADA">
                      <w:instrText xml:space="preserve"> PAGEREF _Toc505349998 \h </w:instrText>
                    </w:r>
                    <w:r>
                      <w:fldChar w:fldCharType="separate"/>
                    </w:r>
                    <w:r w:rsidR="00D84ADA">
                      <w:t>3</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49999" w:history="1">
                    <w:r w:rsidR="00D84ADA">
                      <w:rPr>
                        <w:rStyle w:val="ae"/>
                        <w:rFonts w:ascii="黑体" w:eastAsia="黑体"/>
                        <w:kern w:val="0"/>
                      </w:rPr>
                      <w:t xml:space="preserve">1.1  </w:t>
                    </w:r>
                    <w:r w:rsidR="00D84ADA">
                      <w:rPr>
                        <w:rStyle w:val="ae"/>
                        <w:rFonts w:ascii="黑体" w:eastAsia="黑体" w:cs="Arial" w:hint="eastAsia"/>
                        <w:kern w:val="0"/>
                      </w:rPr>
                      <w:t>国际原油收盘价涨跌情况（单位：美元</w:t>
                    </w:r>
                    <w:r w:rsidR="00D84ADA">
                      <w:rPr>
                        <w:rStyle w:val="ae"/>
                        <w:rFonts w:ascii="黑体" w:eastAsia="黑体" w:cs="Arial"/>
                        <w:kern w:val="0"/>
                      </w:rPr>
                      <w:t>/</w:t>
                    </w:r>
                    <w:r w:rsidR="00D84ADA">
                      <w:rPr>
                        <w:rStyle w:val="ae"/>
                        <w:rFonts w:ascii="黑体" w:eastAsia="黑体" w:cs="Arial" w:hint="eastAsia"/>
                        <w:kern w:val="0"/>
                      </w:rPr>
                      <w:t>桶）</w:t>
                    </w:r>
                    <w:r w:rsidR="00D84ADA">
                      <w:tab/>
                    </w:r>
                    <w:r>
                      <w:fldChar w:fldCharType="begin"/>
                    </w:r>
                    <w:r w:rsidR="00D84ADA">
                      <w:instrText xml:space="preserve"> PAGEREF _Toc505349999 \h </w:instrText>
                    </w:r>
                    <w:r>
                      <w:fldChar w:fldCharType="separate"/>
                    </w:r>
                    <w:r w:rsidR="00D84ADA">
                      <w:t>3</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00" w:history="1">
                    <w:r w:rsidR="00D84ADA">
                      <w:rPr>
                        <w:rStyle w:val="ae"/>
                        <w:rFonts w:ascii="黑体" w:eastAsia="黑体"/>
                      </w:rPr>
                      <w:t xml:space="preserve">1.2  </w:t>
                    </w:r>
                    <w:r w:rsidR="00D84ADA">
                      <w:rPr>
                        <w:rStyle w:val="ae"/>
                        <w:rFonts w:ascii="黑体" w:eastAsia="黑体" w:hint="eastAsia"/>
                      </w:rPr>
                      <w:t>国际原油市场价格走势图</w:t>
                    </w:r>
                    <w:r w:rsidR="00D84ADA">
                      <w:tab/>
                    </w:r>
                    <w:r>
                      <w:fldChar w:fldCharType="begin"/>
                    </w:r>
                    <w:r w:rsidR="00D84ADA">
                      <w:instrText xml:space="preserve"> PAGEREF _Toc505350000 \h </w:instrText>
                    </w:r>
                    <w:r>
                      <w:fldChar w:fldCharType="separate"/>
                    </w:r>
                    <w:r w:rsidR="00D84ADA">
                      <w:t>3</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01" w:history="1">
                    <w:r w:rsidR="00D84ADA">
                      <w:rPr>
                        <w:rStyle w:val="ae"/>
                        <w:rFonts w:ascii="黑体" w:eastAsia="黑体" w:hint="eastAsia"/>
                      </w:rPr>
                      <w:t>（二）</w:t>
                    </w:r>
                    <w:r w:rsidR="00D84ADA">
                      <w:rPr>
                        <w:rStyle w:val="ae"/>
                        <w:rFonts w:ascii="黑体" w:eastAsia="黑体"/>
                      </w:rPr>
                      <w:t>.</w:t>
                    </w:r>
                    <w:r w:rsidR="00D84ADA">
                      <w:rPr>
                        <w:rStyle w:val="ae"/>
                        <w:rFonts w:ascii="黑体" w:eastAsia="黑体" w:hint="eastAsia"/>
                      </w:rPr>
                      <w:t>近期影响国际原油市场的主要因素</w:t>
                    </w:r>
                    <w:r w:rsidR="00D84ADA">
                      <w:tab/>
                    </w:r>
                    <w:r>
                      <w:fldChar w:fldCharType="begin"/>
                    </w:r>
                    <w:r w:rsidR="00D84ADA">
                      <w:instrText xml:space="preserve"> PAGEREF _Toc505350001 \h </w:instrText>
                    </w:r>
                    <w:r>
                      <w:fldChar w:fldCharType="separate"/>
                    </w:r>
                    <w:r w:rsidR="00D84ADA">
                      <w:t>4</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02" w:history="1">
                    <w:r w:rsidR="00D84ADA">
                      <w:rPr>
                        <w:rStyle w:val="ae"/>
                        <w:rFonts w:ascii="黑体" w:eastAsia="黑体"/>
                      </w:rPr>
                      <w:t>1</w:t>
                    </w:r>
                    <w:r w:rsidR="00D84ADA">
                      <w:rPr>
                        <w:rStyle w:val="ae"/>
                        <w:rFonts w:ascii="黑体" w:eastAsia="黑体" w:hint="eastAsia"/>
                      </w:rPr>
                      <w:t>、美国原油库存情况</w:t>
                    </w:r>
                    <w:r w:rsidR="00D84ADA">
                      <w:tab/>
                    </w:r>
                    <w:r>
                      <w:fldChar w:fldCharType="begin"/>
                    </w:r>
                    <w:r w:rsidR="00D84ADA">
                      <w:instrText xml:space="preserve"> PAGEREF _Toc505350002 \h </w:instrText>
                    </w:r>
                    <w:r>
                      <w:fldChar w:fldCharType="separate"/>
                    </w:r>
                    <w:r w:rsidR="00D84ADA">
                      <w:t>4</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03" w:history="1">
                    <w:r w:rsidR="00D84ADA">
                      <w:rPr>
                        <w:rStyle w:val="ae"/>
                        <w:rFonts w:ascii="黑体" w:eastAsia="黑体"/>
                      </w:rPr>
                      <w:t>2</w:t>
                    </w:r>
                    <w:r w:rsidR="00D84ADA">
                      <w:rPr>
                        <w:rStyle w:val="ae"/>
                        <w:rFonts w:ascii="黑体" w:eastAsia="黑体" w:hint="eastAsia"/>
                      </w:rPr>
                      <w:t>、美国经济形势</w:t>
                    </w:r>
                    <w:r w:rsidR="00D84ADA">
                      <w:tab/>
                    </w:r>
                    <w:r>
                      <w:fldChar w:fldCharType="begin"/>
                    </w:r>
                    <w:r w:rsidR="00D84ADA">
                      <w:instrText xml:space="preserve"> PAGEREF _Toc505350003 \h </w:instrText>
                    </w:r>
                    <w:r>
                      <w:fldChar w:fldCharType="separate"/>
                    </w:r>
                    <w:r w:rsidR="00D84ADA">
                      <w:t>5</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04" w:history="1">
                    <w:r w:rsidR="00D84ADA">
                      <w:rPr>
                        <w:rStyle w:val="ae"/>
                        <w:rFonts w:ascii="黑体" w:eastAsia="黑体"/>
                      </w:rPr>
                      <w:t>3</w:t>
                    </w:r>
                    <w:r w:rsidR="00D84ADA">
                      <w:rPr>
                        <w:rStyle w:val="ae"/>
                        <w:rFonts w:ascii="黑体" w:eastAsia="黑体" w:hint="eastAsia"/>
                      </w:rPr>
                      <w:t>、世界经济形势</w:t>
                    </w:r>
                    <w:r w:rsidR="00D84ADA">
                      <w:tab/>
                    </w:r>
                    <w:r>
                      <w:fldChar w:fldCharType="begin"/>
                    </w:r>
                    <w:r w:rsidR="00D84ADA">
                      <w:instrText xml:space="preserve"> PAGEREF _Toc505350004 \h </w:instrText>
                    </w:r>
                    <w:r>
                      <w:fldChar w:fldCharType="separate"/>
                    </w:r>
                    <w:r w:rsidR="00D84ADA">
                      <w:t>10</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05" w:history="1">
                    <w:r w:rsidR="00D84ADA">
                      <w:rPr>
                        <w:rStyle w:val="ae"/>
                        <w:rFonts w:ascii="仿宋_GB2312" w:eastAsia="仿宋_GB2312" w:hint="eastAsia"/>
                      </w:rPr>
                      <w:t>（三）</w:t>
                    </w:r>
                    <w:r w:rsidR="00D84ADA">
                      <w:rPr>
                        <w:rStyle w:val="ae"/>
                        <w:rFonts w:cs="Arial" w:hint="eastAsia"/>
                        <w:bCs/>
                        <w:kern w:val="0"/>
                      </w:rPr>
                      <w:t>、</w:t>
                    </w:r>
                    <w:r w:rsidR="00D84ADA">
                      <w:rPr>
                        <w:rStyle w:val="ae"/>
                        <w:rFonts w:cs="Arial"/>
                        <w:bCs/>
                        <w:kern w:val="0"/>
                      </w:rPr>
                      <w:t>201</w:t>
                    </w:r>
                    <w:r w:rsidR="00D84ADA">
                      <w:rPr>
                        <w:rStyle w:val="ae"/>
                        <w:rFonts w:cs="Arial" w:hint="eastAsia"/>
                        <w:bCs/>
                        <w:kern w:val="0"/>
                      </w:rPr>
                      <w:t>8年3月份全国原油进出口统计数据</w:t>
                    </w:r>
                    <w:r w:rsidR="00D84ADA">
                      <w:tab/>
                    </w:r>
                    <w:r>
                      <w:fldChar w:fldCharType="begin"/>
                    </w:r>
                    <w:r w:rsidR="00D84ADA">
                      <w:instrText xml:space="preserve"> PAGEREF _Toc505350005 \h </w:instrText>
                    </w:r>
                    <w:r>
                      <w:fldChar w:fldCharType="separate"/>
                    </w:r>
                    <w:r w:rsidR="00D84ADA">
                      <w:t>13</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06" w:history="1">
                    <w:r w:rsidR="00D84ADA">
                      <w:rPr>
                        <w:rStyle w:val="ae"/>
                        <w:rFonts w:ascii="仿宋_GB2312" w:eastAsia="仿宋_GB2312" w:cs="Arial" w:hint="eastAsia"/>
                        <w:bCs/>
                        <w:kern w:val="0"/>
                      </w:rPr>
                      <w:t>（四）、后市预测</w:t>
                    </w:r>
                    <w:r w:rsidR="00D84ADA">
                      <w:tab/>
                    </w:r>
                    <w:r>
                      <w:fldChar w:fldCharType="begin"/>
                    </w:r>
                    <w:r w:rsidR="00D84ADA">
                      <w:instrText xml:space="preserve"> PAGEREF _Toc505350006 \h </w:instrText>
                    </w:r>
                    <w:r>
                      <w:fldChar w:fldCharType="separate"/>
                    </w:r>
                    <w:r w:rsidR="00D84ADA">
                      <w:t>13</w:t>
                    </w:r>
                    <w:r>
                      <w:fldChar w:fldCharType="end"/>
                    </w:r>
                  </w:hyperlink>
                </w:p>
                <w:p w:rsidR="00D84ADA" w:rsidRDefault="00DF3E22">
                  <w:pPr>
                    <w:pStyle w:val="10"/>
                    <w:rPr>
                      <w:rFonts w:asciiTheme="minorHAnsi" w:eastAsiaTheme="minorEastAsia" w:hAnsiTheme="minorHAnsi" w:cstheme="minorBidi"/>
                      <w:b w:val="0"/>
                      <w:bCs w:val="0"/>
                      <w:caps w:val="0"/>
                      <w:color w:val="auto"/>
                      <w:sz w:val="21"/>
                      <w:szCs w:val="22"/>
                    </w:rPr>
                  </w:pPr>
                  <w:hyperlink w:anchor="_Toc505350007" w:history="1">
                    <w:r w:rsidR="00D84ADA">
                      <w:rPr>
                        <w:rStyle w:val="ae"/>
                        <w:rFonts w:ascii="黑体" w:eastAsia="黑体" w:hint="eastAsia"/>
                      </w:rPr>
                      <w:t>二、</w:t>
                    </w:r>
                    <w:r w:rsidR="00D84ADA">
                      <w:rPr>
                        <w:rStyle w:val="ae"/>
                        <w:rFonts w:ascii="黑体" w:eastAsia="黑体"/>
                      </w:rPr>
                      <w:t xml:space="preserve"> </w:t>
                    </w:r>
                    <w:r w:rsidR="00D84ADA">
                      <w:rPr>
                        <w:rStyle w:val="ae"/>
                        <w:rFonts w:ascii="黑体" w:eastAsia="黑体" w:hint="eastAsia"/>
                      </w:rPr>
                      <w:t>石脑油</w:t>
                    </w:r>
                    <w:r w:rsidR="00D84ADA">
                      <w:tab/>
                    </w:r>
                    <w:r>
                      <w:fldChar w:fldCharType="begin"/>
                    </w:r>
                    <w:r w:rsidR="00D84ADA">
                      <w:instrText xml:space="preserve"> PAGEREF _Toc505350007 \h </w:instrText>
                    </w:r>
                    <w:r>
                      <w:fldChar w:fldCharType="separate"/>
                    </w:r>
                    <w:r w:rsidR="00D84ADA">
                      <w:t>14</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08" w:history="1">
                    <w:r w:rsidR="00D84ADA">
                      <w:rPr>
                        <w:rStyle w:val="ae"/>
                      </w:rPr>
                      <w:t>2.1</w:t>
                    </w:r>
                    <w:r w:rsidR="00D84ADA">
                      <w:rPr>
                        <w:rStyle w:val="ae"/>
                        <w:rFonts w:hint="eastAsia"/>
                        <w:kern w:val="0"/>
                      </w:rPr>
                      <w:t>国际石脑油市场价格</w:t>
                    </w:r>
                    <w:r w:rsidR="00D84ADA">
                      <w:tab/>
                    </w:r>
                    <w:r>
                      <w:fldChar w:fldCharType="begin"/>
                    </w:r>
                    <w:r w:rsidR="00D84ADA">
                      <w:instrText xml:space="preserve"> PAGEREF _Toc505350008 \h </w:instrText>
                    </w:r>
                    <w:r>
                      <w:fldChar w:fldCharType="separate"/>
                    </w:r>
                    <w:r w:rsidR="00D84ADA">
                      <w:t>14</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09" w:history="1">
                    <w:r w:rsidR="00D84ADA">
                      <w:rPr>
                        <w:rStyle w:val="ae"/>
                        <w:rFonts w:ascii="黑体" w:eastAsia="黑体" w:hAnsi="Times New Roman"/>
                      </w:rPr>
                      <w:t>2.</w:t>
                    </w:r>
                    <w:r w:rsidR="00D84ADA">
                      <w:rPr>
                        <w:rStyle w:val="ae"/>
                        <w:rFonts w:ascii="黑体" w:eastAsia="黑体"/>
                      </w:rPr>
                      <w:t>2</w:t>
                    </w:r>
                    <w:r w:rsidR="00D84ADA">
                      <w:rPr>
                        <w:rStyle w:val="ae"/>
                        <w:rFonts w:ascii="黑体" w:eastAsia="黑体" w:hint="eastAsia"/>
                      </w:rPr>
                      <w:t>地炼石脑油市场</w:t>
                    </w:r>
                    <w:r w:rsidR="00D84ADA">
                      <w:tab/>
                    </w:r>
                    <w:r>
                      <w:fldChar w:fldCharType="begin"/>
                    </w:r>
                    <w:r w:rsidR="00D84ADA">
                      <w:instrText xml:space="preserve"> PAGEREF _Toc505350009 \h </w:instrText>
                    </w:r>
                    <w:r>
                      <w:fldChar w:fldCharType="separate"/>
                    </w:r>
                    <w:r w:rsidR="00D84ADA">
                      <w:t>15</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10" w:history="1">
                    <w:r w:rsidR="00D84ADA">
                      <w:rPr>
                        <w:rStyle w:val="ae"/>
                        <w:rFonts w:asciiTheme="minorEastAsia" w:hAnsiTheme="minorEastAsia"/>
                      </w:rPr>
                      <w:t>2.3</w:t>
                    </w:r>
                    <w:r w:rsidR="00D84ADA">
                      <w:rPr>
                        <w:rStyle w:val="ae"/>
                        <w:rFonts w:asciiTheme="minorEastAsia" w:hAnsiTheme="minorEastAsia" w:hint="eastAsia"/>
                      </w:rPr>
                      <w:t>本周国内石脑油价格汇总</w:t>
                    </w:r>
                    <w:r w:rsidR="00D84ADA">
                      <w:tab/>
                    </w:r>
                    <w:r>
                      <w:fldChar w:fldCharType="begin"/>
                    </w:r>
                    <w:r w:rsidR="00D84ADA">
                      <w:instrText xml:space="preserve"> PAGEREF _Toc505350010 \h </w:instrText>
                    </w:r>
                    <w:r>
                      <w:fldChar w:fldCharType="separate"/>
                    </w:r>
                    <w:r w:rsidR="00D84ADA">
                      <w:t>15</w:t>
                    </w:r>
                    <w:r>
                      <w:fldChar w:fldCharType="end"/>
                    </w:r>
                  </w:hyperlink>
                </w:p>
                <w:p w:rsidR="00D84ADA" w:rsidRDefault="00DF3E22">
                  <w:pPr>
                    <w:pStyle w:val="21"/>
                    <w:rPr>
                      <w:rFonts w:asciiTheme="minorHAnsi" w:eastAsiaTheme="minorEastAsia" w:hAnsiTheme="minorHAnsi" w:cstheme="minorBidi"/>
                      <w:b w:val="0"/>
                      <w:smallCaps w:val="0"/>
                      <w:color w:val="auto"/>
                      <w:sz w:val="21"/>
                      <w:szCs w:val="22"/>
                    </w:rPr>
                  </w:pPr>
                  <w:hyperlink w:anchor="_Toc505350011" w:history="1">
                    <w:r w:rsidR="00D84ADA">
                      <w:rPr>
                        <w:rStyle w:val="ae"/>
                        <w:rFonts w:asciiTheme="minorEastAsia" w:hAnsiTheme="minorEastAsia"/>
                      </w:rPr>
                      <w:t>2.4</w:t>
                    </w:r>
                    <w:r w:rsidR="00D84ADA">
                      <w:rPr>
                        <w:rStyle w:val="ae"/>
                        <w:rFonts w:asciiTheme="minorEastAsia" w:hAnsiTheme="minorEastAsia" w:hint="eastAsia"/>
                      </w:rPr>
                      <w:t>山东地炼石脑油价格走势图</w:t>
                    </w:r>
                    <w:r w:rsidR="00D84ADA">
                      <w:tab/>
                    </w:r>
                    <w:r>
                      <w:fldChar w:fldCharType="begin"/>
                    </w:r>
                    <w:r w:rsidR="00D84ADA">
                      <w:instrText xml:space="preserve"> PAGEREF _Toc505350011 \h </w:instrText>
                    </w:r>
                    <w:r>
                      <w:fldChar w:fldCharType="separate"/>
                    </w:r>
                    <w:r w:rsidR="00D84ADA">
                      <w:t>16</w:t>
                    </w:r>
                    <w:r>
                      <w:fldChar w:fldCharType="end"/>
                    </w:r>
                  </w:hyperlink>
                </w:p>
                <w:p w:rsidR="00D84ADA" w:rsidRDefault="00DF3E22">
                  <w:pPr>
                    <w:pStyle w:val="10"/>
                    <w:rPr>
                      <w:rFonts w:asciiTheme="minorHAnsi" w:eastAsiaTheme="minorEastAsia" w:hAnsiTheme="minorHAnsi" w:cstheme="minorBidi"/>
                      <w:b w:val="0"/>
                      <w:bCs w:val="0"/>
                      <w:caps w:val="0"/>
                      <w:color w:val="auto"/>
                      <w:sz w:val="21"/>
                      <w:szCs w:val="22"/>
                    </w:rPr>
                  </w:pPr>
                  <w:hyperlink w:anchor="_Toc505350012" w:history="1">
                    <w:r w:rsidR="00D84ADA">
                      <w:rPr>
                        <w:rStyle w:val="ae"/>
                        <w:rFonts w:ascii="黑体" w:eastAsia="黑体" w:hint="eastAsia"/>
                      </w:rPr>
                      <w:t>三、本周国内油品市场分析及预测</w:t>
                    </w:r>
                    <w:r w:rsidR="00D84ADA">
                      <w:tab/>
                    </w:r>
                    <w:r>
                      <w:fldChar w:fldCharType="begin"/>
                    </w:r>
                    <w:r w:rsidR="00D84ADA">
                      <w:instrText xml:space="preserve"> PAGEREF _Toc505350012 \h </w:instrText>
                    </w:r>
                    <w:r>
                      <w:fldChar w:fldCharType="separate"/>
                    </w:r>
                    <w:r w:rsidR="00D84ADA">
                      <w:t>16</w:t>
                    </w:r>
                    <w:r>
                      <w:fldChar w:fldCharType="end"/>
                    </w:r>
                  </w:hyperlink>
                </w:p>
                <w:p w:rsidR="00D84ADA" w:rsidRDefault="00DF3E22">
                  <w:pPr>
                    <w:pStyle w:val="10"/>
                    <w:ind w:firstLineChars="100" w:firstLine="241"/>
                    <w:rPr>
                      <w:rFonts w:asciiTheme="minorHAnsi" w:eastAsiaTheme="minorEastAsia" w:hAnsiTheme="minorHAnsi" w:cstheme="minorBidi"/>
                      <w:b w:val="0"/>
                      <w:bCs w:val="0"/>
                      <w:caps w:val="0"/>
                      <w:color w:val="auto"/>
                      <w:sz w:val="21"/>
                      <w:szCs w:val="22"/>
                    </w:rPr>
                  </w:pPr>
                  <w:hyperlink w:anchor="_Toc505350013" w:history="1">
                    <w:r w:rsidR="00D84ADA">
                      <w:rPr>
                        <w:rStyle w:val="ae"/>
                        <w:rFonts w:ascii="黑体" w:hAnsi="黑体"/>
                      </w:rPr>
                      <w:t>3</w:t>
                    </w:r>
                    <w:r w:rsidR="00D84ADA">
                      <w:rPr>
                        <w:rStyle w:val="ae"/>
                        <w:rFonts w:ascii="黑体" w:hAnsi="黑体" w:hint="eastAsia"/>
                      </w:rPr>
                      <w:t>.</w:t>
                    </w:r>
                    <w:r w:rsidR="00D84ADA">
                      <w:rPr>
                        <w:rStyle w:val="ae"/>
                        <w:rFonts w:ascii="黑体" w:hAnsi="黑体"/>
                      </w:rPr>
                      <w:t xml:space="preserve">1  </w:t>
                    </w:r>
                    <w:r w:rsidR="00D84ADA">
                      <w:rPr>
                        <w:rStyle w:val="ae"/>
                        <w:rFonts w:ascii="黑体" w:hAnsi="黑体" w:hint="eastAsia"/>
                      </w:rPr>
                      <w:t>成品油市场动态</w:t>
                    </w:r>
                    <w:r w:rsidR="00D84ADA">
                      <w:tab/>
                    </w:r>
                    <w:r>
                      <w:fldChar w:fldCharType="begin"/>
                    </w:r>
                    <w:r w:rsidR="00D84ADA">
                      <w:instrText xml:space="preserve"> PAGEREF _Toc505350013 \h </w:instrText>
                    </w:r>
                    <w:r>
                      <w:fldChar w:fldCharType="separate"/>
                    </w:r>
                    <w:r w:rsidR="00D84ADA">
                      <w:t>17</w:t>
                    </w:r>
                    <w:r>
                      <w:fldChar w:fldCharType="end"/>
                    </w:r>
                  </w:hyperlink>
                </w:p>
                <w:p w:rsidR="00D84ADA" w:rsidRDefault="00DF3E22">
                  <w:pPr>
                    <w:pStyle w:val="10"/>
                    <w:rPr>
                      <w:rFonts w:asciiTheme="minorHAnsi" w:eastAsiaTheme="minorEastAsia" w:hAnsiTheme="minorHAnsi" w:cstheme="minorBidi"/>
                      <w:b w:val="0"/>
                      <w:bCs w:val="0"/>
                      <w:caps w:val="0"/>
                      <w:color w:val="auto"/>
                      <w:sz w:val="21"/>
                      <w:szCs w:val="22"/>
                    </w:rPr>
                  </w:pPr>
                  <w:hyperlink w:anchor="_Toc505350014" w:history="1">
                    <w:r w:rsidR="00D84ADA">
                      <w:rPr>
                        <w:rStyle w:val="ae"/>
                        <w:rFonts w:ascii="黑体" w:hint="eastAsia"/>
                      </w:rPr>
                      <w:t>四、国内溶剂油市场综述</w:t>
                    </w:r>
                    <w:r w:rsidR="00D84ADA">
                      <w:tab/>
                    </w:r>
                    <w:r>
                      <w:fldChar w:fldCharType="begin"/>
                    </w:r>
                    <w:r w:rsidR="00D84ADA">
                      <w:instrText xml:space="preserve"> PAGEREF _Toc505350014 \h </w:instrText>
                    </w:r>
                    <w:r>
                      <w:fldChar w:fldCharType="separate"/>
                    </w:r>
                    <w:r w:rsidR="00D84ADA">
                      <w:t>20</w:t>
                    </w:r>
                    <w:r>
                      <w:fldChar w:fldCharType="end"/>
                    </w:r>
                  </w:hyperlink>
                </w:p>
                <w:p w:rsidR="00D84ADA" w:rsidRDefault="00DF3E22">
                  <w:pPr>
                    <w:pStyle w:val="10"/>
                    <w:rPr>
                      <w:rFonts w:asciiTheme="minorHAnsi" w:eastAsiaTheme="minorEastAsia" w:hAnsiTheme="minorHAnsi" w:cstheme="minorBidi"/>
                      <w:b w:val="0"/>
                      <w:bCs w:val="0"/>
                      <w:caps w:val="0"/>
                      <w:color w:val="auto"/>
                      <w:sz w:val="21"/>
                      <w:szCs w:val="22"/>
                    </w:rPr>
                  </w:pPr>
                  <w:hyperlink w:anchor="_Toc505350015" w:history="1">
                    <w:r w:rsidR="00D84ADA">
                      <w:rPr>
                        <w:rStyle w:val="ae"/>
                        <w:rFonts w:ascii="黑体" w:hint="eastAsia"/>
                      </w:rPr>
                      <w:t>五、本周国内炼厂溶剂油产品价格对比</w:t>
                    </w:r>
                    <w:r w:rsidR="00D84ADA">
                      <w:tab/>
                    </w:r>
                    <w:r>
                      <w:fldChar w:fldCharType="begin"/>
                    </w:r>
                    <w:r w:rsidR="00D84ADA">
                      <w:instrText xml:space="preserve"> PAGEREF _Toc505350015 \h </w:instrText>
                    </w:r>
                    <w:r>
                      <w:fldChar w:fldCharType="separate"/>
                    </w:r>
                    <w:r w:rsidR="00D84ADA">
                      <w:t>20</w:t>
                    </w:r>
                    <w:r>
                      <w:fldChar w:fldCharType="end"/>
                    </w:r>
                  </w:hyperlink>
                </w:p>
                <w:p w:rsidR="00D84ADA" w:rsidRDefault="00DF3E22">
                  <w:pPr>
                    <w:pStyle w:val="10"/>
                    <w:rPr>
                      <w:rFonts w:asciiTheme="minorHAnsi" w:eastAsiaTheme="minorEastAsia" w:hAnsiTheme="minorHAnsi" w:cstheme="minorBidi"/>
                      <w:b w:val="0"/>
                      <w:bCs w:val="0"/>
                      <w:caps w:val="0"/>
                      <w:color w:val="auto"/>
                      <w:sz w:val="21"/>
                      <w:szCs w:val="22"/>
                    </w:rPr>
                  </w:pPr>
                  <w:hyperlink w:anchor="_Toc505350016" w:history="1">
                    <w:r w:rsidR="00D84ADA">
                      <w:rPr>
                        <w:rStyle w:val="ae"/>
                        <w:rFonts w:ascii="黑体" w:hint="eastAsia"/>
                      </w:rPr>
                      <w:t>六、</w:t>
                    </w:r>
                    <w:r w:rsidR="00D84ADA">
                      <w:rPr>
                        <w:rStyle w:val="ae"/>
                        <w:rFonts w:ascii="黑体"/>
                      </w:rPr>
                      <w:t>D</w:t>
                    </w:r>
                    <w:r w:rsidR="00D84ADA">
                      <w:rPr>
                        <w:rStyle w:val="ae"/>
                        <w:rFonts w:ascii="黑体" w:hint="eastAsia"/>
                      </w:rPr>
                      <w:t>系列特种溶剂油</w:t>
                    </w:r>
                    <w:r w:rsidR="00D84ADA">
                      <w:tab/>
                    </w:r>
                    <w:r>
                      <w:fldChar w:fldCharType="begin"/>
                    </w:r>
                    <w:r w:rsidR="00D84ADA">
                      <w:instrText xml:space="preserve"> PAGEREF _Toc505350016 \h </w:instrText>
                    </w:r>
                    <w:r>
                      <w:fldChar w:fldCharType="separate"/>
                    </w:r>
                    <w:r w:rsidR="00D84ADA">
                      <w:t>23</w:t>
                    </w:r>
                    <w:r>
                      <w:fldChar w:fldCharType="end"/>
                    </w:r>
                  </w:hyperlink>
                </w:p>
                <w:p w:rsidR="00D84ADA" w:rsidRDefault="00DF3E22">
                  <w:pPr>
                    <w:pStyle w:val="10"/>
                    <w:rPr>
                      <w:rFonts w:asciiTheme="minorHAnsi" w:eastAsiaTheme="minorEastAsia" w:hAnsiTheme="minorHAnsi" w:cstheme="minorBidi"/>
                      <w:b w:val="0"/>
                      <w:bCs w:val="0"/>
                      <w:caps w:val="0"/>
                      <w:color w:val="auto"/>
                      <w:sz w:val="21"/>
                      <w:szCs w:val="22"/>
                    </w:rPr>
                  </w:pPr>
                  <w:hyperlink w:anchor="_Toc505350017" w:history="1">
                    <w:r w:rsidR="00D84ADA">
                      <w:rPr>
                        <w:rStyle w:val="ae"/>
                        <w:rFonts w:ascii="黑体" w:hint="eastAsia"/>
                      </w:rPr>
                      <w:t>七、重芳烃溶剂油</w:t>
                    </w:r>
                    <w:r w:rsidR="00D84ADA">
                      <w:tab/>
                    </w:r>
                    <w:r>
                      <w:fldChar w:fldCharType="begin"/>
                    </w:r>
                    <w:r w:rsidR="00D84ADA">
                      <w:instrText xml:space="preserve"> PAGEREF _Toc505350017 \h </w:instrText>
                    </w:r>
                    <w:r>
                      <w:fldChar w:fldCharType="separate"/>
                    </w:r>
                    <w:r w:rsidR="00D84ADA">
                      <w:t>25</w:t>
                    </w:r>
                    <w:r>
                      <w:fldChar w:fldCharType="end"/>
                    </w:r>
                  </w:hyperlink>
                </w:p>
                <w:p w:rsidR="00D84ADA" w:rsidRDefault="00DF3E22">
                  <w:pPr>
                    <w:pStyle w:val="10"/>
                    <w:rPr>
                      <w:rFonts w:asciiTheme="minorHAnsi" w:eastAsiaTheme="minorEastAsia" w:hAnsiTheme="minorHAnsi" w:cstheme="minorBidi"/>
                      <w:b w:val="0"/>
                      <w:bCs w:val="0"/>
                      <w:caps w:val="0"/>
                      <w:color w:val="auto"/>
                      <w:sz w:val="21"/>
                      <w:szCs w:val="22"/>
                    </w:rPr>
                  </w:pPr>
                  <w:hyperlink w:anchor="_Toc505350018" w:history="1">
                    <w:r w:rsidR="00D84ADA">
                      <w:rPr>
                        <w:rStyle w:val="ae"/>
                        <w:rFonts w:ascii="黑体" w:hint="eastAsia"/>
                      </w:rPr>
                      <w:t>八、正己烷</w:t>
                    </w:r>
                    <w:r w:rsidR="00D84ADA">
                      <w:tab/>
                    </w:r>
                    <w:r>
                      <w:fldChar w:fldCharType="begin"/>
                    </w:r>
                    <w:r w:rsidR="00D84ADA">
                      <w:instrText xml:space="preserve"> PAGEREF _Toc505350018 \h </w:instrText>
                    </w:r>
                    <w:r>
                      <w:fldChar w:fldCharType="separate"/>
                    </w:r>
                    <w:r w:rsidR="00D84ADA">
                      <w:t>26</w:t>
                    </w:r>
                    <w:r>
                      <w:fldChar w:fldCharType="end"/>
                    </w:r>
                  </w:hyperlink>
                </w:p>
                <w:p w:rsidR="00D84ADA" w:rsidRDefault="00DF3E22">
                  <w:pPr>
                    <w:pStyle w:val="10"/>
                    <w:rPr>
                      <w:rFonts w:asciiTheme="minorHAnsi" w:eastAsiaTheme="minorEastAsia" w:hAnsiTheme="minorHAnsi" w:cstheme="minorBidi"/>
                      <w:b w:val="0"/>
                      <w:bCs w:val="0"/>
                      <w:caps w:val="0"/>
                      <w:color w:val="auto"/>
                      <w:sz w:val="21"/>
                      <w:szCs w:val="22"/>
                    </w:rPr>
                  </w:pPr>
                  <w:hyperlink w:anchor="_Toc505350019" w:history="1">
                    <w:r w:rsidR="00D84ADA">
                      <w:rPr>
                        <w:rStyle w:val="ae"/>
                        <w:rFonts w:ascii="黑体" w:hint="eastAsia"/>
                      </w:rPr>
                      <w:t>九、</w:t>
                    </w:r>
                    <w:r w:rsidR="00D84ADA">
                      <w:rPr>
                        <w:rStyle w:val="ae"/>
                        <w:rFonts w:ascii="黑体"/>
                      </w:rPr>
                      <w:t>201</w:t>
                    </w:r>
                    <w:r w:rsidR="00D84ADA">
                      <w:rPr>
                        <w:rStyle w:val="ae"/>
                        <w:rFonts w:ascii="黑体" w:hint="eastAsia"/>
                      </w:rPr>
                      <w:t>8</w:t>
                    </w:r>
                    <w:r w:rsidR="00D84ADA">
                      <w:rPr>
                        <w:rStyle w:val="ae"/>
                        <w:rFonts w:ascii="黑体" w:hint="eastAsia"/>
                      </w:rPr>
                      <w:t>年</w:t>
                    </w:r>
                    <w:r w:rsidR="00D84ADA">
                      <w:rPr>
                        <w:rStyle w:val="ae"/>
                        <w:rFonts w:ascii="黑体" w:hint="eastAsia"/>
                      </w:rPr>
                      <w:t>3</w:t>
                    </w:r>
                    <w:r w:rsidR="00D84ADA">
                      <w:rPr>
                        <w:rStyle w:val="ae"/>
                        <w:rFonts w:ascii="黑体" w:hint="eastAsia"/>
                      </w:rPr>
                      <w:t>月中国溶剂油、石脑油进出口数据统计</w:t>
                    </w:r>
                    <w:r w:rsidR="00D84ADA">
                      <w:tab/>
                    </w:r>
                    <w:r>
                      <w:fldChar w:fldCharType="begin"/>
                    </w:r>
                    <w:r w:rsidR="00D84ADA">
                      <w:instrText xml:space="preserve"> PAGEREF _Toc505350019 \h </w:instrText>
                    </w:r>
                    <w:r>
                      <w:fldChar w:fldCharType="separate"/>
                    </w:r>
                    <w:r w:rsidR="00D84ADA">
                      <w:t>26</w:t>
                    </w:r>
                    <w:r>
                      <w:fldChar w:fldCharType="end"/>
                    </w:r>
                  </w:hyperlink>
                </w:p>
                <w:p w:rsidR="00D84ADA" w:rsidRDefault="00DF3E22">
                  <w:r>
                    <w:rPr>
                      <w:rFonts w:ascii="宋体" w:hAnsi="宋体"/>
                    </w:rPr>
                    <w:fldChar w:fldCharType="end"/>
                  </w:r>
                </w:p>
              </w:txbxContent>
            </v:textbox>
          </v:shape>
        </w:pict>
      </w:r>
      <w:r w:rsidR="00FE2871">
        <w:br w:type="page"/>
      </w:r>
      <w:bookmarkStart w:id="3" w:name="_Toc460250399"/>
      <w:bookmarkStart w:id="4" w:name="_Toc505349997"/>
      <w:bookmarkEnd w:id="2"/>
      <w:r w:rsidR="00FE2871" w:rsidRPr="00150B7B">
        <w:rPr>
          <w:rFonts w:ascii="黑体" w:eastAsia="黑体" w:hAnsi="宋体" w:cs="Arial" w:hint="eastAsia"/>
          <w:b/>
          <w:bCs/>
          <w:kern w:val="0"/>
          <w:sz w:val="30"/>
          <w:szCs w:val="30"/>
        </w:rPr>
        <w:lastRenderedPageBreak/>
        <w:t>一、国际原油</w:t>
      </w:r>
      <w:bookmarkEnd w:id="3"/>
      <w:bookmarkEnd w:id="4"/>
    </w:p>
    <w:p w:rsidR="006C7D15" w:rsidRDefault="00FE2871">
      <w:pPr>
        <w:outlineLvl w:val="1"/>
        <w:rPr>
          <w:b/>
          <w:sz w:val="32"/>
          <w:szCs w:val="32"/>
        </w:rPr>
      </w:pPr>
      <w:bookmarkStart w:id="5" w:name="_Toc505349998"/>
      <w:r>
        <w:rPr>
          <w:rFonts w:ascii="黑体" w:eastAsia="黑体" w:hAnsi="宋体" w:cs="Arial" w:hint="eastAsia"/>
          <w:b/>
          <w:bCs/>
          <w:kern w:val="0"/>
          <w:sz w:val="30"/>
          <w:szCs w:val="30"/>
        </w:rPr>
        <w:t>（一）、国际原油市场回顾</w:t>
      </w:r>
      <w:bookmarkEnd w:id="5"/>
    </w:p>
    <w:p w:rsidR="006C7D15" w:rsidRDefault="00FE2871">
      <w:pPr>
        <w:pStyle w:val="2"/>
        <w:spacing w:line="240" w:lineRule="auto"/>
        <w:ind w:firstLineChars="99" w:firstLine="298"/>
        <w:rPr>
          <w:rFonts w:ascii="黑体" w:eastAsia="黑体" w:hAnsi="宋体" w:cs="Arial"/>
          <w:b w:val="0"/>
          <w:kern w:val="0"/>
          <w:sz w:val="30"/>
          <w:szCs w:val="30"/>
        </w:rPr>
      </w:pPr>
      <w:bookmarkStart w:id="6" w:name="_Toc281568195"/>
      <w:bookmarkStart w:id="7" w:name="_Toc460250400"/>
      <w:bookmarkStart w:id="8" w:name="_Toc296600805"/>
      <w:bookmarkStart w:id="9" w:name="_Toc505349999"/>
      <w:r>
        <w:rPr>
          <w:rFonts w:ascii="黑体" w:eastAsia="黑体" w:hAnsi="宋体" w:hint="eastAsia"/>
          <w:kern w:val="0"/>
          <w:sz w:val="30"/>
          <w:szCs w:val="30"/>
        </w:rPr>
        <w:t xml:space="preserve">1. 1  </w:t>
      </w:r>
      <w:bookmarkEnd w:id="6"/>
      <w:bookmarkEnd w:id="7"/>
      <w:bookmarkEnd w:id="8"/>
      <w:r>
        <w:rPr>
          <w:rFonts w:ascii="黑体" w:eastAsia="黑体" w:hAnsi="宋体" w:cs="Arial" w:hint="eastAsia"/>
          <w:b w:val="0"/>
          <w:kern w:val="0"/>
          <w:sz w:val="30"/>
          <w:szCs w:val="30"/>
        </w:rPr>
        <w:t>国际原油收盘价涨跌情况（单位：美元/桶）</w:t>
      </w:r>
      <w:bookmarkEnd w:id="9"/>
    </w:p>
    <w:tbl>
      <w:tblPr>
        <w:tblW w:w="5000" w:type="pct"/>
        <w:tblLook w:val="04A0"/>
      </w:tblPr>
      <w:tblGrid>
        <w:gridCol w:w="1416"/>
        <w:gridCol w:w="809"/>
        <w:gridCol w:w="811"/>
        <w:gridCol w:w="6926"/>
      </w:tblGrid>
      <w:tr w:rsidR="00D84ADA" w:rsidRPr="00A20241" w:rsidTr="00D84ADA">
        <w:trPr>
          <w:trHeight w:val="285"/>
        </w:trPr>
        <w:tc>
          <w:tcPr>
            <w:tcW w:w="711" w:type="pct"/>
            <w:tcBorders>
              <w:top w:val="single" w:sz="4" w:space="0" w:color="auto"/>
              <w:left w:val="single" w:sz="4" w:space="0" w:color="auto"/>
              <w:bottom w:val="single" w:sz="4" w:space="0" w:color="auto"/>
              <w:right w:val="single" w:sz="4" w:space="0" w:color="auto"/>
            </w:tcBorders>
            <w:shd w:val="clear" w:color="000000" w:fill="99CCFF"/>
            <w:vAlign w:val="center"/>
            <w:hideMark/>
          </w:tcPr>
          <w:p w:rsidR="00D84ADA" w:rsidRPr="00A20241" w:rsidRDefault="00D84ADA" w:rsidP="00D84ADA">
            <w:pPr>
              <w:widowControl/>
              <w:jc w:val="center"/>
              <w:rPr>
                <w:rFonts w:ascii="华文仿宋" w:eastAsia="华文仿宋" w:hAnsi="华文仿宋" w:cs="宋体"/>
                <w:b/>
                <w:bCs/>
                <w:color w:val="000000"/>
                <w:kern w:val="0"/>
                <w:sz w:val="28"/>
                <w:szCs w:val="28"/>
              </w:rPr>
            </w:pPr>
            <w:r w:rsidRPr="00A20241">
              <w:rPr>
                <w:rFonts w:ascii="华文仿宋" w:eastAsia="华文仿宋" w:hAnsi="华文仿宋" w:cs="宋体" w:hint="eastAsia"/>
                <w:b/>
                <w:bCs/>
                <w:color w:val="000000"/>
                <w:kern w:val="0"/>
                <w:sz w:val="28"/>
                <w:szCs w:val="28"/>
              </w:rPr>
              <w:t>日期</w:t>
            </w:r>
          </w:p>
        </w:tc>
        <w:tc>
          <w:tcPr>
            <w:tcW w:w="406" w:type="pct"/>
            <w:tcBorders>
              <w:top w:val="single" w:sz="4" w:space="0" w:color="auto"/>
              <w:left w:val="nil"/>
              <w:bottom w:val="single" w:sz="4" w:space="0" w:color="auto"/>
              <w:right w:val="single" w:sz="4" w:space="0" w:color="auto"/>
            </w:tcBorders>
            <w:shd w:val="clear" w:color="000000" w:fill="99CCFF"/>
            <w:vAlign w:val="center"/>
            <w:hideMark/>
          </w:tcPr>
          <w:p w:rsidR="00D84ADA" w:rsidRPr="00A20241" w:rsidRDefault="00D84ADA" w:rsidP="00D84ADA">
            <w:pPr>
              <w:widowControl/>
              <w:jc w:val="center"/>
              <w:rPr>
                <w:rFonts w:ascii="华文仿宋" w:eastAsia="华文仿宋" w:hAnsi="华文仿宋" w:cs="宋体"/>
                <w:b/>
                <w:bCs/>
                <w:color w:val="000000"/>
                <w:kern w:val="0"/>
                <w:sz w:val="28"/>
                <w:szCs w:val="28"/>
              </w:rPr>
            </w:pPr>
            <w:proofErr w:type="gramStart"/>
            <w:r w:rsidRPr="00A20241">
              <w:rPr>
                <w:rFonts w:ascii="华文仿宋" w:eastAsia="华文仿宋" w:hAnsi="华文仿宋" w:cs="宋体" w:hint="eastAsia"/>
                <w:b/>
                <w:bCs/>
                <w:color w:val="000000"/>
                <w:kern w:val="0"/>
                <w:sz w:val="28"/>
                <w:szCs w:val="28"/>
              </w:rPr>
              <w:t>纽</w:t>
            </w:r>
            <w:proofErr w:type="gramEnd"/>
            <w:r w:rsidRPr="00A20241">
              <w:rPr>
                <w:rFonts w:ascii="华文仿宋" w:eastAsia="华文仿宋" w:hAnsi="华文仿宋" w:cs="宋体" w:hint="eastAsia"/>
                <w:b/>
                <w:bCs/>
                <w:color w:val="000000"/>
                <w:kern w:val="0"/>
                <w:sz w:val="28"/>
                <w:szCs w:val="28"/>
              </w:rPr>
              <w:t>交所</w:t>
            </w:r>
          </w:p>
        </w:tc>
        <w:tc>
          <w:tcPr>
            <w:tcW w:w="407" w:type="pct"/>
            <w:tcBorders>
              <w:top w:val="single" w:sz="4" w:space="0" w:color="auto"/>
              <w:left w:val="nil"/>
              <w:bottom w:val="single" w:sz="4" w:space="0" w:color="auto"/>
              <w:right w:val="single" w:sz="4" w:space="0" w:color="auto"/>
            </w:tcBorders>
            <w:shd w:val="clear" w:color="000000" w:fill="99CCFF"/>
            <w:vAlign w:val="center"/>
            <w:hideMark/>
          </w:tcPr>
          <w:p w:rsidR="00D84ADA" w:rsidRPr="00A20241" w:rsidRDefault="00D84ADA" w:rsidP="00D84ADA">
            <w:pPr>
              <w:widowControl/>
              <w:jc w:val="center"/>
              <w:rPr>
                <w:rFonts w:ascii="华文仿宋" w:eastAsia="华文仿宋" w:hAnsi="华文仿宋" w:cs="宋体"/>
                <w:b/>
                <w:bCs/>
                <w:color w:val="000000"/>
                <w:kern w:val="0"/>
                <w:sz w:val="28"/>
                <w:szCs w:val="28"/>
              </w:rPr>
            </w:pPr>
            <w:proofErr w:type="gramStart"/>
            <w:r w:rsidRPr="00A20241">
              <w:rPr>
                <w:rFonts w:ascii="华文仿宋" w:eastAsia="华文仿宋" w:hAnsi="华文仿宋" w:cs="宋体" w:hint="eastAsia"/>
                <w:b/>
                <w:bCs/>
                <w:color w:val="000000"/>
                <w:kern w:val="0"/>
                <w:sz w:val="28"/>
                <w:szCs w:val="28"/>
              </w:rPr>
              <w:t>伦交所</w:t>
            </w:r>
            <w:proofErr w:type="gramEnd"/>
          </w:p>
        </w:tc>
        <w:tc>
          <w:tcPr>
            <w:tcW w:w="3477" w:type="pct"/>
            <w:tcBorders>
              <w:top w:val="single" w:sz="4" w:space="0" w:color="auto"/>
              <w:left w:val="nil"/>
              <w:bottom w:val="single" w:sz="4" w:space="0" w:color="auto"/>
              <w:right w:val="single" w:sz="4" w:space="0" w:color="auto"/>
            </w:tcBorders>
            <w:shd w:val="clear" w:color="000000" w:fill="99CCFF"/>
            <w:vAlign w:val="center"/>
            <w:hideMark/>
          </w:tcPr>
          <w:p w:rsidR="00D84ADA" w:rsidRPr="00A20241" w:rsidRDefault="00D84ADA" w:rsidP="00D84ADA">
            <w:pPr>
              <w:widowControl/>
              <w:jc w:val="center"/>
              <w:rPr>
                <w:rFonts w:ascii="华文仿宋" w:eastAsia="华文仿宋" w:hAnsi="华文仿宋" w:cs="宋体"/>
                <w:b/>
                <w:bCs/>
                <w:color w:val="000000"/>
                <w:kern w:val="0"/>
                <w:sz w:val="28"/>
                <w:szCs w:val="28"/>
              </w:rPr>
            </w:pPr>
            <w:r w:rsidRPr="00A20241">
              <w:rPr>
                <w:rFonts w:ascii="华文仿宋" w:eastAsia="华文仿宋" w:hAnsi="华文仿宋" w:cs="宋体" w:hint="eastAsia"/>
                <w:b/>
                <w:bCs/>
                <w:color w:val="000000"/>
                <w:kern w:val="0"/>
                <w:sz w:val="28"/>
                <w:szCs w:val="28"/>
              </w:rPr>
              <w:t>影响因素</w:t>
            </w:r>
          </w:p>
        </w:tc>
      </w:tr>
      <w:tr w:rsidR="00D84ADA" w:rsidRPr="00A20241" w:rsidTr="00D84ADA">
        <w:trPr>
          <w:trHeight w:val="480"/>
        </w:trPr>
        <w:tc>
          <w:tcPr>
            <w:tcW w:w="711" w:type="pct"/>
            <w:tcBorders>
              <w:top w:val="nil"/>
              <w:left w:val="single" w:sz="4" w:space="0" w:color="auto"/>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2018/8/15</w:t>
            </w:r>
          </w:p>
        </w:tc>
        <w:tc>
          <w:tcPr>
            <w:tcW w:w="406" w:type="pct"/>
            <w:tcBorders>
              <w:top w:val="nil"/>
              <w:left w:val="nil"/>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65.01</w:t>
            </w:r>
          </w:p>
        </w:tc>
        <w:tc>
          <w:tcPr>
            <w:tcW w:w="407" w:type="pct"/>
            <w:tcBorders>
              <w:top w:val="nil"/>
              <w:left w:val="nil"/>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70.76</w:t>
            </w:r>
          </w:p>
        </w:tc>
        <w:tc>
          <w:tcPr>
            <w:tcW w:w="3477" w:type="pct"/>
            <w:tcBorders>
              <w:top w:val="nil"/>
              <w:left w:val="nil"/>
              <w:bottom w:val="single" w:sz="4" w:space="0" w:color="auto"/>
              <w:right w:val="single" w:sz="4" w:space="0" w:color="auto"/>
            </w:tcBorders>
            <w:shd w:val="clear" w:color="auto" w:fill="auto"/>
            <w:vAlign w:val="center"/>
            <w:hideMark/>
          </w:tcPr>
          <w:p w:rsidR="00D84ADA" w:rsidRPr="00A20241" w:rsidRDefault="00D84ADA" w:rsidP="00D84ADA">
            <w:pPr>
              <w:widowControl/>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美国能源信息局当天公布的数据显示，在截至8月10日的一周，美国全国商业原油库存增加680万桶，而市场此前普遍预计库存量将减少。这一数据令国际油价承压下行。</w:t>
            </w:r>
          </w:p>
        </w:tc>
      </w:tr>
      <w:tr w:rsidR="00D84ADA" w:rsidRPr="00A20241" w:rsidTr="00D84ADA">
        <w:trPr>
          <w:trHeight w:val="375"/>
        </w:trPr>
        <w:tc>
          <w:tcPr>
            <w:tcW w:w="711" w:type="pct"/>
            <w:tcBorders>
              <w:top w:val="nil"/>
              <w:left w:val="single" w:sz="4" w:space="0" w:color="auto"/>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2018/8/14</w:t>
            </w:r>
          </w:p>
        </w:tc>
        <w:tc>
          <w:tcPr>
            <w:tcW w:w="406" w:type="pct"/>
            <w:tcBorders>
              <w:top w:val="nil"/>
              <w:left w:val="nil"/>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67.04</w:t>
            </w:r>
          </w:p>
        </w:tc>
        <w:tc>
          <w:tcPr>
            <w:tcW w:w="407" w:type="pct"/>
            <w:tcBorders>
              <w:top w:val="nil"/>
              <w:left w:val="nil"/>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72.46</w:t>
            </w:r>
          </w:p>
        </w:tc>
        <w:tc>
          <w:tcPr>
            <w:tcW w:w="3477" w:type="pct"/>
            <w:tcBorders>
              <w:top w:val="nil"/>
              <w:left w:val="nil"/>
              <w:bottom w:val="single" w:sz="4" w:space="0" w:color="auto"/>
              <w:right w:val="single" w:sz="4" w:space="0" w:color="auto"/>
            </w:tcBorders>
            <w:shd w:val="clear" w:color="auto" w:fill="auto"/>
            <w:vAlign w:val="center"/>
            <w:hideMark/>
          </w:tcPr>
          <w:p w:rsidR="00D84ADA" w:rsidRPr="00A20241" w:rsidRDefault="00D84ADA" w:rsidP="00D84ADA">
            <w:pPr>
              <w:widowControl/>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美元走</w:t>
            </w:r>
            <w:proofErr w:type="gramStart"/>
            <w:r w:rsidRPr="00A20241">
              <w:rPr>
                <w:rFonts w:ascii="华文仿宋" w:eastAsia="华文仿宋" w:hAnsi="华文仿宋" w:cs="宋体" w:hint="eastAsia"/>
                <w:color w:val="000000"/>
                <w:kern w:val="0"/>
                <w:sz w:val="28"/>
                <w:szCs w:val="28"/>
              </w:rPr>
              <w:t>强降低</w:t>
            </w:r>
            <w:proofErr w:type="gramEnd"/>
            <w:r w:rsidRPr="00A20241">
              <w:rPr>
                <w:rFonts w:ascii="华文仿宋" w:eastAsia="华文仿宋" w:hAnsi="华文仿宋" w:cs="宋体" w:hint="eastAsia"/>
                <w:color w:val="000000"/>
                <w:kern w:val="0"/>
                <w:sz w:val="28"/>
                <w:szCs w:val="28"/>
              </w:rPr>
              <w:t>了以美元计价的石油的投资吸引力，令国际油价承压下跌。</w:t>
            </w:r>
          </w:p>
        </w:tc>
      </w:tr>
      <w:tr w:rsidR="00D84ADA" w:rsidRPr="00A20241" w:rsidTr="00D84ADA">
        <w:trPr>
          <w:trHeight w:val="480"/>
        </w:trPr>
        <w:tc>
          <w:tcPr>
            <w:tcW w:w="711" w:type="pct"/>
            <w:tcBorders>
              <w:top w:val="nil"/>
              <w:left w:val="single" w:sz="4" w:space="0" w:color="auto"/>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2018/8/13</w:t>
            </w:r>
          </w:p>
        </w:tc>
        <w:tc>
          <w:tcPr>
            <w:tcW w:w="406" w:type="pct"/>
            <w:tcBorders>
              <w:top w:val="nil"/>
              <w:left w:val="nil"/>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67.2</w:t>
            </w:r>
          </w:p>
        </w:tc>
        <w:tc>
          <w:tcPr>
            <w:tcW w:w="407" w:type="pct"/>
            <w:tcBorders>
              <w:top w:val="nil"/>
              <w:left w:val="nil"/>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72.61</w:t>
            </w:r>
          </w:p>
        </w:tc>
        <w:tc>
          <w:tcPr>
            <w:tcW w:w="3477" w:type="pct"/>
            <w:tcBorders>
              <w:top w:val="nil"/>
              <w:left w:val="nil"/>
              <w:bottom w:val="single" w:sz="4" w:space="0" w:color="auto"/>
              <w:right w:val="single" w:sz="4" w:space="0" w:color="auto"/>
            </w:tcBorders>
            <w:shd w:val="clear" w:color="auto" w:fill="auto"/>
            <w:vAlign w:val="center"/>
            <w:hideMark/>
          </w:tcPr>
          <w:p w:rsidR="00D84ADA" w:rsidRPr="00A20241" w:rsidRDefault="00D84ADA" w:rsidP="00D84ADA">
            <w:pPr>
              <w:widowControl/>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7月份沙特阿拉伯的原油产量有所下降，但整体而言，该组织成员国7月总产量仍录得上涨，与此同时，月报下调明年全球原油需求预期，油价承压下挫。</w:t>
            </w:r>
          </w:p>
        </w:tc>
      </w:tr>
      <w:tr w:rsidR="00D84ADA" w:rsidRPr="00A20241" w:rsidTr="00D84ADA">
        <w:trPr>
          <w:trHeight w:val="480"/>
        </w:trPr>
        <w:tc>
          <w:tcPr>
            <w:tcW w:w="711" w:type="pct"/>
            <w:tcBorders>
              <w:top w:val="nil"/>
              <w:left w:val="single" w:sz="4" w:space="0" w:color="auto"/>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2018/8/10</w:t>
            </w:r>
          </w:p>
        </w:tc>
        <w:tc>
          <w:tcPr>
            <w:tcW w:w="406" w:type="pct"/>
            <w:tcBorders>
              <w:top w:val="nil"/>
              <w:left w:val="nil"/>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67.63</w:t>
            </w:r>
          </w:p>
        </w:tc>
        <w:tc>
          <w:tcPr>
            <w:tcW w:w="407" w:type="pct"/>
            <w:tcBorders>
              <w:top w:val="nil"/>
              <w:left w:val="nil"/>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72.81</w:t>
            </w:r>
          </w:p>
        </w:tc>
        <w:tc>
          <w:tcPr>
            <w:tcW w:w="3477" w:type="pct"/>
            <w:tcBorders>
              <w:top w:val="nil"/>
              <w:left w:val="nil"/>
              <w:bottom w:val="single" w:sz="4" w:space="0" w:color="auto"/>
              <w:right w:val="single" w:sz="4" w:space="0" w:color="auto"/>
            </w:tcBorders>
            <w:shd w:val="clear" w:color="auto" w:fill="auto"/>
            <w:vAlign w:val="center"/>
            <w:hideMark/>
          </w:tcPr>
          <w:p w:rsidR="00D84ADA" w:rsidRPr="00A20241" w:rsidRDefault="00D84ADA" w:rsidP="00D84ADA">
            <w:pPr>
              <w:widowControl/>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尽管</w:t>
            </w:r>
            <w:proofErr w:type="gramStart"/>
            <w:r w:rsidRPr="00A20241">
              <w:rPr>
                <w:rFonts w:ascii="华文仿宋" w:eastAsia="华文仿宋" w:hAnsi="华文仿宋" w:cs="宋体" w:hint="eastAsia"/>
                <w:color w:val="000000"/>
                <w:kern w:val="0"/>
                <w:sz w:val="28"/>
                <w:szCs w:val="28"/>
              </w:rPr>
              <w:t>日内公布</w:t>
            </w:r>
            <w:proofErr w:type="gramEnd"/>
            <w:r w:rsidRPr="00A20241">
              <w:rPr>
                <w:rFonts w:ascii="华文仿宋" w:eastAsia="华文仿宋" w:hAnsi="华文仿宋" w:cs="宋体" w:hint="eastAsia"/>
                <w:color w:val="000000"/>
                <w:kern w:val="0"/>
                <w:sz w:val="28"/>
                <w:szCs w:val="28"/>
              </w:rPr>
              <w:t>的数据显示美国石油活跃钻井数激增10座一度打压油价，但国际能源署(IEA)最新一期月报警告称原油</w:t>
            </w:r>
            <w:proofErr w:type="gramStart"/>
            <w:r w:rsidRPr="00A20241">
              <w:rPr>
                <w:rFonts w:ascii="华文仿宋" w:eastAsia="华文仿宋" w:hAnsi="华文仿宋" w:cs="宋体" w:hint="eastAsia"/>
                <w:color w:val="000000"/>
                <w:kern w:val="0"/>
                <w:sz w:val="28"/>
                <w:szCs w:val="28"/>
              </w:rPr>
              <w:t>供应面恐</w:t>
            </w:r>
            <w:proofErr w:type="gramEnd"/>
            <w:r w:rsidRPr="00A20241">
              <w:rPr>
                <w:rFonts w:ascii="华文仿宋" w:eastAsia="华文仿宋" w:hAnsi="华文仿宋" w:cs="宋体" w:hint="eastAsia"/>
                <w:color w:val="000000"/>
                <w:kern w:val="0"/>
                <w:sz w:val="28"/>
                <w:szCs w:val="28"/>
              </w:rPr>
              <w:t>大幅收紧，提振油价收盘录得上涨。</w:t>
            </w:r>
          </w:p>
        </w:tc>
      </w:tr>
      <w:tr w:rsidR="00D84ADA" w:rsidRPr="00A20241" w:rsidTr="00D84ADA">
        <w:trPr>
          <w:trHeight w:val="540"/>
        </w:trPr>
        <w:tc>
          <w:tcPr>
            <w:tcW w:w="711" w:type="pct"/>
            <w:tcBorders>
              <w:top w:val="nil"/>
              <w:left w:val="single" w:sz="4" w:space="0" w:color="auto"/>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2018/8/9</w:t>
            </w:r>
          </w:p>
        </w:tc>
        <w:tc>
          <w:tcPr>
            <w:tcW w:w="406" w:type="pct"/>
            <w:tcBorders>
              <w:top w:val="nil"/>
              <w:left w:val="nil"/>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66.81</w:t>
            </w:r>
          </w:p>
        </w:tc>
        <w:tc>
          <w:tcPr>
            <w:tcW w:w="407" w:type="pct"/>
            <w:tcBorders>
              <w:top w:val="nil"/>
              <w:left w:val="nil"/>
              <w:bottom w:val="single" w:sz="4" w:space="0" w:color="auto"/>
              <w:right w:val="single" w:sz="4" w:space="0" w:color="auto"/>
            </w:tcBorders>
            <w:shd w:val="clear" w:color="000000" w:fill="FFFFFF"/>
            <w:vAlign w:val="bottom"/>
            <w:hideMark/>
          </w:tcPr>
          <w:p w:rsidR="00D84ADA" w:rsidRPr="00A20241" w:rsidRDefault="00D84ADA" w:rsidP="00D84ADA">
            <w:pPr>
              <w:widowControl/>
              <w:jc w:val="center"/>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72.07</w:t>
            </w:r>
          </w:p>
        </w:tc>
        <w:tc>
          <w:tcPr>
            <w:tcW w:w="3477" w:type="pct"/>
            <w:tcBorders>
              <w:top w:val="nil"/>
              <w:left w:val="nil"/>
              <w:bottom w:val="single" w:sz="4" w:space="0" w:color="auto"/>
              <w:right w:val="single" w:sz="4" w:space="0" w:color="auto"/>
            </w:tcBorders>
            <w:shd w:val="clear" w:color="auto" w:fill="auto"/>
            <w:vAlign w:val="center"/>
            <w:hideMark/>
          </w:tcPr>
          <w:p w:rsidR="00D84ADA" w:rsidRPr="00A20241" w:rsidRDefault="00D84ADA" w:rsidP="00D84ADA">
            <w:pPr>
              <w:widowControl/>
              <w:rPr>
                <w:rFonts w:ascii="华文仿宋" w:eastAsia="华文仿宋" w:hAnsi="华文仿宋" w:cs="宋体"/>
                <w:color w:val="000000"/>
                <w:kern w:val="0"/>
                <w:sz w:val="28"/>
                <w:szCs w:val="28"/>
              </w:rPr>
            </w:pPr>
            <w:r w:rsidRPr="00A20241">
              <w:rPr>
                <w:rFonts w:ascii="华文仿宋" w:eastAsia="华文仿宋" w:hAnsi="华文仿宋" w:cs="宋体" w:hint="eastAsia"/>
                <w:color w:val="000000"/>
                <w:kern w:val="0"/>
                <w:sz w:val="28"/>
                <w:szCs w:val="28"/>
              </w:rPr>
              <w:t>市场对伊朗原油供应将会受损的担忧情绪有所缓和，而与此同时中国的原油需求出现下降，投资者在中国原油需求下降与地缘政治紧张形势之间</w:t>
            </w:r>
            <w:proofErr w:type="gramStart"/>
            <w:r w:rsidRPr="00A20241">
              <w:rPr>
                <w:rFonts w:ascii="华文仿宋" w:eastAsia="华文仿宋" w:hAnsi="华文仿宋" w:cs="宋体" w:hint="eastAsia"/>
                <w:color w:val="000000"/>
                <w:kern w:val="0"/>
                <w:sz w:val="28"/>
                <w:szCs w:val="28"/>
              </w:rPr>
              <w:t>作出</w:t>
            </w:r>
            <w:proofErr w:type="gramEnd"/>
            <w:r w:rsidRPr="00A20241">
              <w:rPr>
                <w:rFonts w:ascii="华文仿宋" w:eastAsia="华文仿宋" w:hAnsi="华文仿宋" w:cs="宋体" w:hint="eastAsia"/>
                <w:color w:val="000000"/>
                <w:kern w:val="0"/>
                <w:sz w:val="28"/>
                <w:szCs w:val="28"/>
              </w:rPr>
              <w:t>权衡</w:t>
            </w:r>
            <w:proofErr w:type="gramStart"/>
            <w:r w:rsidRPr="00A20241">
              <w:rPr>
                <w:rFonts w:ascii="华文仿宋" w:eastAsia="华文仿宋" w:hAnsi="华文仿宋" w:cs="宋体" w:hint="eastAsia"/>
                <w:color w:val="000000"/>
                <w:kern w:val="0"/>
                <w:sz w:val="28"/>
                <w:szCs w:val="28"/>
              </w:rPr>
              <w:t>考量</w:t>
            </w:r>
            <w:proofErr w:type="gramEnd"/>
            <w:r w:rsidRPr="00A20241">
              <w:rPr>
                <w:rFonts w:ascii="华文仿宋" w:eastAsia="华文仿宋" w:hAnsi="华文仿宋" w:cs="宋体" w:hint="eastAsia"/>
                <w:color w:val="000000"/>
                <w:kern w:val="0"/>
                <w:sz w:val="28"/>
                <w:szCs w:val="28"/>
              </w:rPr>
              <w:t>，油价收盘小幅下挫。</w:t>
            </w:r>
          </w:p>
        </w:tc>
      </w:tr>
    </w:tbl>
    <w:p w:rsidR="006C7D15" w:rsidRPr="00D84ADA" w:rsidRDefault="006C7D15"/>
    <w:p w:rsidR="006C7D15" w:rsidRDefault="006C7D15">
      <w:pPr>
        <w:rPr>
          <w:rFonts w:ascii="宋体" w:hAnsi="宋体" w:cs="宋体"/>
          <w:kern w:val="0"/>
          <w:sz w:val="20"/>
          <w:szCs w:val="20"/>
        </w:rPr>
      </w:pPr>
    </w:p>
    <w:p w:rsidR="006C7D15" w:rsidRDefault="006C7D15">
      <w:pPr>
        <w:rPr>
          <w:rFonts w:ascii="宋体" w:hAnsi="宋体" w:cs="宋体"/>
          <w:kern w:val="0"/>
          <w:sz w:val="20"/>
          <w:szCs w:val="20"/>
        </w:rPr>
      </w:pPr>
    </w:p>
    <w:p w:rsidR="006C7D15" w:rsidRDefault="00FE2871">
      <w:pPr>
        <w:spacing w:line="360" w:lineRule="auto"/>
        <w:ind w:firstLineChars="100" w:firstLine="301"/>
        <w:outlineLvl w:val="1"/>
        <w:rPr>
          <w:rFonts w:ascii="黑体" w:eastAsia="黑体"/>
          <w:sz w:val="30"/>
          <w:szCs w:val="30"/>
        </w:rPr>
      </w:pPr>
      <w:bookmarkStart w:id="10" w:name="_Toc505350000"/>
      <w:r>
        <w:rPr>
          <w:rFonts w:ascii="黑体" w:eastAsia="黑体" w:hint="eastAsia"/>
          <w:b/>
          <w:bCs/>
          <w:sz w:val="30"/>
          <w:szCs w:val="30"/>
        </w:rPr>
        <w:t>1. 2</w:t>
      </w:r>
      <w:r>
        <w:rPr>
          <w:rFonts w:ascii="黑体" w:eastAsia="黑体" w:hint="eastAsia"/>
          <w:sz w:val="30"/>
          <w:szCs w:val="30"/>
        </w:rPr>
        <w:t xml:space="preserve">  国际原油市场价格走势图</w:t>
      </w:r>
      <w:bookmarkEnd w:id="10"/>
    </w:p>
    <w:p w:rsidR="006C7D15" w:rsidRDefault="00D84ADA">
      <w:pPr>
        <w:spacing w:line="360" w:lineRule="auto"/>
        <w:jc w:val="center"/>
        <w:rPr>
          <w:sz w:val="20"/>
          <w:szCs w:val="20"/>
        </w:rPr>
      </w:pPr>
      <w:r>
        <w:rPr>
          <w:rFonts w:ascii="宋体" w:hAnsi="宋体" w:cs="Arial" w:hint="eastAsia"/>
          <w:b/>
          <w:noProof/>
          <w:kern w:val="0"/>
          <w:sz w:val="30"/>
          <w:szCs w:val="30"/>
        </w:rPr>
        <w:drawing>
          <wp:inline distT="0" distB="0" distL="0" distR="0">
            <wp:extent cx="5262880" cy="419989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62880" cy="4199890"/>
                    </a:xfrm>
                    <a:prstGeom prst="rect">
                      <a:avLst/>
                    </a:prstGeom>
                    <a:noFill/>
                    <a:ln w="9525">
                      <a:noFill/>
                      <a:miter lim="800000"/>
                      <a:headEnd/>
                      <a:tailEnd/>
                    </a:ln>
                  </pic:spPr>
                </pic:pic>
              </a:graphicData>
            </a:graphic>
          </wp:inline>
        </w:drawing>
      </w:r>
    </w:p>
    <w:p w:rsidR="00150B7B" w:rsidRDefault="00150B7B" w:rsidP="00150B7B">
      <w:pPr>
        <w:outlineLvl w:val="1"/>
        <w:rPr>
          <w:rFonts w:ascii="黑体" w:eastAsia="黑体" w:hAnsi="宋体"/>
          <w:b/>
          <w:sz w:val="30"/>
          <w:szCs w:val="30"/>
        </w:rPr>
      </w:pPr>
      <w:bookmarkStart w:id="11" w:name="_Toc460250402"/>
      <w:bookmarkStart w:id="12" w:name="_Toc505350001"/>
      <w:bookmarkStart w:id="13" w:name="_Toc281568199"/>
      <w:bookmarkStart w:id="14" w:name="_Toc296600809"/>
      <w:bookmarkStart w:id="15" w:name="_Toc239847712"/>
      <w:bookmarkStart w:id="16" w:name="_Toc158203127"/>
      <w:r w:rsidRPr="00150B7B">
        <w:rPr>
          <w:rFonts w:ascii="黑体" w:eastAsia="黑体" w:hAnsi="宋体" w:hint="eastAsia"/>
          <w:b/>
          <w:sz w:val="30"/>
          <w:szCs w:val="30"/>
        </w:rPr>
        <w:t>（二）</w:t>
      </w:r>
      <w:r>
        <w:rPr>
          <w:rFonts w:ascii="黑体" w:eastAsia="黑体" w:hAnsi="宋体" w:hint="eastAsia"/>
          <w:b/>
          <w:sz w:val="30"/>
          <w:szCs w:val="30"/>
        </w:rPr>
        <w:t>.近期影响国际原油市场的主要因素</w:t>
      </w:r>
      <w:bookmarkStart w:id="17" w:name="_Toc504051939"/>
      <w:bookmarkStart w:id="18" w:name="_Toc505350005"/>
      <w:bookmarkEnd w:id="11"/>
      <w:bookmarkEnd w:id="12"/>
    </w:p>
    <w:p w:rsidR="00D84ADA" w:rsidRDefault="00150B7B" w:rsidP="00D84ADA">
      <w:pPr>
        <w:numPr>
          <w:ilvl w:val="0"/>
          <w:numId w:val="2"/>
        </w:numPr>
        <w:outlineLvl w:val="1"/>
        <w:rPr>
          <w:rFonts w:ascii="黑体" w:eastAsia="黑体" w:hAnsi="宋体"/>
          <w:b/>
          <w:sz w:val="28"/>
          <w:szCs w:val="28"/>
        </w:rPr>
      </w:pPr>
      <w:r w:rsidRPr="00150B7B">
        <w:rPr>
          <w:rFonts w:ascii="黑体" w:eastAsia="黑体" w:hAnsi="宋体" w:hint="eastAsia"/>
          <w:b/>
          <w:sz w:val="28"/>
          <w:szCs w:val="28"/>
        </w:rPr>
        <w:t>1、</w:t>
      </w:r>
      <w:bookmarkEnd w:id="17"/>
      <w:r w:rsidR="00D84ADA">
        <w:rPr>
          <w:rFonts w:ascii="黑体" w:eastAsia="黑体" w:hAnsi="宋体" w:hint="eastAsia"/>
          <w:b/>
          <w:sz w:val="28"/>
          <w:szCs w:val="28"/>
        </w:rPr>
        <w:t>美国原油库存情况</w:t>
      </w:r>
    </w:p>
    <w:p w:rsidR="00D84ADA" w:rsidRPr="00C05C70" w:rsidRDefault="00D84ADA" w:rsidP="00D84ADA">
      <w:pPr>
        <w:pStyle w:val="aa"/>
        <w:ind w:firstLineChars="200" w:firstLine="560"/>
        <w:rPr>
          <w:rFonts w:ascii="华文仿宋" w:eastAsia="华文仿宋" w:hAnsi="华文仿宋"/>
          <w:sz w:val="28"/>
          <w:szCs w:val="28"/>
        </w:rPr>
      </w:pPr>
      <w:r w:rsidRPr="00ED5B51">
        <w:rPr>
          <w:rFonts w:ascii="华文仿宋" w:eastAsia="华文仿宋" w:hAnsi="华文仿宋"/>
          <w:sz w:val="28"/>
          <w:szCs w:val="28"/>
        </w:rPr>
        <w:t>美国能源信息署(EIA)数据显示，截至8月10日当周，美国原油库存意外大增680万桶至4.1419亿桶，分析师此前预估为减少250万桶。俄克拉荷马州库欣的原油库存增加164万桶。截至8月10日当周，美国汽油库存减少74万桶至2.3313亿桶，分析师预期为减少58.3万桶;包括取暖油和柴油在内的</w:t>
      </w:r>
      <w:proofErr w:type="gramStart"/>
      <w:r w:rsidRPr="00ED5B51">
        <w:rPr>
          <w:rFonts w:ascii="华文仿宋" w:eastAsia="华文仿宋" w:hAnsi="华文仿宋"/>
          <w:sz w:val="28"/>
          <w:szCs w:val="28"/>
        </w:rPr>
        <w:t>馏分油</w:t>
      </w:r>
      <w:proofErr w:type="gramEnd"/>
      <w:r w:rsidRPr="00ED5B51">
        <w:rPr>
          <w:rFonts w:ascii="华文仿宋" w:eastAsia="华文仿宋" w:hAnsi="华文仿宋"/>
          <w:sz w:val="28"/>
          <w:szCs w:val="28"/>
        </w:rPr>
        <w:t>库存增加360万桶至1.2899亿桶，分析师预期为增加100万桶。过去四周美国汽油需求为965万桶/日，较上年同期减少1%;过去四周</w:t>
      </w:r>
      <w:proofErr w:type="gramStart"/>
      <w:r w:rsidRPr="00ED5B51">
        <w:rPr>
          <w:rFonts w:ascii="华文仿宋" w:eastAsia="华文仿宋" w:hAnsi="华文仿宋"/>
          <w:sz w:val="28"/>
          <w:szCs w:val="28"/>
        </w:rPr>
        <w:t>馏分油</w:t>
      </w:r>
      <w:proofErr w:type="gramEnd"/>
      <w:r w:rsidRPr="00ED5B51">
        <w:rPr>
          <w:rFonts w:ascii="华文仿宋" w:eastAsia="华文仿宋" w:hAnsi="华文仿宋"/>
          <w:sz w:val="28"/>
          <w:szCs w:val="28"/>
        </w:rPr>
        <w:t>需求为394万桶/日，较上年同期</w:t>
      </w:r>
      <w:r w:rsidRPr="00ED5B51">
        <w:rPr>
          <w:rFonts w:ascii="华文仿宋" w:eastAsia="华文仿宋" w:hAnsi="华文仿宋"/>
          <w:sz w:val="28"/>
          <w:szCs w:val="28"/>
        </w:rPr>
        <w:lastRenderedPageBreak/>
        <w:t>减少8.7%。上周美国原油净进口增加134万桶/日。炼厂原油加工量增加38.3万桶/日。炼厂产能利用率上升1.5个百分点至98.1%，为1999年来最高。美国石油协会(API)数据显示，上周美国原油库存意外增加，但汽油库存降幅超过预期。截至8月10日当周，美国原油库存增加366万桶，调查的分析师预计为减少250万。库欣原油库存增加164万桶。截至8月10日当周，美国汽油库存减少156万桶，调查的分析师预计为减少58.3万桶;包括柴油和取暖油在内的</w:t>
      </w:r>
      <w:proofErr w:type="gramStart"/>
      <w:r w:rsidRPr="00ED5B51">
        <w:rPr>
          <w:rFonts w:ascii="华文仿宋" w:eastAsia="华文仿宋" w:hAnsi="华文仿宋"/>
          <w:sz w:val="28"/>
          <w:szCs w:val="28"/>
        </w:rPr>
        <w:t>馏分油</w:t>
      </w:r>
      <w:proofErr w:type="gramEnd"/>
      <w:r w:rsidRPr="00ED5B51">
        <w:rPr>
          <w:rFonts w:ascii="华文仿宋" w:eastAsia="华文仿宋" w:hAnsi="华文仿宋"/>
          <w:sz w:val="28"/>
          <w:szCs w:val="28"/>
        </w:rPr>
        <w:t>库存增加194万桶，分析师预估增加96.4万桶。上周美国原油进口增加82.3万桶/日，至890万桶/日。炼厂炼油量增加19.9万桶/日。</w:t>
      </w:r>
    </w:p>
    <w:p w:rsidR="00D84ADA" w:rsidRDefault="00D84ADA" w:rsidP="00D84ADA">
      <w:pPr>
        <w:numPr>
          <w:ilvl w:val="0"/>
          <w:numId w:val="2"/>
        </w:numPr>
        <w:outlineLvl w:val="1"/>
        <w:rPr>
          <w:rFonts w:ascii="黑体" w:eastAsia="黑体" w:hAnsi="宋体"/>
          <w:b/>
          <w:sz w:val="28"/>
          <w:szCs w:val="28"/>
        </w:rPr>
      </w:pPr>
      <w:bookmarkStart w:id="19" w:name="_Toc504051940"/>
      <w:r>
        <w:rPr>
          <w:rFonts w:ascii="黑体" w:eastAsia="黑体" w:hAnsi="宋体" w:hint="eastAsia"/>
          <w:b/>
          <w:sz w:val="28"/>
          <w:szCs w:val="28"/>
        </w:rPr>
        <w:t>美国经济形势</w:t>
      </w:r>
      <w:bookmarkEnd w:id="19"/>
    </w:p>
    <w:p w:rsidR="00D84ADA" w:rsidRDefault="00D84ADA" w:rsidP="00D84ADA">
      <w:pPr>
        <w:outlineLvl w:val="1"/>
        <w:rPr>
          <w:rFonts w:ascii="黑体" w:eastAsia="黑体" w:hAnsi="宋体"/>
          <w:b/>
          <w:sz w:val="28"/>
          <w:szCs w:val="28"/>
        </w:rPr>
      </w:pPr>
      <w:r>
        <w:rPr>
          <w:rFonts w:ascii="黑体" w:eastAsia="黑体" w:hAnsi="宋体" w:hint="eastAsia"/>
          <w:b/>
          <w:sz w:val="28"/>
          <w:szCs w:val="28"/>
        </w:rPr>
        <w:t xml:space="preserve">    </w:t>
      </w:r>
    </w:p>
    <w:p w:rsidR="00D84ADA" w:rsidRPr="00AC337B" w:rsidRDefault="00D84ADA" w:rsidP="00D84ADA">
      <w:pPr>
        <w:pStyle w:val="aa"/>
        <w:rPr>
          <w:rFonts w:ascii="华文仿宋" w:eastAsia="华文仿宋" w:hAnsi="华文仿宋"/>
          <w:sz w:val="28"/>
          <w:szCs w:val="28"/>
        </w:rPr>
      </w:pPr>
      <w:r>
        <w:rPr>
          <w:sz w:val="21"/>
          <w:szCs w:val="21"/>
        </w:rPr>
        <w:t xml:space="preserve">　</w:t>
      </w:r>
      <w:r>
        <w:rPr>
          <w:rFonts w:hint="eastAsia"/>
          <w:sz w:val="21"/>
          <w:szCs w:val="21"/>
        </w:rPr>
        <w:t xml:space="preserve"> </w:t>
      </w:r>
      <w:r w:rsidRPr="00AC337B">
        <w:rPr>
          <w:rFonts w:ascii="华文仿宋" w:eastAsia="华文仿宋" w:hAnsi="华文仿宋" w:hint="eastAsia"/>
          <w:sz w:val="28"/>
          <w:szCs w:val="28"/>
        </w:rPr>
        <w:t xml:space="preserve"> </w:t>
      </w:r>
      <w:r w:rsidRPr="00AC337B">
        <w:rPr>
          <w:rFonts w:ascii="华文仿宋" w:eastAsia="华文仿宋" w:hAnsi="华文仿宋"/>
          <w:sz w:val="28"/>
          <w:szCs w:val="28"/>
        </w:rPr>
        <w:t>北京时间16日凌晨，美股周三收跌，科技与非必需消费品板块领跌。投资者继续关注经济数据与仍在发酵的土耳其货币危机。</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美</w:t>
      </w:r>
      <w:proofErr w:type="gramStart"/>
      <w:r w:rsidRPr="00AC337B">
        <w:rPr>
          <w:rFonts w:ascii="华文仿宋" w:eastAsia="华文仿宋" w:hAnsi="华文仿宋"/>
          <w:sz w:val="28"/>
          <w:szCs w:val="28"/>
        </w:rPr>
        <w:t>东时间</w:t>
      </w:r>
      <w:proofErr w:type="gramEnd"/>
      <w:r w:rsidRPr="00AC337B">
        <w:rPr>
          <w:rFonts w:ascii="华文仿宋" w:eastAsia="华文仿宋" w:hAnsi="华文仿宋"/>
          <w:sz w:val="28"/>
          <w:szCs w:val="28"/>
        </w:rPr>
        <w:t>8月15日16：00(北京时间8月16日04：00)，道指跌137.51点，或0.54%，报25,162.41点;</w:t>
      </w:r>
      <w:proofErr w:type="gramStart"/>
      <w:r w:rsidRPr="00AC337B">
        <w:rPr>
          <w:rFonts w:ascii="华文仿宋" w:eastAsia="华文仿宋" w:hAnsi="华文仿宋"/>
          <w:sz w:val="28"/>
          <w:szCs w:val="28"/>
        </w:rPr>
        <w:t>标普</w:t>
      </w:r>
      <w:proofErr w:type="gramEnd"/>
      <w:r w:rsidRPr="00AC337B">
        <w:rPr>
          <w:rFonts w:ascii="华文仿宋" w:eastAsia="华文仿宋" w:hAnsi="华文仿宋"/>
          <w:sz w:val="28"/>
          <w:szCs w:val="28"/>
        </w:rPr>
        <w:t>500指数跌21.59点，或0.76%，报2,818.37点;</w:t>
      </w:r>
      <w:proofErr w:type="gramStart"/>
      <w:r w:rsidRPr="00AC337B">
        <w:rPr>
          <w:rFonts w:ascii="华文仿宋" w:eastAsia="华文仿宋" w:hAnsi="华文仿宋"/>
          <w:sz w:val="28"/>
          <w:szCs w:val="28"/>
        </w:rPr>
        <w:t>纳指跌</w:t>
      </w:r>
      <w:proofErr w:type="gramEnd"/>
      <w:r w:rsidRPr="00AC337B">
        <w:rPr>
          <w:rFonts w:ascii="华文仿宋" w:eastAsia="华文仿宋" w:hAnsi="华文仿宋"/>
          <w:sz w:val="28"/>
          <w:szCs w:val="28"/>
        </w:rPr>
        <w:t>96.78点，或1.23%，报7,774.12点。</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市场驱动力量是什么?</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投资者周三仍在关注土耳其货币危机的最新进展。许多人担心这场货币危机可能蔓延到面向土耳其有风险敞口的其他地区。尽管土耳其经济规模相对其他主要市场的规模很小，并且很少有美国企业存在面向该国的较大风险敞口，但在美</w:t>
      </w:r>
      <w:r w:rsidRPr="00AC337B">
        <w:rPr>
          <w:rFonts w:ascii="华文仿宋" w:eastAsia="华文仿宋" w:hAnsi="华文仿宋"/>
          <w:sz w:val="28"/>
          <w:szCs w:val="28"/>
        </w:rPr>
        <w:lastRenderedPageBreak/>
        <w:t>国与主要贸易伙伴之间的贸易关系日益恶化时，土耳其的危机局势将会加重全球地缘政治方面的不确定性因素。</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在国际贸易关系的最新动态方面，土耳其宣布提高针对一些美国进口商品的关税，使两国之间的紧张关系升级。上周美国总统特朗普提高了针对土耳其的钢铁与铝制品关税。土耳其副总统FuatOktay在推特上表示，土耳其采取的最新关税措施是针对美国“有意攻击”</w:t>
      </w:r>
      <w:proofErr w:type="gramStart"/>
      <w:r w:rsidRPr="00AC337B">
        <w:rPr>
          <w:rFonts w:ascii="华文仿宋" w:eastAsia="华文仿宋" w:hAnsi="华文仿宋"/>
          <w:sz w:val="28"/>
          <w:szCs w:val="28"/>
        </w:rPr>
        <w:t>作出</w:t>
      </w:r>
      <w:proofErr w:type="gramEnd"/>
      <w:r w:rsidRPr="00AC337B">
        <w:rPr>
          <w:rFonts w:ascii="华文仿宋" w:eastAsia="华文仿宋" w:hAnsi="华文仿宋"/>
          <w:sz w:val="28"/>
          <w:szCs w:val="28"/>
        </w:rPr>
        <w:t>的回应。</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周三早间土耳其里拉兑美元汇率攀升3.8%，使其本周涨幅达到近5%，在一定程度上表明过去30日内土耳其里拉暴跌20%、降至历史新低的趋势有所缓解，使投资者可以转而关注经济数据与企业财报。最近以来，美国公布的经济数据</w:t>
      </w:r>
      <w:proofErr w:type="gramStart"/>
      <w:r w:rsidRPr="00AC337B">
        <w:rPr>
          <w:rFonts w:ascii="华文仿宋" w:eastAsia="华文仿宋" w:hAnsi="华文仿宋"/>
          <w:sz w:val="28"/>
          <w:szCs w:val="28"/>
        </w:rPr>
        <w:t>与财报均</w:t>
      </w:r>
      <w:proofErr w:type="gramEnd"/>
      <w:r w:rsidRPr="00AC337B">
        <w:rPr>
          <w:rFonts w:ascii="华文仿宋" w:eastAsia="华文仿宋" w:hAnsi="华文仿宋"/>
          <w:sz w:val="28"/>
          <w:szCs w:val="28"/>
        </w:rPr>
        <w:t>表明美国经济状况持续改善。</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圣路易斯联储行长布拉德周三表示，预计土耳其货币危机不会对其他市场造成较大影响。</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经济数据</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美国商务部报告称，美国7月零售销售环比增长0.5%，预期0.1%，前值修正为0.2%。扣除汽车销售不计，美国7月零售销售环比增长0.6%，预期0.3%，前值0.4%。扣除汽车与汽油销售不计，美国7月零售销售环比增长0.6%，预期0.4%，前值0.3%。</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lastRenderedPageBreak/>
        <w:t xml:space="preserve">　　路透社表示，美国7月零售销售大幅好于预期，主要是因为家庭增加对汽车和服装的购买，在线和邮购零售也增长0.8%，可能受到亚马逊“黄金日”促销的提振，这暗示着美国第三季度经济增速仍保持强劲，预计将超过3%。</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数据显示，消费支出在季度之初仍在推动经济增长。今年，减税让美国民众收入增加，消费者信心也仍然强劲，衡量小企业乐观情绪的一项指标于7月份升至有记录以来的第二高位。</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与此同时，工资的增长速度未能显著提升，最近几个月也受到通胀的侵蚀。经济学家们预计，占经济总量大约70%的消费，在录得2014年以来的最快季度增长之后，将于下半年回落。</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另一份数据表明，美国7月工业</w:t>
      </w:r>
      <w:proofErr w:type="gramStart"/>
      <w:r w:rsidRPr="00AC337B">
        <w:rPr>
          <w:rFonts w:ascii="华文仿宋" w:eastAsia="华文仿宋" w:hAnsi="华文仿宋"/>
          <w:sz w:val="28"/>
          <w:szCs w:val="28"/>
        </w:rPr>
        <w:t>产出环</w:t>
      </w:r>
      <w:proofErr w:type="gramEnd"/>
      <w:r w:rsidRPr="00AC337B">
        <w:rPr>
          <w:rFonts w:ascii="华文仿宋" w:eastAsia="华文仿宋" w:hAnsi="华文仿宋"/>
          <w:sz w:val="28"/>
          <w:szCs w:val="28"/>
        </w:rPr>
        <w:t>比增长0.1%，预期0.3%，前值0.6%。美国7月制造业</w:t>
      </w:r>
      <w:proofErr w:type="gramStart"/>
      <w:r w:rsidRPr="00AC337B">
        <w:rPr>
          <w:rFonts w:ascii="华文仿宋" w:eastAsia="华文仿宋" w:hAnsi="华文仿宋"/>
          <w:sz w:val="28"/>
          <w:szCs w:val="28"/>
        </w:rPr>
        <w:t>产出环</w:t>
      </w:r>
      <w:proofErr w:type="gramEnd"/>
      <w:r w:rsidRPr="00AC337B">
        <w:rPr>
          <w:rFonts w:ascii="华文仿宋" w:eastAsia="华文仿宋" w:hAnsi="华文仿宋"/>
          <w:sz w:val="28"/>
          <w:szCs w:val="28"/>
        </w:rPr>
        <w:t>比增长0.3%，预期0.3%，前值0.8%。</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美国能源信息署(EIA)公布的数据显示，美国截至8月10日当周EIA原油库存增加680.5万桶至4.142亿桶，预期减少288.58万桶。汽油库存减少74万桶，预期减少50万桶，</w:t>
      </w:r>
      <w:proofErr w:type="gramStart"/>
      <w:r w:rsidRPr="00AC337B">
        <w:rPr>
          <w:rFonts w:ascii="华文仿宋" w:eastAsia="华文仿宋" w:hAnsi="华文仿宋"/>
          <w:sz w:val="28"/>
          <w:szCs w:val="28"/>
        </w:rPr>
        <w:t>馏分油</w:t>
      </w:r>
      <w:proofErr w:type="gramEnd"/>
      <w:r w:rsidRPr="00AC337B">
        <w:rPr>
          <w:rFonts w:ascii="华文仿宋" w:eastAsia="华文仿宋" w:hAnsi="华文仿宋"/>
          <w:sz w:val="28"/>
          <w:szCs w:val="28"/>
        </w:rPr>
        <w:t>库存增加356.6万桶，预期增加100万桶。数据公布后，</w:t>
      </w:r>
      <w:proofErr w:type="gramStart"/>
      <w:r w:rsidRPr="00AC337B">
        <w:rPr>
          <w:rFonts w:ascii="华文仿宋" w:eastAsia="华文仿宋" w:hAnsi="华文仿宋"/>
          <w:sz w:val="28"/>
          <w:szCs w:val="28"/>
        </w:rPr>
        <w:t>美油扩大</w:t>
      </w:r>
      <w:proofErr w:type="gramEnd"/>
      <w:r w:rsidRPr="00AC337B">
        <w:rPr>
          <w:rFonts w:ascii="华文仿宋" w:eastAsia="华文仿宋" w:hAnsi="华文仿宋"/>
          <w:sz w:val="28"/>
          <w:szCs w:val="28"/>
        </w:rPr>
        <w:t>跌幅跌逾3%，跌破65美元关口，刷新日内新低至64.75美元/桶。</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其他市场表现</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t xml:space="preserve">　　纽约商品交易所9月交割的西德州中质原油(WTI)期货价格下跌2.03美元，跌幅3%，收于65.01美元/桶，为6月6日以来的最低收盘价。</w:t>
      </w:r>
    </w:p>
    <w:p w:rsidR="00D84ADA" w:rsidRPr="00AC337B" w:rsidRDefault="00D84ADA" w:rsidP="00D84ADA">
      <w:pPr>
        <w:pStyle w:val="aa"/>
        <w:rPr>
          <w:rFonts w:ascii="华文仿宋" w:eastAsia="华文仿宋" w:hAnsi="华文仿宋"/>
          <w:sz w:val="28"/>
          <w:szCs w:val="28"/>
        </w:rPr>
      </w:pPr>
      <w:r w:rsidRPr="00AC337B">
        <w:rPr>
          <w:rFonts w:ascii="华文仿宋" w:eastAsia="华文仿宋" w:hAnsi="华文仿宋"/>
          <w:sz w:val="28"/>
          <w:szCs w:val="28"/>
        </w:rPr>
        <w:lastRenderedPageBreak/>
        <w:t xml:space="preserve">　　伦敦洲际交易所(ICE)10月布伦特原油期货下跌1.70美元，跌幅2.4%，收于70.76美元/桶，为4月9日以来的最低收盘价。</w:t>
      </w:r>
    </w:p>
    <w:p w:rsidR="00D84ADA" w:rsidRPr="00AC337B" w:rsidRDefault="00D84ADA" w:rsidP="00D84ADA">
      <w:pPr>
        <w:pStyle w:val="aa"/>
        <w:rPr>
          <w:rFonts w:ascii="华文仿宋" w:eastAsia="华文仿宋" w:hAnsi="华文仿宋"/>
          <w:sz w:val="28"/>
          <w:szCs w:val="28"/>
        </w:rPr>
      </w:pPr>
    </w:p>
    <w:p w:rsidR="00D84ADA" w:rsidRDefault="00D84ADA" w:rsidP="00D84ADA">
      <w:pPr>
        <w:pStyle w:val="aa"/>
        <w:ind w:firstLineChars="200" w:firstLine="560"/>
        <w:rPr>
          <w:rFonts w:ascii="华文仿宋" w:eastAsia="华文仿宋" w:hAnsi="华文仿宋"/>
          <w:sz w:val="28"/>
          <w:szCs w:val="28"/>
        </w:rPr>
      </w:pPr>
    </w:p>
    <w:p w:rsidR="00D84ADA" w:rsidRDefault="00D84ADA" w:rsidP="00D84ADA">
      <w:pPr>
        <w:pStyle w:val="aa"/>
        <w:ind w:firstLineChars="200" w:firstLine="560"/>
        <w:rPr>
          <w:rFonts w:ascii="华文仿宋" w:eastAsia="华文仿宋" w:hAnsi="华文仿宋"/>
          <w:sz w:val="28"/>
          <w:szCs w:val="28"/>
        </w:rPr>
      </w:pPr>
    </w:p>
    <w:p w:rsidR="00D84ADA" w:rsidRDefault="00D84ADA" w:rsidP="00D84ADA">
      <w:pPr>
        <w:pStyle w:val="aa"/>
        <w:numPr>
          <w:ilvl w:val="0"/>
          <w:numId w:val="2"/>
        </w:numPr>
        <w:outlineLvl w:val="1"/>
        <w:rPr>
          <w:rFonts w:ascii="黑体" w:eastAsia="黑体"/>
          <w:b/>
          <w:sz w:val="28"/>
          <w:szCs w:val="28"/>
        </w:rPr>
      </w:pPr>
      <w:bookmarkStart w:id="20" w:name="_Toc504051941"/>
      <w:r>
        <w:rPr>
          <w:rFonts w:ascii="黑体" w:eastAsia="黑体" w:hint="eastAsia"/>
          <w:b/>
          <w:sz w:val="28"/>
          <w:szCs w:val="28"/>
        </w:rPr>
        <w:t>世界经济形势</w:t>
      </w:r>
      <w:bookmarkEnd w:id="20"/>
    </w:p>
    <w:p w:rsidR="00D84ADA" w:rsidRPr="00A20241" w:rsidRDefault="00D84ADA" w:rsidP="00D84ADA">
      <w:pPr>
        <w:pStyle w:val="aa"/>
        <w:outlineLvl w:val="1"/>
        <w:rPr>
          <w:rFonts w:ascii="华文仿宋" w:eastAsia="华文仿宋" w:hAnsi="华文仿宋"/>
          <w:sz w:val="28"/>
          <w:szCs w:val="28"/>
        </w:rPr>
      </w:pPr>
    </w:p>
    <w:p w:rsidR="00D84ADA" w:rsidRPr="00A20241" w:rsidRDefault="00D84ADA" w:rsidP="00D84ADA">
      <w:pPr>
        <w:pStyle w:val="aa"/>
        <w:ind w:firstLineChars="200" w:firstLine="560"/>
        <w:rPr>
          <w:rFonts w:ascii="华文仿宋" w:eastAsia="华文仿宋" w:hAnsi="华文仿宋"/>
          <w:sz w:val="28"/>
          <w:szCs w:val="28"/>
        </w:rPr>
      </w:pPr>
      <w:r w:rsidRPr="00A20241">
        <w:rPr>
          <w:rFonts w:ascii="华文仿宋" w:eastAsia="华文仿宋" w:hAnsi="华文仿宋"/>
          <w:sz w:val="28"/>
          <w:szCs w:val="28"/>
        </w:rPr>
        <w:t>早些时候美国宣布要求11月4日前各国必须将伊朗的原油产量缩减至0，否则将招致美国的制裁，这导致了印度不得不停止了对于伊朗的原油购买。</w:t>
      </w:r>
    </w:p>
    <w:p w:rsidR="00D84ADA" w:rsidRPr="00A20241" w:rsidRDefault="00D84ADA" w:rsidP="00D84ADA">
      <w:pPr>
        <w:pStyle w:val="aa"/>
        <w:rPr>
          <w:rFonts w:ascii="华文仿宋" w:eastAsia="华文仿宋" w:hAnsi="华文仿宋"/>
          <w:sz w:val="28"/>
          <w:szCs w:val="28"/>
        </w:rPr>
      </w:pPr>
      <w:r w:rsidRPr="00A20241">
        <w:rPr>
          <w:rFonts w:ascii="华文仿宋" w:eastAsia="华文仿宋" w:hAnsi="华文仿宋"/>
          <w:sz w:val="28"/>
          <w:szCs w:val="28"/>
        </w:rPr>
        <w:t xml:space="preserve">　　尽管7月的时候印度宣布将会与11月停止对于伊朗的原油进口。但是8月14日有消息称，印度可能会将伊朗的原油进口缩减至当</w:t>
      </w:r>
      <w:proofErr w:type="gramStart"/>
      <w:r w:rsidRPr="00A20241">
        <w:rPr>
          <w:rFonts w:ascii="华文仿宋" w:eastAsia="华文仿宋" w:hAnsi="华文仿宋"/>
          <w:sz w:val="28"/>
          <w:szCs w:val="28"/>
        </w:rPr>
        <w:t>前进口</w:t>
      </w:r>
      <w:proofErr w:type="gramEnd"/>
      <w:r w:rsidRPr="00A20241">
        <w:rPr>
          <w:rFonts w:ascii="华文仿宋" w:eastAsia="华文仿宋" w:hAnsi="华文仿宋"/>
          <w:sz w:val="28"/>
          <w:szCs w:val="28"/>
        </w:rPr>
        <w:t>量的一半。同时为了获得美国的制裁豁免，印度准备向美国</w:t>
      </w:r>
      <w:proofErr w:type="gramStart"/>
      <w:r w:rsidRPr="00A20241">
        <w:rPr>
          <w:rFonts w:ascii="华文仿宋" w:eastAsia="华文仿宋" w:hAnsi="华文仿宋"/>
          <w:sz w:val="28"/>
          <w:szCs w:val="28"/>
        </w:rPr>
        <w:t>争辩称</w:t>
      </w:r>
      <w:proofErr w:type="gramEnd"/>
      <w:r w:rsidRPr="00A20241">
        <w:rPr>
          <w:rFonts w:ascii="华文仿宋" w:eastAsia="华文仿宋" w:hAnsi="华文仿宋"/>
          <w:sz w:val="28"/>
          <w:szCs w:val="28"/>
        </w:rPr>
        <w:t>印度无法从其他产油国手中获得和伊朗原油相比价格具有竞争优势的产品，因此印度必须适当的进行伊朗原油购买。</w:t>
      </w:r>
    </w:p>
    <w:p w:rsidR="00D84ADA" w:rsidRPr="00A20241" w:rsidRDefault="00D84ADA" w:rsidP="00D84ADA">
      <w:pPr>
        <w:pStyle w:val="aa"/>
        <w:rPr>
          <w:rFonts w:ascii="华文仿宋" w:eastAsia="华文仿宋" w:hAnsi="华文仿宋"/>
          <w:sz w:val="28"/>
          <w:szCs w:val="28"/>
        </w:rPr>
      </w:pPr>
      <w:r w:rsidRPr="00A20241">
        <w:rPr>
          <w:rFonts w:ascii="华文仿宋" w:eastAsia="华文仿宋" w:hAnsi="华文仿宋"/>
          <w:sz w:val="28"/>
          <w:szCs w:val="28"/>
        </w:rPr>
        <w:t xml:space="preserve">　　印度一直与美国和伊朗进行着积极的协商以保护印度的能源产业。尽管美国不断上升的原油产量使得充分利用美国的原油出口。在7月，美国的原油出口量达到了150万桶/日，是去年同期的两倍，但是对于印度而言，</w:t>
      </w:r>
      <w:proofErr w:type="gramStart"/>
      <w:r w:rsidRPr="00A20241">
        <w:rPr>
          <w:rFonts w:ascii="华文仿宋" w:eastAsia="华文仿宋" w:hAnsi="华文仿宋"/>
          <w:sz w:val="28"/>
          <w:szCs w:val="28"/>
        </w:rPr>
        <w:t>美油和</w:t>
      </w:r>
      <w:proofErr w:type="gramEnd"/>
      <w:r w:rsidRPr="00A20241">
        <w:rPr>
          <w:rFonts w:ascii="华文仿宋" w:eastAsia="华文仿宋" w:hAnsi="华文仿宋"/>
          <w:sz w:val="28"/>
          <w:szCs w:val="28"/>
        </w:rPr>
        <w:t>伊朗原油相比，在价格和运输成本方面依然相形见绌。</w:t>
      </w:r>
    </w:p>
    <w:p w:rsidR="00D84ADA" w:rsidRPr="00A20241" w:rsidRDefault="00D84ADA" w:rsidP="00D84ADA">
      <w:pPr>
        <w:pStyle w:val="aa"/>
        <w:rPr>
          <w:rFonts w:ascii="华文仿宋" w:eastAsia="华文仿宋" w:hAnsi="华文仿宋"/>
          <w:sz w:val="28"/>
          <w:szCs w:val="28"/>
        </w:rPr>
      </w:pPr>
      <w:r w:rsidRPr="00A20241">
        <w:rPr>
          <w:rFonts w:ascii="华文仿宋" w:eastAsia="华文仿宋" w:hAnsi="华文仿宋"/>
          <w:sz w:val="28"/>
          <w:szCs w:val="28"/>
        </w:rPr>
        <w:lastRenderedPageBreak/>
        <w:t xml:space="preserve">　　近年来，印度和伊朗的关系处于稳固上升的阶段，两国共同提倡的巴哈尔港项目的建设有助于进一步提高双边的贸易往来。但是随着美国制裁加剧，这可能或导致该项目的进一步推迟，并进一步阻碍伊朗的原油出口。</w:t>
      </w:r>
    </w:p>
    <w:p w:rsidR="00D84ADA" w:rsidRPr="00A20241" w:rsidRDefault="00D84ADA" w:rsidP="00D84ADA">
      <w:pPr>
        <w:pStyle w:val="aa"/>
        <w:rPr>
          <w:rFonts w:ascii="华文仿宋" w:eastAsia="华文仿宋" w:hAnsi="华文仿宋"/>
          <w:sz w:val="28"/>
          <w:szCs w:val="28"/>
        </w:rPr>
      </w:pPr>
      <w:r w:rsidRPr="00A20241">
        <w:rPr>
          <w:rFonts w:ascii="华文仿宋" w:eastAsia="华文仿宋" w:hAnsi="华文仿宋"/>
          <w:sz w:val="28"/>
          <w:szCs w:val="28"/>
        </w:rPr>
        <w:t xml:space="preserve">　　而随着伊朗国内局势的不断恶化，伊朗正在削减所有品级的9月原油的价格，以维持11月之前维持各进口国的原油购买。事实上，自从7月美国宣布制裁以来，韩国已经完全停止了购买，而日本也表示将会和阿联酋一样遵循美国的路线，这使得伊朗的原油出口下降了20%。</w:t>
      </w:r>
    </w:p>
    <w:p w:rsidR="00D84ADA" w:rsidRPr="00A20241" w:rsidRDefault="00D84ADA" w:rsidP="00D84ADA">
      <w:pPr>
        <w:pStyle w:val="aa"/>
        <w:rPr>
          <w:rFonts w:ascii="华文仿宋" w:eastAsia="华文仿宋" w:hAnsi="华文仿宋"/>
          <w:sz w:val="28"/>
          <w:szCs w:val="28"/>
        </w:rPr>
      </w:pPr>
      <w:r w:rsidRPr="00A20241">
        <w:rPr>
          <w:rFonts w:ascii="华文仿宋" w:eastAsia="华文仿宋" w:hAnsi="华文仿宋"/>
          <w:sz w:val="28"/>
          <w:szCs w:val="28"/>
        </w:rPr>
        <w:t xml:space="preserve">　　相比于日韩等国，印度和中国的伊朗原油进口量占伊朗原油出口量的一半以上，因此较大的原油需求使得印度很难在短时间找到合适的替代者，目前印度正在努力的实现能源进口多样化，如果最终未能获得美国的制裁豁免，印度将不得不选择美国的原油进口，在此之前，印度可能将努力维持伊朗原油的进口。</w:t>
      </w:r>
    </w:p>
    <w:p w:rsidR="00D84ADA" w:rsidRPr="00A20241" w:rsidRDefault="00D84ADA" w:rsidP="00D84ADA">
      <w:pPr>
        <w:pStyle w:val="aa"/>
        <w:rPr>
          <w:rFonts w:ascii="华文仿宋" w:eastAsia="华文仿宋" w:hAnsi="华文仿宋"/>
          <w:sz w:val="28"/>
          <w:szCs w:val="28"/>
        </w:rPr>
      </w:pPr>
      <w:r w:rsidRPr="00A20241">
        <w:rPr>
          <w:rFonts w:ascii="华文仿宋" w:eastAsia="华文仿宋" w:hAnsi="华文仿宋"/>
          <w:sz w:val="28"/>
          <w:szCs w:val="28"/>
        </w:rPr>
        <w:t xml:space="preserve">　　而对于印度国内而言，油价的不断上涨将可能对莫迪的再次当选产生不利的影响，因此莫迪政府当前的首要任务依然是使得油价维持在低位。如果印度进口美国原油无法压低国内油价的话，为了获得廉价的能源进口，印度可能会选择无视美国的制裁并继续购买伊朗原油。</w:t>
      </w:r>
    </w:p>
    <w:p w:rsidR="00150B7B" w:rsidRPr="00D84ADA" w:rsidRDefault="00150B7B" w:rsidP="00D84ADA">
      <w:pPr>
        <w:ind w:left="298"/>
        <w:outlineLvl w:val="1"/>
        <w:rPr>
          <w:rFonts w:ascii="华文仿宋" w:eastAsia="华文仿宋" w:hAnsi="华文仿宋"/>
          <w:sz w:val="28"/>
          <w:szCs w:val="28"/>
        </w:rPr>
      </w:pPr>
    </w:p>
    <w:p w:rsidR="00150B7B" w:rsidRDefault="00150B7B">
      <w:pPr>
        <w:outlineLvl w:val="1"/>
        <w:rPr>
          <w:rFonts w:ascii="宋体" w:hAnsi="宋体" w:cs="Arial"/>
          <w:b/>
          <w:bCs/>
          <w:kern w:val="0"/>
          <w:sz w:val="32"/>
          <w:szCs w:val="32"/>
        </w:rPr>
      </w:pPr>
      <w:r>
        <w:rPr>
          <w:rFonts w:ascii="宋体" w:hAnsi="宋体" w:cs="宋体" w:hint="eastAsia"/>
          <w:b/>
          <w:sz w:val="32"/>
          <w:szCs w:val="32"/>
        </w:rPr>
        <w:t>三</w:t>
      </w:r>
      <w:r>
        <w:rPr>
          <w:rFonts w:ascii="宋体" w:hAnsi="宋体" w:cs="Arial" w:hint="eastAsia"/>
          <w:b/>
          <w:bCs/>
          <w:kern w:val="0"/>
          <w:sz w:val="32"/>
          <w:szCs w:val="32"/>
        </w:rPr>
        <w:t>、2018年3月份全国原油进出口统计数据</w:t>
      </w:r>
      <w:bookmarkEnd w:id="18"/>
    </w:p>
    <w:p w:rsidR="00150B7B" w:rsidRDefault="00150B7B">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单位：千克，美元</w:t>
      </w:r>
    </w:p>
    <w:tbl>
      <w:tblPr>
        <w:tblW w:w="9776" w:type="dxa"/>
        <w:tblLayout w:type="fixed"/>
        <w:tblCellMar>
          <w:top w:w="15" w:type="dxa"/>
          <w:left w:w="15" w:type="dxa"/>
          <w:bottom w:w="15" w:type="dxa"/>
          <w:right w:w="15" w:type="dxa"/>
        </w:tblCellMar>
        <w:tblLook w:val="04A0"/>
      </w:tblPr>
      <w:tblGrid>
        <w:gridCol w:w="2817"/>
        <w:gridCol w:w="1917"/>
        <w:gridCol w:w="1751"/>
        <w:gridCol w:w="1705"/>
        <w:gridCol w:w="1586"/>
      </w:tblGrid>
      <w:tr w:rsidR="00150B7B">
        <w:trPr>
          <w:trHeight w:val="285"/>
        </w:trPr>
        <w:tc>
          <w:tcPr>
            <w:tcW w:w="281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产销国</w:t>
            </w:r>
          </w:p>
        </w:tc>
        <w:tc>
          <w:tcPr>
            <w:tcW w:w="191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进口数量</w:t>
            </w:r>
          </w:p>
        </w:tc>
        <w:tc>
          <w:tcPr>
            <w:tcW w:w="17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进口美元</w:t>
            </w:r>
          </w:p>
        </w:tc>
        <w:tc>
          <w:tcPr>
            <w:tcW w:w="170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出口数量</w:t>
            </w:r>
          </w:p>
        </w:tc>
        <w:tc>
          <w:tcPr>
            <w:tcW w:w="158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出口美元</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也门共和国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139671930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69119063</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伊拉克</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54934951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25276930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伊朗</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440303947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199663370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俄罗斯联邦</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1125496577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529265485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刚果</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399235103</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171863588</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利比亚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141476160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67854272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加拿大</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76290531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31718391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加纳</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132613900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67604302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加蓬</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88806062</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40929256</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南苏丹共和国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86617693</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38288189</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卡塔尔</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140308081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68680806</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印度尼西亚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24929000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9956375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厄瓜多尔</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98808670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44149393</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台湾省</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191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哈萨克斯坦</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118464387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50847984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哥伦比亚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73119341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34614401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喀麦隆</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127234200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61054525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埃及</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82456238</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41579207</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墨西哥</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72940642</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28952365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委内瑞拉</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137333838</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52674864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安哥拉</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317024045</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142854940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巴西</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232662507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114018194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111802311</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47612621</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沙特阿拉伯</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393253610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182238617</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41459901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18538310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澳大利亚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78507300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28973271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科威特</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131271500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65493282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124388784</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64927951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苏丹</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86057871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42347044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英国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135125522</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69997762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蒙古</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3494580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1533530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赤道几内亚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270410190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132949102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越南</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37323920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19945663</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阿拉伯联合酋长国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132441043</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71192358</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阿曼</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130202825</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61214569</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244574704</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99332431</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145169178</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65097431</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马来西亚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146548051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63398782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bl>
    <w:p w:rsidR="00150B7B" w:rsidRDefault="00150B7B">
      <w:pPr>
        <w:widowControl/>
        <w:spacing w:line="260" w:lineRule="atLeast"/>
        <w:jc w:val="center"/>
        <w:rPr>
          <w:rFonts w:ascii="宋体" w:hAnsi="宋体" w:cs="宋体"/>
          <w:b/>
          <w:bCs/>
          <w:kern w:val="0"/>
          <w:szCs w:val="21"/>
        </w:rPr>
      </w:pPr>
    </w:p>
    <w:p w:rsidR="00150B7B" w:rsidRDefault="00150B7B">
      <w:pPr>
        <w:widowControl/>
        <w:spacing w:line="260" w:lineRule="atLeast"/>
        <w:jc w:val="center"/>
        <w:rPr>
          <w:rFonts w:ascii="宋体" w:hAnsi="宋体" w:cs="宋体"/>
          <w:b/>
          <w:bCs/>
          <w:kern w:val="0"/>
          <w:szCs w:val="21"/>
        </w:rPr>
      </w:pPr>
    </w:p>
    <w:p w:rsidR="00150B7B" w:rsidRDefault="00150B7B">
      <w:pPr>
        <w:tabs>
          <w:tab w:val="left" w:pos="798"/>
        </w:tabs>
        <w:outlineLvl w:val="1"/>
        <w:rPr>
          <w:rFonts w:ascii="仿宋_GB2312" w:eastAsia="仿宋_GB2312" w:hAnsi="宋体" w:cs="Arial"/>
          <w:b/>
          <w:bCs/>
          <w:kern w:val="0"/>
          <w:sz w:val="30"/>
          <w:szCs w:val="30"/>
        </w:rPr>
      </w:pPr>
      <w:bookmarkStart w:id="21" w:name="_Toc505350006"/>
    </w:p>
    <w:p w:rsidR="00150B7B" w:rsidRDefault="00150B7B">
      <w:pPr>
        <w:tabs>
          <w:tab w:val="left" w:pos="798"/>
        </w:tabs>
        <w:outlineLvl w:val="1"/>
        <w:rPr>
          <w:rFonts w:ascii="宋体" w:hAnsi="宋体" w:cs="宋体"/>
          <w:b/>
          <w:bCs/>
          <w:kern w:val="0"/>
          <w:sz w:val="32"/>
          <w:szCs w:val="32"/>
        </w:rPr>
      </w:pPr>
      <w:r>
        <w:rPr>
          <w:rFonts w:ascii="宋体" w:hAnsi="宋体" w:cs="宋体" w:hint="eastAsia"/>
          <w:b/>
          <w:bCs/>
          <w:kern w:val="0"/>
          <w:sz w:val="32"/>
          <w:szCs w:val="32"/>
        </w:rPr>
        <w:t>（四）、后市预测</w:t>
      </w:r>
      <w:bookmarkEnd w:id="21"/>
    </w:p>
    <w:p w:rsidR="00D84ADA" w:rsidRPr="003E4341" w:rsidRDefault="00D84ADA" w:rsidP="00D84ADA">
      <w:pPr>
        <w:pStyle w:val="aa"/>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本周WTI原油价格在65.01-67.63美元/桶，布伦特原油价格在70.76-72.81美元/桶震荡。</w:t>
      </w:r>
      <w:r w:rsidRPr="009D1344">
        <w:rPr>
          <w:rFonts w:ascii="华文仿宋" w:eastAsia="华文仿宋" w:hAnsi="华文仿宋"/>
          <w:sz w:val="28"/>
          <w:szCs w:val="28"/>
        </w:rPr>
        <w:t>周内国际原油市场中受全球经济形势的悲观前景</w:t>
      </w:r>
      <w:proofErr w:type="gramStart"/>
      <w:r w:rsidRPr="009D1344">
        <w:rPr>
          <w:rFonts w:ascii="华文仿宋" w:eastAsia="华文仿宋" w:hAnsi="华文仿宋"/>
          <w:sz w:val="28"/>
          <w:szCs w:val="28"/>
        </w:rPr>
        <w:t>恐</w:t>
      </w:r>
      <w:proofErr w:type="gramEnd"/>
      <w:r w:rsidRPr="009D1344">
        <w:rPr>
          <w:rFonts w:ascii="华文仿宋" w:eastAsia="华文仿宋" w:hAnsi="华文仿宋"/>
          <w:sz w:val="28"/>
          <w:szCs w:val="28"/>
        </w:rPr>
        <w:t>影响原油需求表现，而美国原油库存报告又整体利空，美元维持强势等利空因素的共同作用，国际原油价格呈现全面下跌的态势。周内前期，市场对伊朗原油供应将会受损的担忧情绪有所缓和，而与此同时中国的原油需求出现下降，投资者在中国原油需求下降与地缘政治紧张形势之间</w:t>
      </w:r>
      <w:proofErr w:type="gramStart"/>
      <w:r w:rsidRPr="009D1344">
        <w:rPr>
          <w:rFonts w:ascii="华文仿宋" w:eastAsia="华文仿宋" w:hAnsi="华文仿宋"/>
          <w:sz w:val="28"/>
          <w:szCs w:val="28"/>
        </w:rPr>
        <w:t>作出</w:t>
      </w:r>
      <w:proofErr w:type="gramEnd"/>
      <w:r w:rsidRPr="009D1344">
        <w:rPr>
          <w:rFonts w:ascii="华文仿宋" w:eastAsia="华文仿宋" w:hAnsi="华文仿宋"/>
          <w:sz w:val="28"/>
          <w:szCs w:val="28"/>
        </w:rPr>
        <w:t>权衡</w:t>
      </w:r>
      <w:proofErr w:type="gramStart"/>
      <w:r w:rsidRPr="009D1344">
        <w:rPr>
          <w:rFonts w:ascii="华文仿宋" w:eastAsia="华文仿宋" w:hAnsi="华文仿宋"/>
          <w:sz w:val="28"/>
          <w:szCs w:val="28"/>
        </w:rPr>
        <w:t>考量</w:t>
      </w:r>
      <w:proofErr w:type="gramEnd"/>
      <w:r w:rsidRPr="009D1344">
        <w:rPr>
          <w:rFonts w:ascii="华文仿宋" w:eastAsia="华文仿宋" w:hAnsi="华文仿宋"/>
          <w:sz w:val="28"/>
          <w:szCs w:val="28"/>
        </w:rPr>
        <w:t>，加之美元强势走高以及美国原油库存报告整体利空，令油价面临下行压力，之后OPEC公布的月报显示，虽然7月份沙特阿拉伯的原油产量有所下降，但整体而言，该组织成员国7月总产量仍录得上涨，另外，月报下调明年全球原油需求预期，油价承压下挫;周内后期，投资者在EIA库存公布前保持谨慎，但对土耳其危机的担忧情绪推动美元保持强劲涨势，加大了油价下行压力，随后，EIA最新一期库存报告显示，美国原油库存及产量双双增长，同时精炼油</w:t>
      </w:r>
      <w:proofErr w:type="gramStart"/>
      <w:r w:rsidRPr="009D1344">
        <w:rPr>
          <w:rFonts w:ascii="华文仿宋" w:eastAsia="华文仿宋" w:hAnsi="华文仿宋"/>
          <w:sz w:val="28"/>
          <w:szCs w:val="28"/>
        </w:rPr>
        <w:t>和库欣库存</w:t>
      </w:r>
      <w:proofErr w:type="gramEnd"/>
      <w:r w:rsidRPr="009D1344">
        <w:rPr>
          <w:rFonts w:ascii="华文仿宋" w:eastAsia="华文仿宋" w:hAnsi="华文仿宋"/>
          <w:sz w:val="28"/>
          <w:szCs w:val="28"/>
        </w:rPr>
        <w:t>也大幅攀升，油价承压大幅下挫，国际油价双双下跌。此外，美国油服公司贝克休斯(Baker Hughes)周五(8月10日)公布数据显示，截至8月10日当周，美国石油活跃钻井数激增10座至869座，连续三周首次录得上涨。石油输出国组织(OPEC)公布的2018年7月月度原油市场报告显示，该组织7月原油产量增加4.1万桶/日至3232.3万桶/日。其中，科威特日产增加78万桶/日至2791万桶/日。整体看来，周内国际原油市场中利空消息占据主导地位，国际油价全面下跌。其中WTI期货本周均价66.74美元/桶，较上周下跌2.59%，较上月下跌5.58%;本周布伦特期货均价72.14美元/桶，较上周下跌1.81%，较上月下跌3.69%。后市预测：目前美国已经</w:t>
      </w:r>
      <w:proofErr w:type="gramStart"/>
      <w:r w:rsidRPr="009D1344">
        <w:rPr>
          <w:rFonts w:ascii="华文仿宋" w:eastAsia="华文仿宋" w:hAnsi="华文仿宋"/>
          <w:sz w:val="28"/>
          <w:szCs w:val="28"/>
        </w:rPr>
        <w:t>重启对伊朗</w:t>
      </w:r>
      <w:proofErr w:type="gramEnd"/>
      <w:r w:rsidRPr="009D1344">
        <w:rPr>
          <w:rFonts w:ascii="华文仿宋" w:eastAsia="华文仿宋" w:hAnsi="华文仿宋"/>
          <w:sz w:val="28"/>
          <w:szCs w:val="28"/>
        </w:rPr>
        <w:t>制裁，主要目的是限制伊朗的原油出口，从而增加全球能源供应短缺的风险，但美国当周精炼厂设备利用率增加，另外，美国原油产量录得增加，在此之前，土耳其经济崩</w:t>
      </w:r>
      <w:r w:rsidRPr="009D1344">
        <w:rPr>
          <w:rFonts w:ascii="华文仿宋" w:eastAsia="华文仿宋" w:hAnsi="华文仿宋"/>
          <w:sz w:val="28"/>
          <w:szCs w:val="28"/>
        </w:rPr>
        <w:lastRenderedPageBreak/>
        <w:t>盘影响持续发酵，市场担心全球经济增速可能放缓，这已经令原油需求蒙上阴影，加之，全球经济形势的悲观前景</w:t>
      </w:r>
      <w:proofErr w:type="gramStart"/>
      <w:r w:rsidRPr="009D1344">
        <w:rPr>
          <w:rFonts w:ascii="华文仿宋" w:eastAsia="华文仿宋" w:hAnsi="华文仿宋"/>
          <w:sz w:val="28"/>
          <w:szCs w:val="28"/>
        </w:rPr>
        <w:t>恐</w:t>
      </w:r>
      <w:proofErr w:type="gramEnd"/>
      <w:r w:rsidRPr="009D1344">
        <w:rPr>
          <w:rFonts w:ascii="华文仿宋" w:eastAsia="华文仿宋" w:hAnsi="华文仿宋"/>
          <w:sz w:val="28"/>
          <w:szCs w:val="28"/>
        </w:rPr>
        <w:t>影响原油需求表现，在多重因素的影响下，未来原油市场供求的不确定性将大幅增加，综合而言，市场消息面若无重大利好出现，国际原油将保持震荡下行走势。预计近期WTI原油期货价格在65-68美元/桶之间浮动，布伦特原油期货均价在70-73美元/桶之间浮动。</w:t>
      </w:r>
    </w:p>
    <w:p w:rsidR="00150B7B" w:rsidRPr="00D84ADA" w:rsidRDefault="00150B7B" w:rsidP="00FE2871">
      <w:pPr>
        <w:ind w:leftChars="99" w:left="208"/>
        <w:outlineLvl w:val="1"/>
        <w:rPr>
          <w:rFonts w:ascii="仿宋_GB2312" w:eastAsia="仿宋_GB2312" w:hAnsi="宋体" w:cs="Arial"/>
          <w:b/>
          <w:bCs/>
          <w:kern w:val="0"/>
          <w:sz w:val="30"/>
          <w:szCs w:val="30"/>
        </w:rPr>
      </w:pPr>
    </w:p>
    <w:p w:rsidR="00150B7B" w:rsidRDefault="00150B7B">
      <w:pPr>
        <w:spacing w:line="360" w:lineRule="auto"/>
        <w:outlineLvl w:val="0"/>
        <w:rPr>
          <w:rFonts w:ascii="黑体" w:eastAsia="黑体" w:hAnsi="宋体"/>
          <w:b/>
          <w:sz w:val="28"/>
          <w:szCs w:val="28"/>
        </w:rPr>
      </w:pPr>
      <w:bookmarkStart w:id="22" w:name="_Toc505350007"/>
      <w:r>
        <w:rPr>
          <w:rFonts w:ascii="黑体" w:eastAsia="黑体" w:hAnsi="宋体" w:hint="eastAsia"/>
          <w:b/>
          <w:sz w:val="28"/>
          <w:szCs w:val="28"/>
        </w:rPr>
        <w:t>二、 石脑油</w:t>
      </w:r>
      <w:bookmarkEnd w:id="22"/>
    </w:p>
    <w:p w:rsidR="00150B7B" w:rsidRDefault="00150B7B">
      <w:pPr>
        <w:spacing w:line="360" w:lineRule="auto"/>
        <w:outlineLvl w:val="0"/>
        <w:rPr>
          <w:rFonts w:ascii="黑体" w:eastAsia="黑体" w:hAnsi="宋体"/>
          <w:b/>
          <w:sz w:val="28"/>
          <w:szCs w:val="28"/>
        </w:rPr>
      </w:pPr>
    </w:p>
    <w:p w:rsidR="00150B7B" w:rsidRDefault="00150B7B">
      <w:pPr>
        <w:pStyle w:val="2"/>
        <w:spacing w:line="240" w:lineRule="auto"/>
        <w:rPr>
          <w:rFonts w:ascii="宋体" w:hAnsi="宋体" w:cs="Arial"/>
          <w:b w:val="0"/>
          <w:bCs w:val="0"/>
          <w:kern w:val="0"/>
          <w:szCs w:val="28"/>
        </w:rPr>
      </w:pPr>
      <w:bookmarkStart w:id="23" w:name="_Toc460250404"/>
      <w:bookmarkStart w:id="24" w:name="_Toc505350008"/>
      <w:r>
        <w:rPr>
          <w:rFonts w:hint="eastAsia"/>
        </w:rPr>
        <w:t>2. 1</w:t>
      </w:r>
      <w:r>
        <w:rPr>
          <w:rFonts w:hint="eastAsia"/>
          <w:kern w:val="0"/>
        </w:rPr>
        <w:t>国际石脑油市场价格</w:t>
      </w:r>
      <w:bookmarkEnd w:id="13"/>
      <w:bookmarkEnd w:id="14"/>
      <w:bookmarkEnd w:id="23"/>
      <w:bookmarkEnd w:id="24"/>
    </w:p>
    <w:p w:rsidR="00150B7B" w:rsidRDefault="00150B7B">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150B7B" w:rsidRDefault="00150B7B">
      <w:pPr>
        <w:widowControl/>
        <w:rPr>
          <w:rFonts w:ascii="宋体" w:hAnsi="宋体" w:cs="宋体"/>
          <w:sz w:val="20"/>
          <w:szCs w:val="20"/>
        </w:rPr>
      </w:pPr>
    </w:p>
    <w:tbl>
      <w:tblPr>
        <w:tblStyle w:val="af1"/>
        <w:tblW w:w="5000" w:type="pct"/>
        <w:tblLook w:val="04A0"/>
      </w:tblPr>
      <w:tblGrid>
        <w:gridCol w:w="1792"/>
        <w:gridCol w:w="2111"/>
        <w:gridCol w:w="1586"/>
        <w:gridCol w:w="2142"/>
        <w:gridCol w:w="2331"/>
      </w:tblGrid>
      <w:tr w:rsidR="00774217" w:rsidRPr="00774217" w:rsidTr="00774217">
        <w:trPr>
          <w:trHeight w:val="753"/>
        </w:trPr>
        <w:tc>
          <w:tcPr>
            <w:tcW w:w="899" w:type="pct"/>
            <w:shd w:val="clear" w:color="auto" w:fill="00B0F0"/>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bookmarkStart w:id="25" w:name="_Toc505350009"/>
            <w:bookmarkStart w:id="26" w:name="_Toc296600812"/>
            <w:bookmarkStart w:id="27" w:name="_Toc281568202"/>
            <w:bookmarkStart w:id="28" w:name="_Toc239847715"/>
            <w:bookmarkStart w:id="29" w:name="_Toc460250405"/>
            <w:r w:rsidRPr="00AE2B20">
              <w:rPr>
                <w:rFonts w:ascii="华文仿宋" w:eastAsia="华文仿宋" w:hAnsi="华文仿宋" w:cs="宋体" w:hint="eastAsia"/>
                <w:color w:val="000000"/>
                <w:kern w:val="0"/>
                <w:sz w:val="28"/>
                <w:szCs w:val="28"/>
              </w:rPr>
              <w:t>8月16</w:t>
            </w:r>
            <w:r w:rsidRPr="00774217">
              <w:rPr>
                <w:rFonts w:ascii="华文仿宋" w:eastAsia="华文仿宋" w:hAnsi="华文仿宋" w:cs="宋体" w:hint="eastAsia"/>
                <w:color w:val="000000"/>
                <w:kern w:val="0"/>
                <w:sz w:val="28"/>
                <w:szCs w:val="28"/>
              </w:rPr>
              <w:t>日</w:t>
            </w:r>
          </w:p>
        </w:tc>
        <w:tc>
          <w:tcPr>
            <w:tcW w:w="1059" w:type="pct"/>
            <w:shd w:val="clear" w:color="auto" w:fill="00B0F0"/>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低端价（美元/吨）</w:t>
            </w:r>
          </w:p>
        </w:tc>
        <w:tc>
          <w:tcPr>
            <w:tcW w:w="796" w:type="pct"/>
            <w:shd w:val="clear" w:color="auto" w:fill="00B0F0"/>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高端价（美元/吨）</w:t>
            </w:r>
          </w:p>
        </w:tc>
        <w:tc>
          <w:tcPr>
            <w:tcW w:w="1075" w:type="pct"/>
            <w:shd w:val="clear" w:color="auto" w:fill="00B0F0"/>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均价涨跌幅</w:t>
            </w:r>
          </w:p>
        </w:tc>
        <w:tc>
          <w:tcPr>
            <w:tcW w:w="1170" w:type="pct"/>
            <w:shd w:val="clear" w:color="auto" w:fill="00B0F0"/>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美分/加仑</w:t>
            </w:r>
          </w:p>
        </w:tc>
      </w:tr>
      <w:tr w:rsidR="00774217" w:rsidRPr="00774217" w:rsidTr="00774217">
        <w:trPr>
          <w:trHeight w:val="318"/>
        </w:trPr>
        <w:tc>
          <w:tcPr>
            <w:tcW w:w="89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新加坡</w:t>
            </w:r>
          </w:p>
        </w:tc>
        <w:tc>
          <w:tcPr>
            <w:tcW w:w="105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69.40</w:t>
            </w:r>
          </w:p>
        </w:tc>
        <w:tc>
          <w:tcPr>
            <w:tcW w:w="796"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69.44</w:t>
            </w:r>
          </w:p>
        </w:tc>
        <w:tc>
          <w:tcPr>
            <w:tcW w:w="1075"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-0.830</w:t>
            </w:r>
          </w:p>
        </w:tc>
        <w:tc>
          <w:tcPr>
            <w:tcW w:w="1170"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165.238-165.333</w:t>
            </w:r>
          </w:p>
        </w:tc>
      </w:tr>
      <w:tr w:rsidR="00774217" w:rsidRPr="00774217" w:rsidTr="00774217">
        <w:trPr>
          <w:trHeight w:val="318"/>
        </w:trPr>
        <w:tc>
          <w:tcPr>
            <w:tcW w:w="89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日本</w:t>
            </w:r>
          </w:p>
        </w:tc>
        <w:tc>
          <w:tcPr>
            <w:tcW w:w="105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632.75</w:t>
            </w:r>
          </w:p>
        </w:tc>
        <w:tc>
          <w:tcPr>
            <w:tcW w:w="796"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635.50</w:t>
            </w:r>
          </w:p>
        </w:tc>
        <w:tc>
          <w:tcPr>
            <w:tcW w:w="1075"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-9.875</w:t>
            </w:r>
          </w:p>
        </w:tc>
        <w:tc>
          <w:tcPr>
            <w:tcW w:w="1170"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167.394-168.122</w:t>
            </w:r>
          </w:p>
        </w:tc>
      </w:tr>
      <w:tr w:rsidR="00774217" w:rsidRPr="00774217" w:rsidTr="00774217">
        <w:trPr>
          <w:trHeight w:val="318"/>
        </w:trPr>
        <w:tc>
          <w:tcPr>
            <w:tcW w:w="89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阿拉伯海湾</w:t>
            </w:r>
          </w:p>
        </w:tc>
        <w:tc>
          <w:tcPr>
            <w:tcW w:w="105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611.93</w:t>
            </w:r>
          </w:p>
        </w:tc>
        <w:tc>
          <w:tcPr>
            <w:tcW w:w="796"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614.68</w:t>
            </w:r>
          </w:p>
        </w:tc>
        <w:tc>
          <w:tcPr>
            <w:tcW w:w="1075"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-10.615</w:t>
            </w:r>
          </w:p>
        </w:tc>
        <w:tc>
          <w:tcPr>
            <w:tcW w:w="1170"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161.886-162.614</w:t>
            </w:r>
          </w:p>
        </w:tc>
      </w:tr>
      <w:tr w:rsidR="00774217" w:rsidRPr="00774217" w:rsidTr="00774217">
        <w:trPr>
          <w:trHeight w:val="753"/>
        </w:trPr>
        <w:tc>
          <w:tcPr>
            <w:tcW w:w="89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阿姆斯特丹、鹿特丹、安特卫普到岸价</w:t>
            </w:r>
          </w:p>
        </w:tc>
        <w:tc>
          <w:tcPr>
            <w:tcW w:w="105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618.00</w:t>
            </w:r>
          </w:p>
        </w:tc>
        <w:tc>
          <w:tcPr>
            <w:tcW w:w="796"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618.50</w:t>
            </w:r>
          </w:p>
        </w:tc>
        <w:tc>
          <w:tcPr>
            <w:tcW w:w="1075"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-0.500</w:t>
            </w:r>
          </w:p>
        </w:tc>
        <w:tc>
          <w:tcPr>
            <w:tcW w:w="1170"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165.241-165.374</w:t>
            </w:r>
          </w:p>
        </w:tc>
      </w:tr>
      <w:tr w:rsidR="00774217" w:rsidRPr="00774217" w:rsidTr="00774217">
        <w:trPr>
          <w:trHeight w:val="318"/>
        </w:trPr>
        <w:tc>
          <w:tcPr>
            <w:tcW w:w="89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鹿特丹船货价</w:t>
            </w:r>
          </w:p>
        </w:tc>
        <w:tc>
          <w:tcPr>
            <w:tcW w:w="105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614.00</w:t>
            </w:r>
          </w:p>
        </w:tc>
        <w:tc>
          <w:tcPr>
            <w:tcW w:w="796"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614.50</w:t>
            </w:r>
          </w:p>
        </w:tc>
        <w:tc>
          <w:tcPr>
            <w:tcW w:w="1075"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-0.500</w:t>
            </w:r>
          </w:p>
        </w:tc>
        <w:tc>
          <w:tcPr>
            <w:tcW w:w="1170"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164.171-164.305</w:t>
            </w:r>
          </w:p>
        </w:tc>
      </w:tr>
      <w:tr w:rsidR="00774217" w:rsidRPr="00774217" w:rsidTr="00774217">
        <w:trPr>
          <w:trHeight w:val="318"/>
        </w:trPr>
        <w:tc>
          <w:tcPr>
            <w:tcW w:w="89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lastRenderedPageBreak/>
              <w:t>地中海离岸价</w:t>
            </w:r>
          </w:p>
        </w:tc>
        <w:tc>
          <w:tcPr>
            <w:tcW w:w="105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602.50</w:t>
            </w:r>
          </w:p>
        </w:tc>
        <w:tc>
          <w:tcPr>
            <w:tcW w:w="796"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603.00</w:t>
            </w:r>
          </w:p>
        </w:tc>
        <w:tc>
          <w:tcPr>
            <w:tcW w:w="1075"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-0.500</w:t>
            </w:r>
          </w:p>
        </w:tc>
        <w:tc>
          <w:tcPr>
            <w:tcW w:w="1170"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161.096-161.230</w:t>
            </w:r>
          </w:p>
        </w:tc>
      </w:tr>
      <w:tr w:rsidR="00774217" w:rsidRPr="00774217" w:rsidTr="00774217">
        <w:trPr>
          <w:trHeight w:val="318"/>
        </w:trPr>
        <w:tc>
          <w:tcPr>
            <w:tcW w:w="89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热那亚到岸价</w:t>
            </w:r>
          </w:p>
        </w:tc>
        <w:tc>
          <w:tcPr>
            <w:tcW w:w="105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611.25</w:t>
            </w:r>
          </w:p>
        </w:tc>
        <w:tc>
          <w:tcPr>
            <w:tcW w:w="796"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611.75</w:t>
            </w:r>
          </w:p>
        </w:tc>
        <w:tc>
          <w:tcPr>
            <w:tcW w:w="1075"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-0.500</w:t>
            </w:r>
          </w:p>
        </w:tc>
        <w:tc>
          <w:tcPr>
            <w:tcW w:w="1170"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163.436-163.570</w:t>
            </w:r>
          </w:p>
        </w:tc>
      </w:tr>
      <w:tr w:rsidR="00774217" w:rsidRPr="00774217" w:rsidTr="00774217">
        <w:trPr>
          <w:trHeight w:val="318"/>
        </w:trPr>
        <w:tc>
          <w:tcPr>
            <w:tcW w:w="89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美国墨西哥湾</w:t>
            </w:r>
          </w:p>
        </w:tc>
        <w:tc>
          <w:tcPr>
            <w:tcW w:w="105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642.73</w:t>
            </w:r>
          </w:p>
        </w:tc>
        <w:tc>
          <w:tcPr>
            <w:tcW w:w="796"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642.83</w:t>
            </w:r>
          </w:p>
        </w:tc>
        <w:tc>
          <w:tcPr>
            <w:tcW w:w="1075"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-1.100美分/加仑</w:t>
            </w:r>
          </w:p>
        </w:tc>
        <w:tc>
          <w:tcPr>
            <w:tcW w:w="1170"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183.590-183.690</w:t>
            </w:r>
          </w:p>
        </w:tc>
      </w:tr>
      <w:tr w:rsidR="00774217" w:rsidRPr="00774217" w:rsidTr="00774217">
        <w:trPr>
          <w:trHeight w:val="318"/>
        </w:trPr>
        <w:tc>
          <w:tcPr>
            <w:tcW w:w="89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加勒比海</w:t>
            </w:r>
          </w:p>
        </w:tc>
        <w:tc>
          <w:tcPr>
            <w:tcW w:w="1059"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w:t>
            </w:r>
          </w:p>
        </w:tc>
        <w:tc>
          <w:tcPr>
            <w:tcW w:w="796"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w:t>
            </w:r>
          </w:p>
        </w:tc>
        <w:tc>
          <w:tcPr>
            <w:tcW w:w="1075"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w:t>
            </w:r>
          </w:p>
        </w:tc>
        <w:tc>
          <w:tcPr>
            <w:tcW w:w="1170" w:type="pct"/>
            <w:hideMark/>
          </w:tcPr>
          <w:p w:rsidR="00AE2B20" w:rsidRPr="00AE2B20" w:rsidRDefault="00774217" w:rsidP="00F3311A">
            <w:pPr>
              <w:widowControl/>
              <w:spacing w:line="435" w:lineRule="atLeast"/>
              <w:jc w:val="center"/>
              <w:rPr>
                <w:rFonts w:ascii="华文仿宋" w:eastAsia="华文仿宋" w:hAnsi="华文仿宋" w:cs="宋体"/>
                <w:color w:val="000000"/>
                <w:kern w:val="0"/>
                <w:sz w:val="28"/>
                <w:szCs w:val="28"/>
              </w:rPr>
            </w:pPr>
            <w:r w:rsidRPr="00AE2B20">
              <w:rPr>
                <w:rFonts w:ascii="华文仿宋" w:eastAsia="华文仿宋" w:hAnsi="华文仿宋" w:cs="宋体" w:hint="eastAsia"/>
                <w:color w:val="000000"/>
                <w:kern w:val="0"/>
                <w:sz w:val="28"/>
                <w:szCs w:val="28"/>
              </w:rPr>
              <w:t>-</w:t>
            </w:r>
          </w:p>
        </w:tc>
      </w:tr>
    </w:tbl>
    <w:p w:rsidR="00150B7B" w:rsidRDefault="00150B7B">
      <w:pPr>
        <w:pStyle w:val="2"/>
        <w:spacing w:line="240" w:lineRule="auto"/>
        <w:rPr>
          <w:rFonts w:ascii="华文仿宋" w:eastAsia="华文仿宋" w:hAnsi="华文仿宋" w:cs="宋体"/>
          <w:b w:val="0"/>
          <w:bCs w:val="0"/>
          <w:kern w:val="0"/>
          <w:szCs w:val="28"/>
        </w:rPr>
      </w:pPr>
    </w:p>
    <w:p w:rsidR="00150B7B" w:rsidRDefault="00150B7B">
      <w:pPr>
        <w:rPr>
          <w:rFonts w:ascii="华文仿宋" w:eastAsia="华文仿宋" w:hAnsi="华文仿宋" w:cs="宋体"/>
          <w:kern w:val="0"/>
          <w:szCs w:val="28"/>
        </w:rPr>
      </w:pPr>
    </w:p>
    <w:p w:rsidR="00150B7B" w:rsidRDefault="00150B7B">
      <w:pPr>
        <w:rPr>
          <w:rFonts w:ascii="华文仿宋" w:eastAsia="华文仿宋" w:hAnsi="华文仿宋" w:cs="宋体"/>
          <w:kern w:val="0"/>
          <w:szCs w:val="28"/>
        </w:rPr>
      </w:pPr>
    </w:p>
    <w:p w:rsidR="006C7D15" w:rsidRDefault="00150B7B">
      <w:pPr>
        <w:pStyle w:val="2"/>
        <w:spacing w:line="240" w:lineRule="auto"/>
        <w:rPr>
          <w:rFonts w:asciiTheme="minorEastAsia" w:eastAsiaTheme="minorEastAsia" w:hAnsiTheme="minorEastAsia"/>
          <w:bCs w:val="0"/>
          <w:szCs w:val="28"/>
        </w:rPr>
      </w:pPr>
      <w:r>
        <w:rPr>
          <w:rFonts w:asciiTheme="minorEastAsia" w:eastAsiaTheme="minorEastAsia" w:hAnsiTheme="minorEastAsia" w:hint="eastAsia"/>
          <w:bCs w:val="0"/>
          <w:szCs w:val="28"/>
        </w:rPr>
        <w:t>2.2</w:t>
      </w:r>
      <w:proofErr w:type="gramStart"/>
      <w:r>
        <w:rPr>
          <w:rFonts w:asciiTheme="minorEastAsia" w:eastAsiaTheme="minorEastAsia" w:hAnsiTheme="minorEastAsia" w:hint="eastAsia"/>
          <w:bCs w:val="0"/>
          <w:szCs w:val="28"/>
        </w:rPr>
        <w:t>地炼石脑油</w:t>
      </w:r>
      <w:proofErr w:type="gramEnd"/>
      <w:r>
        <w:rPr>
          <w:rFonts w:asciiTheme="minorEastAsia" w:eastAsiaTheme="minorEastAsia" w:hAnsiTheme="minorEastAsia" w:hint="eastAsia"/>
          <w:bCs w:val="0"/>
          <w:szCs w:val="28"/>
        </w:rPr>
        <w:t>市场</w:t>
      </w:r>
      <w:bookmarkEnd w:id="15"/>
      <w:bookmarkEnd w:id="16"/>
      <w:bookmarkEnd w:id="25"/>
      <w:bookmarkEnd w:id="26"/>
      <w:bookmarkEnd w:id="27"/>
      <w:bookmarkEnd w:id="28"/>
      <w:bookmarkEnd w:id="29"/>
      <w:r w:rsidR="00FE2871">
        <w:rPr>
          <w:rFonts w:asciiTheme="minorEastAsia" w:eastAsiaTheme="minorEastAsia" w:hAnsiTheme="minorEastAsia" w:hint="eastAsia"/>
          <w:bCs w:val="0"/>
          <w:szCs w:val="28"/>
        </w:rPr>
        <w:t xml:space="preserve">   </w:t>
      </w:r>
    </w:p>
    <w:p w:rsidR="006C7D15" w:rsidRPr="00434811" w:rsidRDefault="00B85715" w:rsidP="00434811">
      <w:pPr>
        <w:ind w:firstLineChars="200" w:firstLine="560"/>
        <w:rPr>
          <w:rFonts w:ascii="华文仿宋" w:eastAsia="华文仿宋" w:hAnsi="华文仿宋" w:cs="宋体"/>
          <w:kern w:val="0"/>
          <w:sz w:val="28"/>
          <w:szCs w:val="28"/>
        </w:rPr>
      </w:pPr>
      <w:r w:rsidRPr="00434811">
        <w:rPr>
          <w:rFonts w:ascii="华文仿宋" w:eastAsia="华文仿宋" w:hAnsi="华文仿宋" w:cs="宋体"/>
          <w:kern w:val="0"/>
          <w:sz w:val="28"/>
          <w:szCs w:val="28"/>
        </w:rPr>
        <w:t>国际原油期货价格收跌，且跌幅扩大，这对国内成品油市场形成了抑制作用，本轮成品油调价周期即将结束，下周一极有可能出现压线下调现象，成品油及调</w:t>
      </w:r>
      <w:proofErr w:type="gramStart"/>
      <w:r w:rsidRPr="00434811">
        <w:rPr>
          <w:rFonts w:ascii="华文仿宋" w:eastAsia="华文仿宋" w:hAnsi="华文仿宋" w:cs="宋体"/>
          <w:kern w:val="0"/>
          <w:sz w:val="28"/>
          <w:szCs w:val="28"/>
        </w:rPr>
        <w:t>油原料</w:t>
      </w:r>
      <w:proofErr w:type="gramEnd"/>
      <w:r w:rsidRPr="00434811">
        <w:rPr>
          <w:rFonts w:ascii="华文仿宋" w:eastAsia="华文仿宋" w:hAnsi="华文仿宋" w:cs="宋体"/>
          <w:kern w:val="0"/>
          <w:sz w:val="28"/>
          <w:szCs w:val="28"/>
        </w:rPr>
        <w:t>市场进入盘整阶段。</w:t>
      </w:r>
      <w:proofErr w:type="gramStart"/>
      <w:r w:rsidRPr="00434811">
        <w:rPr>
          <w:rFonts w:ascii="华文仿宋" w:eastAsia="华文仿宋" w:hAnsi="华文仿宋" w:cs="宋体"/>
          <w:kern w:val="0"/>
          <w:sz w:val="28"/>
          <w:szCs w:val="28"/>
        </w:rPr>
        <w:t>国内地炼石脑油</w:t>
      </w:r>
      <w:proofErr w:type="gramEnd"/>
      <w:r w:rsidRPr="00434811">
        <w:rPr>
          <w:rFonts w:ascii="华文仿宋" w:eastAsia="华文仿宋" w:hAnsi="华文仿宋" w:cs="宋体"/>
          <w:kern w:val="0"/>
          <w:sz w:val="28"/>
          <w:szCs w:val="28"/>
        </w:rPr>
        <w:t>市场表现稳健，各主力价区报</w:t>
      </w:r>
      <w:proofErr w:type="gramStart"/>
      <w:r w:rsidRPr="00434811">
        <w:rPr>
          <w:rFonts w:ascii="华文仿宋" w:eastAsia="华文仿宋" w:hAnsi="华文仿宋" w:cs="宋体"/>
          <w:kern w:val="0"/>
          <w:sz w:val="28"/>
          <w:szCs w:val="28"/>
        </w:rPr>
        <w:t>盘整体守稳</w:t>
      </w:r>
      <w:proofErr w:type="gramEnd"/>
      <w:r w:rsidRPr="00434811">
        <w:rPr>
          <w:rFonts w:ascii="华文仿宋" w:eastAsia="华文仿宋" w:hAnsi="华文仿宋" w:cs="宋体"/>
          <w:kern w:val="0"/>
          <w:sz w:val="28"/>
          <w:szCs w:val="28"/>
        </w:rPr>
        <w:t>，个别呈现稳中上行趋势,接</w:t>
      </w:r>
      <w:proofErr w:type="gramStart"/>
      <w:r w:rsidRPr="00434811">
        <w:rPr>
          <w:rFonts w:ascii="华文仿宋" w:eastAsia="华文仿宋" w:hAnsi="华文仿宋" w:cs="宋体"/>
          <w:kern w:val="0"/>
          <w:sz w:val="28"/>
          <w:szCs w:val="28"/>
        </w:rPr>
        <w:t>珠海长炼石化</w:t>
      </w:r>
      <w:proofErr w:type="gramEnd"/>
      <w:r w:rsidRPr="00434811">
        <w:rPr>
          <w:rFonts w:ascii="华文仿宋" w:eastAsia="华文仿宋" w:hAnsi="华文仿宋" w:cs="宋体"/>
          <w:kern w:val="0"/>
          <w:sz w:val="28"/>
          <w:szCs w:val="28"/>
        </w:rPr>
        <w:t>内部人士告知，</w:t>
      </w:r>
      <w:proofErr w:type="gramStart"/>
      <w:r w:rsidRPr="00434811">
        <w:rPr>
          <w:rFonts w:ascii="华文仿宋" w:eastAsia="华文仿宋" w:hAnsi="华文仿宋" w:cs="宋体"/>
          <w:kern w:val="0"/>
          <w:sz w:val="28"/>
          <w:szCs w:val="28"/>
        </w:rPr>
        <w:t>长炼石化</w:t>
      </w:r>
      <w:proofErr w:type="gramEnd"/>
      <w:r w:rsidRPr="00434811">
        <w:rPr>
          <w:rFonts w:ascii="华文仿宋" w:eastAsia="华文仿宋" w:hAnsi="华文仿宋" w:cs="宋体"/>
          <w:kern w:val="0"/>
          <w:sz w:val="28"/>
          <w:szCs w:val="28"/>
        </w:rPr>
        <w:t>将于9月中旬进行重整石脑油招标，月采购量在3万~5万吨，这将对九月</w:t>
      </w:r>
      <w:proofErr w:type="gramStart"/>
      <w:r w:rsidRPr="00434811">
        <w:rPr>
          <w:rFonts w:ascii="华文仿宋" w:eastAsia="华文仿宋" w:hAnsi="华文仿宋" w:cs="宋体"/>
          <w:kern w:val="0"/>
          <w:sz w:val="28"/>
          <w:szCs w:val="28"/>
        </w:rPr>
        <w:t>国内地炼石脑油</w:t>
      </w:r>
      <w:proofErr w:type="gramEnd"/>
      <w:r w:rsidRPr="00434811">
        <w:rPr>
          <w:rFonts w:ascii="华文仿宋" w:eastAsia="华文仿宋" w:hAnsi="华文仿宋" w:cs="宋体"/>
          <w:kern w:val="0"/>
          <w:sz w:val="28"/>
          <w:szCs w:val="28"/>
        </w:rPr>
        <w:t>市场形成强劲支撑。</w:t>
      </w:r>
    </w:p>
    <w:p w:rsidR="006C7D15" w:rsidRDefault="006C7D15"/>
    <w:p w:rsidR="006C7D15" w:rsidRDefault="006C7D15"/>
    <w:p w:rsidR="006C7D15" w:rsidRDefault="006C7D15"/>
    <w:p w:rsidR="006C7D15" w:rsidRDefault="00FE2871">
      <w:pPr>
        <w:outlineLvl w:val="1"/>
        <w:rPr>
          <w:rFonts w:asciiTheme="minorEastAsia" w:eastAsiaTheme="minorEastAsia" w:hAnsiTheme="minorEastAsia"/>
          <w:b/>
          <w:sz w:val="28"/>
          <w:szCs w:val="28"/>
        </w:rPr>
      </w:pPr>
      <w:bookmarkStart w:id="30" w:name="_Toc296600813"/>
      <w:bookmarkStart w:id="31" w:name="_Toc460250406"/>
      <w:bookmarkStart w:id="32" w:name="_Toc281568203"/>
      <w:bookmarkStart w:id="33" w:name="_Toc505350010"/>
      <w:r>
        <w:rPr>
          <w:rFonts w:asciiTheme="minorEastAsia" w:eastAsiaTheme="minorEastAsia" w:hAnsiTheme="minorEastAsia" w:hint="eastAsia"/>
          <w:b/>
          <w:sz w:val="28"/>
          <w:szCs w:val="28"/>
        </w:rPr>
        <w:t>2.3本周国内石脑油价格汇总</w:t>
      </w:r>
      <w:bookmarkEnd w:id="30"/>
      <w:bookmarkEnd w:id="31"/>
      <w:bookmarkEnd w:id="32"/>
      <w:bookmarkEnd w:id="33"/>
      <w:r>
        <w:rPr>
          <w:rFonts w:asciiTheme="minorEastAsia" w:eastAsiaTheme="minorEastAsia" w:hAnsiTheme="minorEastAsia" w:hint="eastAsia"/>
          <w:b/>
          <w:sz w:val="28"/>
          <w:szCs w:val="28"/>
        </w:rPr>
        <w:t xml:space="preserve"> </w:t>
      </w:r>
    </w:p>
    <w:p w:rsidR="006C7D15" w:rsidRDefault="006C7D15">
      <w:pPr>
        <w:rPr>
          <w:rFonts w:ascii="宋体" w:hAnsi="宋体" w:cs="Arial"/>
          <w:kern w:val="0"/>
          <w:sz w:val="20"/>
          <w:szCs w:val="20"/>
        </w:rPr>
      </w:pPr>
    </w:p>
    <w:p w:rsidR="006C7D15" w:rsidRDefault="006C7D15">
      <w:pPr>
        <w:rPr>
          <w:rFonts w:ascii="宋体" w:hAnsi="宋体" w:cs="Arial"/>
          <w:kern w:val="0"/>
          <w:sz w:val="20"/>
          <w:szCs w:val="20"/>
        </w:rPr>
      </w:pPr>
    </w:p>
    <w:p w:rsidR="006C7D15" w:rsidRDefault="00FE2871">
      <w:pPr>
        <w:tabs>
          <w:tab w:val="left" w:pos="810"/>
          <w:tab w:val="center" w:pos="4851"/>
        </w:tabs>
        <w:autoSpaceDE w:val="0"/>
        <w:autoSpaceDN w:val="0"/>
        <w:adjustRightInd w:val="0"/>
        <w:rPr>
          <w:rFonts w:ascii="黑体" w:eastAsia="黑体" w:hAnsi="宋体" w:cs="Arial"/>
          <w:kern w:val="0"/>
          <w:sz w:val="24"/>
          <w:szCs w:val="24"/>
        </w:rPr>
      </w:pPr>
      <w:proofErr w:type="gramStart"/>
      <w:r>
        <w:rPr>
          <w:rFonts w:ascii="黑体" w:eastAsia="黑体" w:hAnsi="宋体" w:cs="Arial" w:hint="eastAsia"/>
          <w:kern w:val="0"/>
          <w:sz w:val="24"/>
          <w:szCs w:val="24"/>
        </w:rPr>
        <w:t>山东地炼石脑油</w:t>
      </w:r>
      <w:proofErr w:type="gramEnd"/>
      <w:r>
        <w:rPr>
          <w:rFonts w:ascii="黑体" w:eastAsia="黑体" w:hAnsi="宋体" w:cs="Arial" w:hint="eastAsia"/>
          <w:kern w:val="0"/>
          <w:sz w:val="24"/>
          <w:szCs w:val="24"/>
        </w:rPr>
        <w:t>价格汇总</w:t>
      </w:r>
    </w:p>
    <w:p w:rsidR="006C7D15" w:rsidRDefault="006C7D15">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6C7D15" w:rsidRDefault="006C7D15">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6C7D15" w:rsidRDefault="00FE2871">
      <w:pPr>
        <w:rPr>
          <w:rFonts w:ascii="宋体" w:hAnsi="宋体" w:cs="Arial"/>
          <w:kern w:val="0"/>
          <w:sz w:val="20"/>
          <w:szCs w:val="20"/>
        </w:rPr>
      </w:pPr>
      <w:r>
        <w:rPr>
          <w:rFonts w:ascii="宋体" w:hAnsi="宋体" w:cs="Arial" w:hint="eastAsia"/>
          <w:kern w:val="0"/>
          <w:sz w:val="20"/>
          <w:szCs w:val="20"/>
        </w:rPr>
        <w:t xml:space="preserve"> 单位：元/吨</w:t>
      </w:r>
    </w:p>
    <w:p w:rsidR="00FE2871" w:rsidRDefault="00FE2871">
      <w:pPr>
        <w:rPr>
          <w:rFonts w:ascii="宋体" w:hAnsi="宋体" w:cs="Arial"/>
          <w:kern w:val="0"/>
          <w:sz w:val="20"/>
          <w:szCs w:val="20"/>
        </w:rPr>
      </w:pPr>
    </w:p>
    <w:tbl>
      <w:tblPr>
        <w:tblW w:w="5000" w:type="pct"/>
        <w:tblLook w:val="04A0"/>
      </w:tblPr>
      <w:tblGrid>
        <w:gridCol w:w="1366"/>
        <w:gridCol w:w="1365"/>
        <w:gridCol w:w="1365"/>
        <w:gridCol w:w="1365"/>
        <w:gridCol w:w="1365"/>
        <w:gridCol w:w="1568"/>
        <w:gridCol w:w="1568"/>
      </w:tblGrid>
      <w:tr w:rsidR="00182EC8" w:rsidRPr="00182EC8" w:rsidTr="00182EC8">
        <w:trPr>
          <w:trHeight w:val="285"/>
        </w:trPr>
        <w:tc>
          <w:tcPr>
            <w:tcW w:w="685"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地区</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生产厂家</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2018/8/17</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2018/8/10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金城石化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恒源石化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-5050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5050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东明石化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中海石化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弘润石化</w:t>
            </w:r>
            <w:proofErr w:type="gramEnd"/>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华星石化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海科石化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广饶石化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鑫</w:t>
            </w:r>
            <w:proofErr w:type="gramEnd"/>
            <w:r w:rsidRPr="00182EC8">
              <w:rPr>
                <w:rFonts w:ascii="华文仿宋" w:eastAsia="华文仿宋" w:hAnsi="华文仿宋" w:cs="宋体" w:hint="eastAsia"/>
                <w:kern w:val="0"/>
                <w:sz w:val="28"/>
                <w:szCs w:val="28"/>
              </w:rPr>
              <w:t>泰石化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400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7200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6800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利津石化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胜华石化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长城石化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安邦石化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日照源丰</w:t>
            </w:r>
            <w:proofErr w:type="gramEnd"/>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富海石化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5010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5010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京博石化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6204</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6204</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昌邑石化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6350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6350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垦利石化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5200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5200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寿光石化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神驰石化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7300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7300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汇丰石化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5730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5730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宝塔石化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滨化石化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480"/>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高青宏远石化</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河口实业</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bl>
    <w:p w:rsidR="006C7D15" w:rsidRDefault="006C7D15">
      <w:pPr>
        <w:rPr>
          <w:rFonts w:ascii="宋体" w:hAnsi="宋体" w:cs="Arial"/>
          <w:kern w:val="0"/>
          <w:sz w:val="20"/>
          <w:szCs w:val="20"/>
        </w:rPr>
      </w:pPr>
    </w:p>
    <w:p w:rsidR="006C7D15" w:rsidRDefault="00FE2871">
      <w:pPr>
        <w:pStyle w:val="2"/>
        <w:spacing w:line="240" w:lineRule="auto"/>
        <w:jc w:val="left"/>
        <w:rPr>
          <w:rFonts w:asciiTheme="minorEastAsia" w:eastAsiaTheme="minorEastAsia" w:hAnsiTheme="minorEastAsia"/>
        </w:rPr>
      </w:pPr>
      <w:bookmarkStart w:id="34" w:name="_Toc505350011"/>
      <w:bookmarkStart w:id="35" w:name="_Toc460250407"/>
      <w:bookmarkStart w:id="36" w:name="_Toc296600814"/>
      <w:bookmarkStart w:id="37" w:name="_Toc281568204"/>
      <w:bookmarkStart w:id="38" w:name="_Toc158203132"/>
      <w:bookmarkStart w:id="39" w:name="_Toc239847719"/>
      <w:r>
        <w:rPr>
          <w:rFonts w:asciiTheme="minorEastAsia" w:eastAsiaTheme="minorEastAsia" w:hAnsiTheme="minorEastAsia" w:hint="eastAsia"/>
          <w:szCs w:val="28"/>
        </w:rPr>
        <w:t>2.</w:t>
      </w:r>
      <w:r>
        <w:rPr>
          <w:rFonts w:asciiTheme="minorEastAsia" w:eastAsiaTheme="minorEastAsia" w:hAnsiTheme="minorEastAsia" w:hint="eastAsia"/>
          <w:bCs w:val="0"/>
          <w:szCs w:val="28"/>
        </w:rPr>
        <w:t xml:space="preserve"> </w:t>
      </w:r>
      <w:r>
        <w:rPr>
          <w:rFonts w:asciiTheme="minorEastAsia" w:eastAsiaTheme="minorEastAsia" w:hAnsiTheme="minorEastAsia" w:hint="eastAsia"/>
          <w:szCs w:val="28"/>
        </w:rPr>
        <w:t>4</w:t>
      </w:r>
      <w:proofErr w:type="gramStart"/>
      <w:r>
        <w:rPr>
          <w:rFonts w:asciiTheme="minorEastAsia" w:eastAsiaTheme="minorEastAsia" w:hAnsiTheme="minorEastAsia" w:hint="eastAsia"/>
          <w:szCs w:val="28"/>
        </w:rPr>
        <w:t>山东地炼石脑油</w:t>
      </w:r>
      <w:proofErr w:type="gramEnd"/>
      <w:r>
        <w:rPr>
          <w:rFonts w:asciiTheme="minorEastAsia" w:eastAsiaTheme="minorEastAsia" w:hAnsiTheme="minorEastAsia" w:hint="eastAsia"/>
          <w:szCs w:val="28"/>
        </w:rPr>
        <w:t>价格走势图</w:t>
      </w:r>
      <w:bookmarkEnd w:id="34"/>
      <w:bookmarkEnd w:id="35"/>
      <w:bookmarkEnd w:id="36"/>
      <w:bookmarkEnd w:id="37"/>
    </w:p>
    <w:p w:rsidR="006C7D15" w:rsidRDefault="006C7D15">
      <w:pPr>
        <w:widowControl/>
        <w:jc w:val="left"/>
        <w:rPr>
          <w:rFonts w:ascii="宋体" w:hAnsi="宋体" w:cs="宋体"/>
          <w:kern w:val="0"/>
          <w:sz w:val="24"/>
          <w:szCs w:val="24"/>
        </w:rPr>
      </w:pPr>
    </w:p>
    <w:p w:rsidR="006C7D15" w:rsidRDefault="00182EC8">
      <w:pPr>
        <w:rPr>
          <w:sz w:val="20"/>
          <w:szCs w:val="20"/>
        </w:rPr>
      </w:pPr>
      <w:r w:rsidRPr="00182EC8">
        <w:rPr>
          <w:sz w:val="20"/>
          <w:szCs w:val="20"/>
        </w:rPr>
        <w:lastRenderedPageBreak/>
        <w:drawing>
          <wp:inline distT="0" distB="0" distL="0" distR="0">
            <wp:extent cx="5486400" cy="536956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7D15" w:rsidRDefault="006C7D15">
      <w:pPr>
        <w:rPr>
          <w:sz w:val="20"/>
          <w:szCs w:val="20"/>
        </w:rPr>
      </w:pPr>
    </w:p>
    <w:p w:rsidR="006C7D15" w:rsidRDefault="00FE2871">
      <w:pPr>
        <w:outlineLvl w:val="0"/>
        <w:rPr>
          <w:rFonts w:ascii="黑体" w:eastAsia="黑体"/>
          <w:b/>
          <w:sz w:val="28"/>
          <w:szCs w:val="28"/>
        </w:rPr>
      </w:pPr>
      <w:bookmarkStart w:id="40" w:name="_Toc505350012"/>
      <w:bookmarkStart w:id="41" w:name="_Toc460250408"/>
      <w:bookmarkStart w:id="42" w:name="_Toc281568206"/>
      <w:bookmarkStart w:id="43" w:name="_Toc237428455"/>
      <w:bookmarkStart w:id="44" w:name="_Toc296600816"/>
      <w:bookmarkEnd w:id="38"/>
      <w:bookmarkEnd w:id="39"/>
      <w:r>
        <w:rPr>
          <w:rFonts w:ascii="黑体" w:eastAsia="黑体" w:hint="eastAsia"/>
          <w:b/>
          <w:sz w:val="28"/>
          <w:szCs w:val="28"/>
        </w:rPr>
        <w:t>三、本周国内油品市场分析及预测</w:t>
      </w:r>
      <w:bookmarkStart w:id="45" w:name="_Toc296600817"/>
      <w:bookmarkStart w:id="46" w:name="_Toc281568207"/>
      <w:bookmarkStart w:id="47" w:name="_Toc460250409"/>
      <w:bookmarkStart w:id="48" w:name="_Toc176571903"/>
      <w:bookmarkStart w:id="49" w:name="_Toc237428456"/>
      <w:bookmarkEnd w:id="40"/>
      <w:bookmarkEnd w:id="41"/>
      <w:bookmarkEnd w:id="42"/>
      <w:bookmarkEnd w:id="43"/>
      <w:bookmarkEnd w:id="44"/>
    </w:p>
    <w:p w:rsidR="006C7D15" w:rsidRDefault="00FE2871">
      <w:pPr>
        <w:pStyle w:val="1"/>
        <w:spacing w:line="360" w:lineRule="auto"/>
        <w:rPr>
          <w:rFonts w:ascii="华文仿宋" w:eastAsia="华文仿宋" w:hAnsi="华文仿宋" w:cs="华文仿宋"/>
          <w:b w:val="0"/>
          <w:bCs w:val="0"/>
          <w:kern w:val="0"/>
          <w:sz w:val="28"/>
          <w:szCs w:val="28"/>
        </w:rPr>
      </w:pPr>
      <w:bookmarkStart w:id="50" w:name="_Toc505350013"/>
      <w:r>
        <w:rPr>
          <w:rFonts w:asciiTheme="minorEastAsia" w:eastAsiaTheme="minorEastAsia" w:hAnsiTheme="minorEastAsia" w:hint="eastAsia"/>
          <w:kern w:val="2"/>
          <w:sz w:val="28"/>
          <w:szCs w:val="28"/>
        </w:rPr>
        <w:t>3．1  成品油市场动态</w:t>
      </w:r>
      <w:bookmarkEnd w:id="45"/>
      <w:bookmarkEnd w:id="46"/>
      <w:bookmarkEnd w:id="47"/>
      <w:bookmarkEnd w:id="50"/>
    </w:p>
    <w:p w:rsidR="00F6621F" w:rsidRPr="00F6621F" w:rsidRDefault="00F6621F" w:rsidP="00F6621F">
      <w:pPr>
        <w:pStyle w:val="aa"/>
        <w:ind w:firstLineChars="200" w:firstLine="560"/>
        <w:rPr>
          <w:rFonts w:ascii="华文仿宋" w:eastAsia="华文仿宋" w:hAnsi="华文仿宋" w:cs="华文仿宋"/>
          <w:sz w:val="28"/>
          <w:szCs w:val="28"/>
        </w:rPr>
      </w:pPr>
      <w:bookmarkStart w:id="51" w:name="_Toc505350014"/>
      <w:bookmarkStart w:id="52" w:name="_Toc369858747"/>
      <w:bookmarkStart w:id="53" w:name="_Toc180485827"/>
      <w:bookmarkStart w:id="54" w:name="_Toc460250410"/>
      <w:bookmarkStart w:id="55" w:name="_Toc296600818"/>
      <w:bookmarkStart w:id="56" w:name="_Toc281568208"/>
      <w:bookmarkStart w:id="57" w:name="_Toc281568211"/>
      <w:bookmarkStart w:id="58" w:name="_Toc296600819"/>
      <w:bookmarkEnd w:id="48"/>
      <w:bookmarkEnd w:id="49"/>
      <w:r w:rsidRPr="00F6621F">
        <w:rPr>
          <w:rFonts w:ascii="华文仿宋" w:eastAsia="华文仿宋" w:hAnsi="华文仿宋" w:cs="华文仿宋"/>
          <w:sz w:val="28"/>
          <w:szCs w:val="28"/>
        </w:rPr>
        <w:t>本周，国际原油期价震荡走跌，国内成品油市场行情整体上行，各地主营单位汽柴油价格上调。与此同时，山东地区成品</w:t>
      </w:r>
      <w:proofErr w:type="gramStart"/>
      <w:r w:rsidRPr="00F6621F">
        <w:rPr>
          <w:rFonts w:ascii="华文仿宋" w:eastAsia="华文仿宋" w:hAnsi="华文仿宋" w:cs="华文仿宋"/>
          <w:sz w:val="28"/>
          <w:szCs w:val="28"/>
        </w:rPr>
        <w:t>油行情涨势</w:t>
      </w:r>
      <w:proofErr w:type="gramEnd"/>
      <w:r w:rsidRPr="00F6621F">
        <w:rPr>
          <w:rFonts w:ascii="华文仿宋" w:eastAsia="华文仿宋" w:hAnsi="华文仿宋" w:cs="华文仿宋"/>
          <w:sz w:val="28"/>
          <w:szCs w:val="28"/>
        </w:rPr>
        <w:t>不止，各炼厂报价频频走高，但成交仍保持100元/吨左右优惠。具体来看出货方面：周初，受原油续涨提振，区内油市看涨气氛浓厚，买卖双方积极操作。临近周末，外盘油价大跌</w:t>
      </w:r>
      <w:r w:rsidRPr="00F6621F">
        <w:rPr>
          <w:rFonts w:ascii="华文仿宋" w:eastAsia="华文仿宋" w:hAnsi="华文仿宋" w:cs="华文仿宋"/>
          <w:sz w:val="28"/>
          <w:szCs w:val="28"/>
        </w:rPr>
        <w:lastRenderedPageBreak/>
        <w:t>利空油市，中下游商家购进操作减少，市场交投气氛转淡。进入下周，在缺少基本面需求支撑下，山东地区成品</w:t>
      </w:r>
      <w:proofErr w:type="gramStart"/>
      <w:r w:rsidRPr="00F6621F">
        <w:rPr>
          <w:rFonts w:ascii="华文仿宋" w:eastAsia="华文仿宋" w:hAnsi="华文仿宋" w:cs="华文仿宋"/>
          <w:sz w:val="28"/>
          <w:szCs w:val="28"/>
        </w:rPr>
        <w:t>油行情</w:t>
      </w:r>
      <w:proofErr w:type="gramEnd"/>
      <w:r w:rsidRPr="00F6621F">
        <w:rPr>
          <w:rFonts w:ascii="华文仿宋" w:eastAsia="华文仿宋" w:hAnsi="华文仿宋" w:cs="华文仿宋"/>
          <w:sz w:val="28"/>
          <w:szCs w:val="28"/>
        </w:rPr>
        <w:t>难以维持上涨势头，中下游买家购进操作十分谨慎，而</w:t>
      </w:r>
      <w:proofErr w:type="gramStart"/>
      <w:r w:rsidRPr="00F6621F">
        <w:rPr>
          <w:rFonts w:ascii="华文仿宋" w:eastAsia="华文仿宋" w:hAnsi="华文仿宋" w:cs="华文仿宋"/>
          <w:sz w:val="28"/>
          <w:szCs w:val="28"/>
        </w:rPr>
        <w:t>地炼方面</w:t>
      </w:r>
      <w:proofErr w:type="gramEnd"/>
      <w:r w:rsidRPr="00F6621F">
        <w:rPr>
          <w:rFonts w:ascii="华文仿宋" w:eastAsia="华文仿宋" w:hAnsi="华文仿宋" w:cs="华文仿宋"/>
          <w:sz w:val="28"/>
          <w:szCs w:val="28"/>
        </w:rPr>
        <w:t>则以</w:t>
      </w:r>
      <w:proofErr w:type="gramStart"/>
      <w:r w:rsidRPr="00F6621F">
        <w:rPr>
          <w:rFonts w:ascii="华文仿宋" w:eastAsia="华文仿宋" w:hAnsi="华文仿宋" w:cs="华文仿宋"/>
          <w:sz w:val="28"/>
          <w:szCs w:val="28"/>
        </w:rPr>
        <w:t>出货走量</w:t>
      </w:r>
      <w:proofErr w:type="gramEnd"/>
      <w:r w:rsidRPr="00F6621F">
        <w:rPr>
          <w:rFonts w:ascii="华文仿宋" w:eastAsia="华文仿宋" w:hAnsi="华文仿宋" w:cs="华文仿宋"/>
          <w:sz w:val="28"/>
          <w:szCs w:val="28"/>
        </w:rPr>
        <w:t>为主。综上所述，预计下周山东</w:t>
      </w:r>
      <w:proofErr w:type="gramStart"/>
      <w:r w:rsidRPr="00F6621F">
        <w:rPr>
          <w:rFonts w:ascii="华文仿宋" w:eastAsia="华文仿宋" w:hAnsi="华文仿宋" w:cs="华文仿宋"/>
          <w:sz w:val="28"/>
          <w:szCs w:val="28"/>
        </w:rPr>
        <w:t>地炼汽</w:t>
      </w:r>
      <w:proofErr w:type="gramEnd"/>
      <w:r w:rsidRPr="00F6621F">
        <w:rPr>
          <w:rFonts w:ascii="华文仿宋" w:eastAsia="华文仿宋" w:hAnsi="华文仿宋" w:cs="华文仿宋"/>
          <w:sz w:val="28"/>
          <w:szCs w:val="28"/>
        </w:rPr>
        <w:t>柴油价格恐将高位回调。</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华北地区主营成品</w:t>
      </w:r>
      <w:proofErr w:type="gramStart"/>
      <w:r w:rsidRPr="00F6621F">
        <w:rPr>
          <w:rFonts w:ascii="华文仿宋" w:eastAsia="华文仿宋" w:hAnsi="华文仿宋" w:cs="华文仿宋"/>
          <w:sz w:val="28"/>
          <w:szCs w:val="28"/>
        </w:rPr>
        <w:t>油行情宽幅</w:t>
      </w:r>
      <w:proofErr w:type="gramEnd"/>
      <w:r w:rsidRPr="00F6621F">
        <w:rPr>
          <w:rFonts w:ascii="华文仿宋" w:eastAsia="华文仿宋" w:hAnsi="华文仿宋" w:cs="华文仿宋"/>
          <w:sz w:val="28"/>
          <w:szCs w:val="28"/>
        </w:rPr>
        <w:t>走高，购销氛围淡稳。分析来看，本周前期国际原油震荡小涨，消息面略有利好指引。与此同时，山东</w:t>
      </w:r>
      <w:proofErr w:type="gramStart"/>
      <w:r w:rsidRPr="00F6621F">
        <w:rPr>
          <w:rFonts w:ascii="华文仿宋" w:eastAsia="华文仿宋" w:hAnsi="华文仿宋" w:cs="华文仿宋"/>
          <w:sz w:val="28"/>
          <w:szCs w:val="28"/>
        </w:rPr>
        <w:t>地炼汽</w:t>
      </w:r>
      <w:proofErr w:type="gramEnd"/>
      <w:r w:rsidRPr="00F6621F">
        <w:rPr>
          <w:rFonts w:ascii="华文仿宋" w:eastAsia="华文仿宋" w:hAnsi="华文仿宋" w:cs="华文仿宋"/>
          <w:sz w:val="28"/>
          <w:szCs w:val="28"/>
        </w:rPr>
        <w:t>柴油价格大幅度走高，从而令主营外</w:t>
      </w:r>
      <w:proofErr w:type="gramStart"/>
      <w:r w:rsidRPr="00F6621F">
        <w:rPr>
          <w:rFonts w:ascii="华文仿宋" w:eastAsia="华文仿宋" w:hAnsi="华文仿宋" w:cs="华文仿宋"/>
          <w:sz w:val="28"/>
          <w:szCs w:val="28"/>
        </w:rPr>
        <w:t>采成本</w:t>
      </w:r>
      <w:proofErr w:type="gramEnd"/>
      <w:r w:rsidRPr="00F6621F">
        <w:rPr>
          <w:rFonts w:ascii="华文仿宋" w:eastAsia="华文仿宋" w:hAnsi="华文仿宋" w:cs="华文仿宋"/>
          <w:sz w:val="28"/>
          <w:szCs w:val="28"/>
        </w:rPr>
        <w:t>继续上升，且外采难度加大，导致部分主营汽油资源供应趋向紧张，继而支撑区内主营汽柴油价格大涨，周内涨幅集中在200-300元/吨。尽管周四原油收盘暴跌令市场谨慎情绪加重，但在一系列利好因素影响下，区内油市仍保持坚挺局面。因行情持续处于上行通道，受买涨心态影响，场内业者多按需进行补货，据悉汽油成交情况相对较好。另外，由于部分区域汽油资源偏紧，出现限量销售现象。后市而言，国际油价或窄幅波动，消息面指引有限，</w:t>
      </w:r>
      <w:proofErr w:type="gramStart"/>
      <w:r w:rsidRPr="00F6621F">
        <w:rPr>
          <w:rFonts w:ascii="华文仿宋" w:eastAsia="华文仿宋" w:hAnsi="华文仿宋" w:cs="华文仿宋"/>
          <w:sz w:val="28"/>
          <w:szCs w:val="28"/>
        </w:rPr>
        <w:t>地炼成品油行情</w:t>
      </w:r>
      <w:proofErr w:type="gramEnd"/>
      <w:r w:rsidRPr="00F6621F">
        <w:rPr>
          <w:rFonts w:ascii="华文仿宋" w:eastAsia="华文仿宋" w:hAnsi="华文仿宋" w:cs="华文仿宋"/>
          <w:sz w:val="28"/>
          <w:szCs w:val="28"/>
        </w:rPr>
        <w:t>或趋于高位整理，故预计下周华北地区汽柴行情保持坚挺为主。</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华南地区成品</w:t>
      </w:r>
      <w:proofErr w:type="gramStart"/>
      <w:r w:rsidRPr="00F6621F">
        <w:rPr>
          <w:rFonts w:ascii="华文仿宋" w:eastAsia="华文仿宋" w:hAnsi="华文仿宋" w:cs="华文仿宋"/>
          <w:sz w:val="28"/>
          <w:szCs w:val="28"/>
        </w:rPr>
        <w:t>油行情</w:t>
      </w:r>
      <w:proofErr w:type="gramEnd"/>
      <w:r w:rsidRPr="00F6621F">
        <w:rPr>
          <w:rFonts w:ascii="华文仿宋" w:eastAsia="华文仿宋" w:hAnsi="华文仿宋" w:cs="华文仿宋"/>
          <w:sz w:val="28"/>
          <w:szCs w:val="28"/>
        </w:rPr>
        <w:t>大幅上扬，市场交投气氛维持清淡。具体来看，上半周，国际原油期货一度连续上涨，消息方面给予有力支撑。且山东</w:t>
      </w:r>
      <w:proofErr w:type="gramStart"/>
      <w:r w:rsidRPr="00F6621F">
        <w:rPr>
          <w:rFonts w:ascii="华文仿宋" w:eastAsia="华文仿宋" w:hAnsi="华文仿宋" w:cs="华文仿宋"/>
          <w:sz w:val="28"/>
          <w:szCs w:val="28"/>
        </w:rPr>
        <w:t>地炼及</w:t>
      </w:r>
      <w:proofErr w:type="gramEnd"/>
      <w:r w:rsidRPr="00F6621F">
        <w:rPr>
          <w:rFonts w:ascii="华文仿宋" w:eastAsia="华文仿宋" w:hAnsi="华文仿宋" w:cs="华文仿宋"/>
          <w:sz w:val="28"/>
          <w:szCs w:val="28"/>
        </w:rPr>
        <w:t>周边行情不断攀升，区内主营单位汽柴油价格不断推涨。业者</w:t>
      </w:r>
      <w:proofErr w:type="gramStart"/>
      <w:r w:rsidRPr="00F6621F">
        <w:rPr>
          <w:rFonts w:ascii="华文仿宋" w:eastAsia="华文仿宋" w:hAnsi="华文仿宋" w:cs="华文仿宋"/>
          <w:sz w:val="28"/>
          <w:szCs w:val="28"/>
        </w:rPr>
        <w:t>消库之余刚需</w:t>
      </w:r>
      <w:proofErr w:type="gramEnd"/>
      <w:r w:rsidRPr="00F6621F">
        <w:rPr>
          <w:rFonts w:ascii="华文仿宋" w:eastAsia="华文仿宋" w:hAnsi="华文仿宋" w:cs="华文仿宋"/>
          <w:sz w:val="28"/>
          <w:szCs w:val="28"/>
        </w:rPr>
        <w:t>购进为主，市场交投气氛不佳。随着原油收盘大幅下挫，消息</w:t>
      </w:r>
      <w:proofErr w:type="gramStart"/>
      <w:r w:rsidRPr="00F6621F">
        <w:rPr>
          <w:rFonts w:ascii="华文仿宋" w:eastAsia="华文仿宋" w:hAnsi="华文仿宋" w:cs="华文仿宋"/>
          <w:sz w:val="28"/>
          <w:szCs w:val="28"/>
        </w:rPr>
        <w:t>面提振力度</w:t>
      </w:r>
      <w:proofErr w:type="gramEnd"/>
      <w:r w:rsidRPr="00F6621F">
        <w:rPr>
          <w:rFonts w:ascii="华文仿宋" w:eastAsia="华文仿宋" w:hAnsi="华文仿宋" w:cs="华文仿宋"/>
          <w:sz w:val="28"/>
          <w:szCs w:val="28"/>
        </w:rPr>
        <w:t>降低，主营单位汽柴油价格趋于稳定。业者观望心态加重，市场交投气氛清淡不已。后市来看，国际原油期货区间震荡为主，本轮零售价调整变数增大，消息面影响有限。步入中旬，主营单位销售压力渐增，预计近期华南汽柴油行情涨势放缓，交投气氛维持平淡。</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lastRenderedPageBreak/>
        <w:t xml:space="preserve">　　华中地区成品</w:t>
      </w:r>
      <w:proofErr w:type="gramStart"/>
      <w:r w:rsidRPr="00F6621F">
        <w:rPr>
          <w:rFonts w:ascii="华文仿宋" w:eastAsia="华文仿宋" w:hAnsi="华文仿宋" w:cs="华文仿宋"/>
          <w:sz w:val="28"/>
          <w:szCs w:val="28"/>
        </w:rPr>
        <w:t>油行情宽幅</w:t>
      </w:r>
      <w:proofErr w:type="gramEnd"/>
      <w:r w:rsidRPr="00F6621F">
        <w:rPr>
          <w:rFonts w:ascii="华文仿宋" w:eastAsia="华文仿宋" w:hAnsi="华文仿宋" w:cs="华文仿宋"/>
          <w:sz w:val="28"/>
          <w:szCs w:val="28"/>
        </w:rPr>
        <w:t>走高，市场整体购销氛围较为清淡。具体来看，周初，原油震荡走高，且本周一零售价兑现小涨。消息面形成一定支撑，</w:t>
      </w:r>
      <w:proofErr w:type="gramStart"/>
      <w:r w:rsidRPr="00F6621F">
        <w:rPr>
          <w:rFonts w:ascii="华文仿宋" w:eastAsia="华文仿宋" w:hAnsi="华文仿宋" w:cs="华文仿宋"/>
          <w:sz w:val="28"/>
          <w:szCs w:val="28"/>
        </w:rPr>
        <w:t>加之地炼成品</w:t>
      </w:r>
      <w:proofErr w:type="gramEnd"/>
      <w:r w:rsidRPr="00F6621F">
        <w:rPr>
          <w:rFonts w:ascii="华文仿宋" w:eastAsia="华文仿宋" w:hAnsi="华文仿宋" w:cs="华文仿宋"/>
          <w:sz w:val="28"/>
          <w:szCs w:val="28"/>
        </w:rPr>
        <w:t>油价格持续大涨，主营外</w:t>
      </w:r>
      <w:proofErr w:type="gramStart"/>
      <w:r w:rsidRPr="00F6621F">
        <w:rPr>
          <w:rFonts w:ascii="华文仿宋" w:eastAsia="华文仿宋" w:hAnsi="华文仿宋" w:cs="华文仿宋"/>
          <w:sz w:val="28"/>
          <w:szCs w:val="28"/>
        </w:rPr>
        <w:t>采成本</w:t>
      </w:r>
      <w:proofErr w:type="gramEnd"/>
      <w:r w:rsidRPr="00F6621F">
        <w:rPr>
          <w:rFonts w:ascii="华文仿宋" w:eastAsia="华文仿宋" w:hAnsi="华文仿宋" w:cs="华文仿宋"/>
          <w:sz w:val="28"/>
          <w:szCs w:val="28"/>
        </w:rPr>
        <w:t>不断增加，故推价积极性高，成交重心接连上推。周四，原油虽大幅下挫，但因</w:t>
      </w:r>
      <w:proofErr w:type="gramStart"/>
      <w:r w:rsidRPr="00F6621F">
        <w:rPr>
          <w:rFonts w:ascii="华文仿宋" w:eastAsia="华文仿宋" w:hAnsi="华文仿宋" w:cs="华文仿宋"/>
          <w:sz w:val="28"/>
          <w:szCs w:val="28"/>
        </w:rPr>
        <w:t>地炼价格</w:t>
      </w:r>
      <w:proofErr w:type="gramEnd"/>
      <w:r w:rsidRPr="00F6621F">
        <w:rPr>
          <w:rFonts w:ascii="华文仿宋" w:eastAsia="华文仿宋" w:hAnsi="华文仿宋" w:cs="华文仿宋"/>
          <w:sz w:val="28"/>
          <w:szCs w:val="28"/>
        </w:rPr>
        <w:t>维持高位，故主营价格仍有走高。场内业者对高价渐生抵触，多退市观望消库，市场</w:t>
      </w:r>
      <w:proofErr w:type="gramStart"/>
      <w:r w:rsidRPr="00F6621F">
        <w:rPr>
          <w:rFonts w:ascii="华文仿宋" w:eastAsia="华文仿宋" w:hAnsi="华文仿宋" w:cs="华文仿宋"/>
          <w:sz w:val="28"/>
          <w:szCs w:val="28"/>
        </w:rPr>
        <w:t>成交难</w:t>
      </w:r>
      <w:proofErr w:type="gramEnd"/>
      <w:r w:rsidRPr="00F6621F">
        <w:rPr>
          <w:rFonts w:ascii="华文仿宋" w:eastAsia="华文仿宋" w:hAnsi="华文仿宋" w:cs="华文仿宋"/>
          <w:sz w:val="28"/>
          <w:szCs w:val="28"/>
        </w:rPr>
        <w:t>见大单。后市来看，国际原油或偏弱震荡，本轮零售价搁浅与小幅上调概率并存，消息面较为震荡，预计近期内华中地区成品</w:t>
      </w:r>
      <w:proofErr w:type="gramStart"/>
      <w:r w:rsidRPr="00F6621F">
        <w:rPr>
          <w:rFonts w:ascii="华文仿宋" w:eastAsia="华文仿宋" w:hAnsi="华文仿宋" w:cs="华文仿宋"/>
          <w:sz w:val="28"/>
          <w:szCs w:val="28"/>
        </w:rPr>
        <w:t>油行情</w:t>
      </w:r>
      <w:proofErr w:type="gramEnd"/>
      <w:r w:rsidRPr="00F6621F">
        <w:rPr>
          <w:rFonts w:ascii="华文仿宋" w:eastAsia="华文仿宋" w:hAnsi="华文仿宋" w:cs="华文仿宋"/>
          <w:sz w:val="28"/>
          <w:szCs w:val="28"/>
        </w:rPr>
        <w:t>或逐渐趋于横盘整理阶段，市场</w:t>
      </w:r>
      <w:proofErr w:type="gramStart"/>
      <w:r w:rsidRPr="00F6621F">
        <w:rPr>
          <w:rFonts w:ascii="华文仿宋" w:eastAsia="华文仿宋" w:hAnsi="华文仿宋" w:cs="华文仿宋"/>
          <w:sz w:val="28"/>
          <w:szCs w:val="28"/>
        </w:rPr>
        <w:t>购销淡稳运行</w:t>
      </w:r>
      <w:proofErr w:type="gramEnd"/>
      <w:r w:rsidRPr="00F6621F">
        <w:rPr>
          <w:rFonts w:ascii="华文仿宋" w:eastAsia="华文仿宋" w:hAnsi="华文仿宋" w:cs="华文仿宋"/>
          <w:sz w:val="28"/>
          <w:szCs w:val="28"/>
        </w:rPr>
        <w:t>。</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华东地区成品</w:t>
      </w:r>
      <w:proofErr w:type="gramStart"/>
      <w:r w:rsidRPr="00F6621F">
        <w:rPr>
          <w:rFonts w:ascii="华文仿宋" w:eastAsia="华文仿宋" w:hAnsi="华文仿宋" w:cs="华文仿宋"/>
          <w:sz w:val="28"/>
          <w:szCs w:val="28"/>
        </w:rPr>
        <w:t>油行情</w:t>
      </w:r>
      <w:proofErr w:type="gramEnd"/>
      <w:r w:rsidRPr="00F6621F">
        <w:rPr>
          <w:rFonts w:ascii="华文仿宋" w:eastAsia="华文仿宋" w:hAnsi="华文仿宋" w:cs="华文仿宋"/>
          <w:sz w:val="28"/>
          <w:szCs w:val="28"/>
        </w:rPr>
        <w:t>继续推涨，市场交投气氛稍有好转。具体来看，周初零售价兑现上调，且原油价格连涨，消息面对市场有所支撑。此外，由于地方炼厂利润大幅萎缩，故近期频频</w:t>
      </w:r>
      <w:proofErr w:type="gramStart"/>
      <w:r w:rsidRPr="00F6621F">
        <w:rPr>
          <w:rFonts w:ascii="华文仿宋" w:eastAsia="华文仿宋" w:hAnsi="华文仿宋" w:cs="华文仿宋"/>
          <w:sz w:val="28"/>
          <w:szCs w:val="28"/>
        </w:rPr>
        <w:t>推涨汽</w:t>
      </w:r>
      <w:proofErr w:type="gramEnd"/>
      <w:r w:rsidRPr="00F6621F">
        <w:rPr>
          <w:rFonts w:ascii="华文仿宋" w:eastAsia="华文仿宋" w:hAnsi="华文仿宋" w:cs="华文仿宋"/>
          <w:sz w:val="28"/>
          <w:szCs w:val="28"/>
        </w:rPr>
        <w:t>柴油出厂价格，致使主营外</w:t>
      </w:r>
      <w:proofErr w:type="gramStart"/>
      <w:r w:rsidRPr="00F6621F">
        <w:rPr>
          <w:rFonts w:ascii="华文仿宋" w:eastAsia="华文仿宋" w:hAnsi="华文仿宋" w:cs="华文仿宋"/>
          <w:sz w:val="28"/>
          <w:szCs w:val="28"/>
        </w:rPr>
        <w:t>采成本持</w:t>
      </w:r>
      <w:proofErr w:type="gramEnd"/>
      <w:r w:rsidRPr="00F6621F">
        <w:rPr>
          <w:rFonts w:ascii="华文仿宋" w:eastAsia="华文仿宋" w:hAnsi="华文仿宋" w:cs="华文仿宋"/>
          <w:sz w:val="28"/>
          <w:szCs w:val="28"/>
        </w:rPr>
        <w:t>增，主营汽柴油报价大幅上调，汽柴价格上调350元/吨左右。周四隔夜原油收盘价格大幅下挫，但采购成本居高不下，部分单位价格仍有所推涨。当前汽柴行情高位运行，且由于山东</w:t>
      </w:r>
      <w:proofErr w:type="gramStart"/>
      <w:r w:rsidRPr="00F6621F">
        <w:rPr>
          <w:rFonts w:ascii="华文仿宋" w:eastAsia="华文仿宋" w:hAnsi="华文仿宋" w:cs="华文仿宋"/>
          <w:sz w:val="28"/>
          <w:szCs w:val="28"/>
        </w:rPr>
        <w:t>地炼不带票资源</w:t>
      </w:r>
      <w:proofErr w:type="gramEnd"/>
      <w:r w:rsidRPr="00F6621F">
        <w:rPr>
          <w:rFonts w:ascii="华文仿宋" w:eastAsia="华文仿宋" w:hAnsi="华文仿宋" w:cs="华文仿宋"/>
          <w:sz w:val="28"/>
          <w:szCs w:val="28"/>
        </w:rPr>
        <w:t>流入区内较多，对主营冲击较大，主营出货不畅。下游用户心态偏悲观，入市采购柴油有限，而汽油库存消耗进度较快，故近期仍有采购意向。后期来看，国际油价或仍维持高位区间震荡，消息面指向暂不明朗。由于华东主营外</w:t>
      </w:r>
      <w:proofErr w:type="gramStart"/>
      <w:r w:rsidRPr="00F6621F">
        <w:rPr>
          <w:rFonts w:ascii="华文仿宋" w:eastAsia="华文仿宋" w:hAnsi="华文仿宋" w:cs="华文仿宋"/>
          <w:sz w:val="28"/>
          <w:szCs w:val="28"/>
        </w:rPr>
        <w:t>采成本</w:t>
      </w:r>
      <w:proofErr w:type="gramEnd"/>
      <w:r w:rsidRPr="00F6621F">
        <w:rPr>
          <w:rFonts w:ascii="华文仿宋" w:eastAsia="华文仿宋" w:hAnsi="华文仿宋" w:cs="华文仿宋"/>
          <w:sz w:val="28"/>
          <w:szCs w:val="28"/>
        </w:rPr>
        <w:t>难以下跌，故下周汽柴行情或仍维持高位运行，不过随着月中临近，部分单位或适度放宽优惠追量，</w:t>
      </w:r>
      <w:proofErr w:type="gramStart"/>
      <w:r w:rsidRPr="00F6621F">
        <w:rPr>
          <w:rFonts w:ascii="华文仿宋" w:eastAsia="华文仿宋" w:hAnsi="华文仿宋" w:cs="华文仿宋"/>
          <w:sz w:val="28"/>
          <w:szCs w:val="28"/>
        </w:rPr>
        <w:t>下游对</w:t>
      </w:r>
      <w:proofErr w:type="gramEnd"/>
      <w:r w:rsidRPr="00F6621F">
        <w:rPr>
          <w:rFonts w:ascii="华文仿宋" w:eastAsia="华文仿宋" w:hAnsi="华文仿宋" w:cs="华文仿宋"/>
          <w:sz w:val="28"/>
          <w:szCs w:val="28"/>
        </w:rPr>
        <w:t>高价抵触逐渐升温，入市操作或难有明显改善。</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w:t>
      </w:r>
      <w:proofErr w:type="gramStart"/>
      <w:r w:rsidRPr="00F6621F">
        <w:rPr>
          <w:rFonts w:ascii="华文仿宋" w:eastAsia="华文仿宋" w:hAnsi="华文仿宋" w:cs="华文仿宋"/>
          <w:sz w:val="28"/>
          <w:szCs w:val="28"/>
        </w:rPr>
        <w:t>西北地炼柴油</w:t>
      </w:r>
      <w:proofErr w:type="gramEnd"/>
      <w:r w:rsidRPr="00F6621F">
        <w:rPr>
          <w:rFonts w:ascii="华文仿宋" w:eastAsia="华文仿宋" w:hAnsi="华文仿宋" w:cs="华文仿宋"/>
          <w:sz w:val="28"/>
          <w:szCs w:val="28"/>
        </w:rPr>
        <w:t>行情走高，汽油行情涨后小幅回调，市场成交略有提升。分析来看：周一，成品油零售价小幅上调，区内汽柴行情跟涨，尤其</w:t>
      </w:r>
      <w:proofErr w:type="gramStart"/>
      <w:r w:rsidRPr="00F6621F">
        <w:rPr>
          <w:rFonts w:ascii="华文仿宋" w:eastAsia="华文仿宋" w:hAnsi="华文仿宋" w:cs="华文仿宋"/>
          <w:sz w:val="28"/>
          <w:szCs w:val="28"/>
        </w:rPr>
        <w:t>汽油涨幅</w:t>
      </w:r>
      <w:proofErr w:type="gramEnd"/>
      <w:r w:rsidRPr="00F6621F">
        <w:rPr>
          <w:rFonts w:ascii="华文仿宋" w:eastAsia="华文仿宋" w:hAnsi="华文仿宋" w:cs="华文仿宋"/>
          <w:sz w:val="28"/>
          <w:szCs w:val="28"/>
        </w:rPr>
        <w:t>较大。周初，国际原油连涨，新一轮计价周期，上调预期初步显现，消息面对市场仍有</w:t>
      </w:r>
      <w:r w:rsidRPr="00F6621F">
        <w:rPr>
          <w:rFonts w:ascii="华文仿宋" w:eastAsia="华文仿宋" w:hAnsi="华文仿宋" w:cs="华文仿宋"/>
          <w:sz w:val="28"/>
          <w:szCs w:val="28"/>
        </w:rPr>
        <w:lastRenderedPageBreak/>
        <w:t>支撑。同时，山东</w:t>
      </w:r>
      <w:proofErr w:type="gramStart"/>
      <w:r w:rsidRPr="00F6621F">
        <w:rPr>
          <w:rFonts w:ascii="华文仿宋" w:eastAsia="华文仿宋" w:hAnsi="华文仿宋" w:cs="华文仿宋"/>
          <w:sz w:val="28"/>
          <w:szCs w:val="28"/>
        </w:rPr>
        <w:t>地炼及</w:t>
      </w:r>
      <w:proofErr w:type="gramEnd"/>
      <w:r w:rsidRPr="00F6621F">
        <w:rPr>
          <w:rFonts w:ascii="华文仿宋" w:eastAsia="华文仿宋" w:hAnsi="华文仿宋" w:cs="华文仿宋"/>
          <w:sz w:val="28"/>
          <w:szCs w:val="28"/>
        </w:rPr>
        <w:t>主营价格不断走高，区内价格优势再度增加。夏季汽油需求旺盛，柴油需求平淡，但“买涨”情绪下，业者补货均有所增多，市场成交氛围改善。周四，国际油价宽幅下挫，市场不稳定因素增加，加之，业者多已备货到位，陆续退市消库，汽油出货再度转淡，成交价格小幅回落。进入下周，国际油价高位震荡为主，本轮</w:t>
      </w:r>
      <w:proofErr w:type="gramStart"/>
      <w:r w:rsidRPr="00F6621F">
        <w:rPr>
          <w:rFonts w:ascii="华文仿宋" w:eastAsia="华文仿宋" w:hAnsi="华文仿宋" w:cs="华文仿宋"/>
          <w:sz w:val="28"/>
          <w:szCs w:val="28"/>
        </w:rPr>
        <w:t>调价仍</w:t>
      </w:r>
      <w:proofErr w:type="gramEnd"/>
      <w:r w:rsidRPr="00F6621F">
        <w:rPr>
          <w:rFonts w:ascii="华文仿宋" w:eastAsia="华文仿宋" w:hAnsi="华文仿宋" w:cs="华文仿宋"/>
          <w:sz w:val="28"/>
          <w:szCs w:val="28"/>
        </w:rPr>
        <w:t>存变数，消息面指引有限。业者操作心态趋于谨慎，</w:t>
      </w:r>
      <w:proofErr w:type="gramStart"/>
      <w:r w:rsidRPr="00F6621F">
        <w:rPr>
          <w:rFonts w:ascii="华文仿宋" w:eastAsia="华文仿宋" w:hAnsi="华文仿宋" w:cs="华文仿宋"/>
          <w:sz w:val="28"/>
          <w:szCs w:val="28"/>
        </w:rPr>
        <w:t>消库之余</w:t>
      </w:r>
      <w:proofErr w:type="gramEnd"/>
      <w:r w:rsidRPr="00F6621F">
        <w:rPr>
          <w:rFonts w:ascii="华文仿宋" w:eastAsia="华文仿宋" w:hAnsi="华文仿宋" w:cs="华文仿宋"/>
          <w:sz w:val="28"/>
          <w:szCs w:val="28"/>
        </w:rPr>
        <w:t>适量补货为主，市场成交难以持续向好。预计短期内</w:t>
      </w:r>
      <w:proofErr w:type="gramStart"/>
      <w:r w:rsidRPr="00F6621F">
        <w:rPr>
          <w:rFonts w:ascii="华文仿宋" w:eastAsia="华文仿宋" w:hAnsi="华文仿宋" w:cs="华文仿宋"/>
          <w:sz w:val="28"/>
          <w:szCs w:val="28"/>
        </w:rPr>
        <w:t>西北地炼汽柴</w:t>
      </w:r>
      <w:proofErr w:type="gramEnd"/>
      <w:r w:rsidRPr="00F6621F">
        <w:rPr>
          <w:rFonts w:ascii="华文仿宋" w:eastAsia="华文仿宋" w:hAnsi="华文仿宋" w:cs="华文仿宋"/>
          <w:sz w:val="28"/>
          <w:szCs w:val="28"/>
        </w:rPr>
        <w:t>行情走稳为主。</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西南地区汽柴行情涨势不止，市场成交提升有限。分析来看：周一，成品油零售价兑现上调，且周初原油价格连续收涨，上调预期显现，消息面对市场有所支撑。同时，山东</w:t>
      </w:r>
      <w:proofErr w:type="gramStart"/>
      <w:r w:rsidRPr="00F6621F">
        <w:rPr>
          <w:rFonts w:ascii="华文仿宋" w:eastAsia="华文仿宋" w:hAnsi="华文仿宋" w:cs="华文仿宋"/>
          <w:sz w:val="28"/>
          <w:szCs w:val="28"/>
        </w:rPr>
        <w:t>地炼价格</w:t>
      </w:r>
      <w:proofErr w:type="gramEnd"/>
      <w:r w:rsidRPr="00F6621F">
        <w:rPr>
          <w:rFonts w:ascii="华文仿宋" w:eastAsia="华文仿宋" w:hAnsi="华文仿宋" w:cs="华文仿宋"/>
          <w:sz w:val="28"/>
          <w:szCs w:val="28"/>
        </w:rPr>
        <w:t>不断推高，外</w:t>
      </w:r>
      <w:proofErr w:type="gramStart"/>
      <w:r w:rsidRPr="00F6621F">
        <w:rPr>
          <w:rFonts w:ascii="华文仿宋" w:eastAsia="华文仿宋" w:hAnsi="华文仿宋" w:cs="华文仿宋"/>
          <w:sz w:val="28"/>
          <w:szCs w:val="28"/>
        </w:rPr>
        <w:t>采成本</w:t>
      </w:r>
      <w:proofErr w:type="gramEnd"/>
      <w:r w:rsidRPr="00F6621F">
        <w:rPr>
          <w:rFonts w:ascii="华文仿宋" w:eastAsia="华文仿宋" w:hAnsi="华文仿宋" w:cs="华文仿宋"/>
          <w:sz w:val="28"/>
          <w:szCs w:val="28"/>
        </w:rPr>
        <w:t>持续增长，主营采购困难，汽柴价格亦大幅上推，汽柴价格上调300元/吨左右。周四，隔夜原油收盘价格宽幅下挫，但主营成本价格居高不下，部分地区资源收紧，汽柴行情继续走高。不过，当前汽柴行情较前期大幅提升，且下游需求难改平淡，业者操作心态谨慎，</w:t>
      </w:r>
      <w:proofErr w:type="gramStart"/>
      <w:r w:rsidRPr="00F6621F">
        <w:rPr>
          <w:rFonts w:ascii="华文仿宋" w:eastAsia="华文仿宋" w:hAnsi="华文仿宋" w:cs="华文仿宋"/>
          <w:sz w:val="28"/>
          <w:szCs w:val="28"/>
        </w:rPr>
        <w:t>消库之余</w:t>
      </w:r>
      <w:proofErr w:type="gramEnd"/>
      <w:r w:rsidRPr="00F6621F">
        <w:rPr>
          <w:rFonts w:ascii="华文仿宋" w:eastAsia="华文仿宋" w:hAnsi="华文仿宋" w:cs="华文仿宋"/>
          <w:sz w:val="28"/>
          <w:szCs w:val="28"/>
        </w:rPr>
        <w:t>适量补货为主，市场成交未见明显起色。进入下周，国际原油仍维持区间波动，本轮调价变数增加，消息面难有明确指引。</w:t>
      </w:r>
      <w:proofErr w:type="gramStart"/>
      <w:r w:rsidRPr="00F6621F">
        <w:rPr>
          <w:rFonts w:ascii="华文仿宋" w:eastAsia="华文仿宋" w:hAnsi="华文仿宋" w:cs="华文仿宋"/>
          <w:sz w:val="28"/>
          <w:szCs w:val="28"/>
        </w:rPr>
        <w:t>但地炼库存</w:t>
      </w:r>
      <w:proofErr w:type="gramEnd"/>
      <w:r w:rsidRPr="00F6621F">
        <w:rPr>
          <w:rFonts w:ascii="华文仿宋" w:eastAsia="华文仿宋" w:hAnsi="华文仿宋" w:cs="华文仿宋"/>
          <w:sz w:val="28"/>
          <w:szCs w:val="28"/>
        </w:rPr>
        <w:t>低位，汽柴价格维持高位，对主营价格仍有支撑，预计近期西南地区汽柴行情维持高位。业者观望之余适量补货，市场</w:t>
      </w:r>
      <w:proofErr w:type="gramStart"/>
      <w:r w:rsidRPr="00F6621F">
        <w:rPr>
          <w:rFonts w:ascii="华文仿宋" w:eastAsia="华文仿宋" w:hAnsi="华文仿宋" w:cs="华文仿宋"/>
          <w:sz w:val="28"/>
          <w:szCs w:val="28"/>
        </w:rPr>
        <w:t>成交难</w:t>
      </w:r>
      <w:proofErr w:type="gramEnd"/>
      <w:r w:rsidRPr="00F6621F">
        <w:rPr>
          <w:rFonts w:ascii="华文仿宋" w:eastAsia="华文仿宋" w:hAnsi="华文仿宋" w:cs="华文仿宋"/>
          <w:sz w:val="28"/>
          <w:szCs w:val="28"/>
        </w:rPr>
        <w:t>见活跃。</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步入下周，国际原油价格或维持高位震荡，本轮调价变数增加，消息面对市场难有明确指引。</w:t>
      </w:r>
      <w:proofErr w:type="gramStart"/>
      <w:r w:rsidRPr="00F6621F">
        <w:rPr>
          <w:rFonts w:ascii="华文仿宋" w:eastAsia="华文仿宋" w:hAnsi="华文仿宋" w:cs="华文仿宋"/>
          <w:sz w:val="28"/>
          <w:szCs w:val="28"/>
        </w:rPr>
        <w:t>地炼开工率</w:t>
      </w:r>
      <w:proofErr w:type="gramEnd"/>
      <w:r w:rsidRPr="00F6621F">
        <w:rPr>
          <w:rFonts w:ascii="华文仿宋" w:eastAsia="华文仿宋" w:hAnsi="华文仿宋" w:cs="华文仿宋"/>
          <w:sz w:val="28"/>
          <w:szCs w:val="28"/>
        </w:rPr>
        <w:t>小幅反弹，且缺少基本面需求支撑下，山东</w:t>
      </w:r>
      <w:proofErr w:type="gramStart"/>
      <w:r w:rsidRPr="00F6621F">
        <w:rPr>
          <w:rFonts w:ascii="华文仿宋" w:eastAsia="华文仿宋" w:hAnsi="华文仿宋" w:cs="华文仿宋"/>
          <w:sz w:val="28"/>
          <w:szCs w:val="28"/>
        </w:rPr>
        <w:t>地炼汽</w:t>
      </w:r>
      <w:proofErr w:type="gramEnd"/>
      <w:r w:rsidRPr="00F6621F">
        <w:rPr>
          <w:rFonts w:ascii="华文仿宋" w:eastAsia="华文仿宋" w:hAnsi="华文仿宋" w:cs="华文仿宋"/>
          <w:sz w:val="28"/>
          <w:szCs w:val="28"/>
        </w:rPr>
        <w:t>柴油价格恐将高位回调，但依然处于较高水平。受此影响，主营外</w:t>
      </w:r>
      <w:proofErr w:type="gramStart"/>
      <w:r w:rsidRPr="00F6621F">
        <w:rPr>
          <w:rFonts w:ascii="华文仿宋" w:eastAsia="华文仿宋" w:hAnsi="华文仿宋" w:cs="华文仿宋"/>
          <w:sz w:val="28"/>
          <w:szCs w:val="28"/>
        </w:rPr>
        <w:t>采成本难</w:t>
      </w:r>
      <w:proofErr w:type="gramEnd"/>
      <w:r w:rsidRPr="00F6621F">
        <w:rPr>
          <w:rFonts w:ascii="华文仿宋" w:eastAsia="华文仿宋" w:hAnsi="华文仿宋" w:cs="华文仿宋"/>
          <w:sz w:val="28"/>
          <w:szCs w:val="28"/>
        </w:rPr>
        <w:t>有明显回落，采购难度依然较大，部分地区资源供应偏紧，部分单位或继续推价。考</w:t>
      </w:r>
      <w:r w:rsidRPr="00F6621F">
        <w:rPr>
          <w:rFonts w:ascii="华文仿宋" w:eastAsia="华文仿宋" w:hAnsi="华文仿宋" w:cs="华文仿宋"/>
          <w:sz w:val="28"/>
          <w:szCs w:val="28"/>
        </w:rPr>
        <w:lastRenderedPageBreak/>
        <w:t>虑到目前高温多雨天气持续，户外工程基建等行业开工受限，柴油需求难改平淡。而汽油方面，夏季空调用油较多，整体需求旺盛。汽柴需求表现不一，汽油涨势或稍强于柴油。但国内汽柴行情已涨至高位，业者抵触情绪增加，加之，前期多已补货到位，市场成交将逐步转淡。综合而言，下周国内汽柴行情或仍有一定上行空间，但涨幅逐步收窄。同时，进入中旬，主营出货力度加大，优惠政策或将放宽。</w:t>
      </w:r>
    </w:p>
    <w:p w:rsidR="006C7D15" w:rsidRDefault="00FE2871">
      <w:pPr>
        <w:outlineLvl w:val="0"/>
        <w:rPr>
          <w:rFonts w:ascii="黑体"/>
          <w:b/>
          <w:bCs/>
          <w:sz w:val="28"/>
          <w:szCs w:val="28"/>
        </w:rPr>
      </w:pPr>
      <w:r>
        <w:rPr>
          <w:rFonts w:ascii="黑体" w:hint="eastAsia"/>
          <w:b/>
          <w:bCs/>
          <w:sz w:val="28"/>
          <w:szCs w:val="28"/>
        </w:rPr>
        <w:t>四、国内溶剂油市场综述</w:t>
      </w:r>
      <w:bookmarkEnd w:id="51"/>
    </w:p>
    <w:p w:rsidR="00BB2229" w:rsidRPr="00BB2229" w:rsidRDefault="00FE2871" w:rsidP="00BB2229">
      <w:pPr>
        <w:pStyle w:val="aa"/>
        <w:rPr>
          <w:rFonts w:ascii="华文仿宋" w:eastAsia="华文仿宋" w:hAnsi="华文仿宋" w:cs="华文仿宋"/>
          <w:sz w:val="28"/>
          <w:szCs w:val="28"/>
        </w:rPr>
      </w:pPr>
      <w:r>
        <w:rPr>
          <w:sz w:val="21"/>
          <w:szCs w:val="21"/>
        </w:rPr>
        <w:t xml:space="preserve">　</w:t>
      </w:r>
      <w:r>
        <w:rPr>
          <w:rFonts w:ascii="华文仿宋" w:eastAsia="华文仿宋" w:hAnsi="华文仿宋" w:cs="华文仿宋" w:hint="eastAsia"/>
          <w:sz w:val="28"/>
          <w:szCs w:val="28"/>
        </w:rPr>
        <w:t xml:space="preserve">   </w:t>
      </w:r>
      <w:r w:rsidR="00BB2229" w:rsidRPr="00BB2229">
        <w:rPr>
          <w:rFonts w:ascii="华文仿宋" w:eastAsia="华文仿宋" w:hAnsi="华文仿宋" w:cs="华文仿宋"/>
          <w:sz w:val="28"/>
          <w:szCs w:val="28"/>
        </w:rPr>
        <w:t>本周国内溶剂油市场平盘整理，观望氛围浓厚。分析来看，国际油价连续下挫，变化率负向运行，消息面利空发展。成本仍维持高位，多数炼厂价格稳定，但由于价格偏高，市场出货情况普遍欠佳，故仍有个别报盘适度压价销售。但下游用户入市谨慎，</w:t>
      </w:r>
      <w:proofErr w:type="gramStart"/>
      <w:r w:rsidR="00BB2229" w:rsidRPr="00BB2229">
        <w:rPr>
          <w:rFonts w:ascii="华文仿宋" w:eastAsia="华文仿宋" w:hAnsi="华文仿宋" w:cs="华文仿宋"/>
          <w:sz w:val="28"/>
          <w:szCs w:val="28"/>
        </w:rPr>
        <w:t>观望消库之余</w:t>
      </w:r>
      <w:proofErr w:type="gramEnd"/>
      <w:r w:rsidR="00BB2229" w:rsidRPr="00BB2229">
        <w:rPr>
          <w:rFonts w:ascii="华文仿宋" w:eastAsia="华文仿宋" w:hAnsi="华文仿宋" w:cs="华文仿宋"/>
          <w:sz w:val="28"/>
          <w:szCs w:val="28"/>
        </w:rPr>
        <w:t>，</w:t>
      </w:r>
      <w:proofErr w:type="gramStart"/>
      <w:r w:rsidR="00BB2229" w:rsidRPr="00BB2229">
        <w:rPr>
          <w:rFonts w:ascii="华文仿宋" w:eastAsia="华文仿宋" w:hAnsi="华文仿宋" w:cs="华文仿宋"/>
          <w:sz w:val="28"/>
          <w:szCs w:val="28"/>
        </w:rPr>
        <w:t>刚需小单</w:t>
      </w:r>
      <w:proofErr w:type="gramEnd"/>
      <w:r w:rsidR="00BB2229" w:rsidRPr="00BB2229">
        <w:rPr>
          <w:rFonts w:ascii="华文仿宋" w:eastAsia="华文仿宋" w:hAnsi="华文仿宋" w:cs="华文仿宋"/>
          <w:sz w:val="28"/>
          <w:szCs w:val="28"/>
        </w:rPr>
        <w:t>购进。 国标溶剂油价格有涨有跌，市场交投氛围淡稳，</w:t>
      </w:r>
      <w:proofErr w:type="gramStart"/>
      <w:r w:rsidR="00BB2229" w:rsidRPr="00BB2229">
        <w:rPr>
          <w:rFonts w:ascii="华文仿宋" w:eastAsia="华文仿宋" w:hAnsi="华文仿宋" w:cs="华文仿宋"/>
          <w:sz w:val="28"/>
          <w:szCs w:val="28"/>
        </w:rPr>
        <w:t>实单成交</w:t>
      </w:r>
      <w:proofErr w:type="gramEnd"/>
      <w:r w:rsidR="00BB2229" w:rsidRPr="00BB2229">
        <w:rPr>
          <w:rFonts w:ascii="华文仿宋" w:eastAsia="华文仿宋" w:hAnsi="华文仿宋" w:cs="华文仿宋"/>
          <w:sz w:val="28"/>
          <w:szCs w:val="28"/>
        </w:rPr>
        <w:t>偏于刚需。非标溶剂油市场小幅调整，</w:t>
      </w:r>
      <w:proofErr w:type="gramStart"/>
      <w:r w:rsidR="00BB2229" w:rsidRPr="00BB2229">
        <w:rPr>
          <w:rFonts w:ascii="华文仿宋" w:eastAsia="华文仿宋" w:hAnsi="华文仿宋" w:cs="华文仿宋"/>
          <w:sz w:val="28"/>
          <w:szCs w:val="28"/>
        </w:rPr>
        <w:t>实单成交</w:t>
      </w:r>
      <w:proofErr w:type="gramEnd"/>
      <w:r w:rsidR="00BB2229" w:rsidRPr="00BB2229">
        <w:rPr>
          <w:rFonts w:ascii="华文仿宋" w:eastAsia="华文仿宋" w:hAnsi="华文仿宋" w:cs="华文仿宋"/>
          <w:sz w:val="28"/>
          <w:szCs w:val="28"/>
        </w:rPr>
        <w:t>偏于刚需。预测：短期内国际油价</w:t>
      </w:r>
      <w:proofErr w:type="gramStart"/>
      <w:r w:rsidR="00BB2229" w:rsidRPr="00BB2229">
        <w:rPr>
          <w:rFonts w:ascii="华文仿宋" w:eastAsia="华文仿宋" w:hAnsi="华文仿宋" w:cs="华文仿宋"/>
          <w:sz w:val="28"/>
          <w:szCs w:val="28"/>
        </w:rPr>
        <w:t>震荡难</w:t>
      </w:r>
      <w:proofErr w:type="gramEnd"/>
      <w:r w:rsidR="00BB2229" w:rsidRPr="00BB2229">
        <w:rPr>
          <w:rFonts w:ascii="华文仿宋" w:eastAsia="华文仿宋" w:hAnsi="华文仿宋" w:cs="华文仿宋"/>
          <w:sz w:val="28"/>
          <w:szCs w:val="28"/>
        </w:rPr>
        <w:t>改，本轮零售价或将搁浅，消息面亦难有有效指引，但成本仍有支撑，故预计近期溶剂油价格横盘整理为主，出货维持宽松优惠。</w:t>
      </w:r>
    </w:p>
    <w:p w:rsidR="006C7D15" w:rsidRPr="00BB2229" w:rsidRDefault="006C7D15">
      <w:pPr>
        <w:pStyle w:val="aa"/>
        <w:rPr>
          <w:rFonts w:ascii="华文仿宋" w:eastAsia="华文仿宋" w:hAnsi="华文仿宋" w:cs="华文仿宋"/>
          <w:sz w:val="28"/>
          <w:szCs w:val="28"/>
        </w:rPr>
      </w:pPr>
    </w:p>
    <w:p w:rsidR="006C7D15" w:rsidRDefault="00FE2871">
      <w:pPr>
        <w:pStyle w:val="1"/>
        <w:spacing w:line="360" w:lineRule="auto"/>
        <w:rPr>
          <w:rFonts w:ascii="Microsoft YaHei" w:hAnsi="Microsoft YaHei" w:cs="宋体" w:hint="eastAsia"/>
          <w:kern w:val="0"/>
          <w:sz w:val="23"/>
          <w:szCs w:val="23"/>
        </w:rPr>
      </w:pPr>
      <w:bookmarkStart w:id="59" w:name="_Toc460250411"/>
      <w:bookmarkStart w:id="60" w:name="_Toc505350015"/>
      <w:bookmarkEnd w:id="52"/>
      <w:bookmarkEnd w:id="53"/>
      <w:bookmarkEnd w:id="54"/>
      <w:bookmarkEnd w:id="55"/>
      <w:bookmarkEnd w:id="56"/>
      <w:r>
        <w:rPr>
          <w:rFonts w:ascii="黑体" w:hAnsi="宋体" w:hint="eastAsia"/>
          <w:sz w:val="28"/>
          <w:szCs w:val="28"/>
        </w:rPr>
        <w:t>五、本周国内炼厂溶剂油产品价格对比</w:t>
      </w:r>
      <w:bookmarkEnd w:id="57"/>
      <w:bookmarkEnd w:id="58"/>
      <w:bookmarkEnd w:id="59"/>
      <w:bookmarkEnd w:id="60"/>
    </w:p>
    <w:p w:rsidR="006C7D15" w:rsidRDefault="00FE2871">
      <w:pPr>
        <w:rPr>
          <w:rFonts w:ascii="宋体" w:hAnsi="宋体"/>
          <w:sz w:val="20"/>
          <w:szCs w:val="20"/>
        </w:rPr>
      </w:pPr>
      <w:r>
        <w:rPr>
          <w:rFonts w:ascii="宋体" w:hAnsi="宋体" w:hint="eastAsia"/>
          <w:sz w:val="20"/>
          <w:szCs w:val="20"/>
        </w:rPr>
        <w:t>单位：元/吨</w:t>
      </w:r>
    </w:p>
    <w:tbl>
      <w:tblPr>
        <w:tblW w:w="5000" w:type="pct"/>
        <w:tblLook w:val="04A0"/>
      </w:tblPr>
      <w:tblGrid>
        <w:gridCol w:w="1043"/>
        <w:gridCol w:w="1915"/>
        <w:gridCol w:w="1043"/>
        <w:gridCol w:w="1043"/>
        <w:gridCol w:w="1043"/>
        <w:gridCol w:w="1043"/>
        <w:gridCol w:w="1416"/>
        <w:gridCol w:w="1416"/>
      </w:tblGrid>
      <w:tr w:rsidR="00182EC8" w:rsidRPr="00182EC8" w:rsidTr="00182EC8">
        <w:trPr>
          <w:trHeight w:val="240"/>
        </w:trPr>
        <w:tc>
          <w:tcPr>
            <w:tcW w:w="550" w:type="pct"/>
            <w:tcBorders>
              <w:top w:val="single" w:sz="4" w:space="0" w:color="auto"/>
              <w:left w:val="single" w:sz="4" w:space="0" w:color="auto"/>
              <w:bottom w:val="single" w:sz="4" w:space="0" w:color="auto"/>
              <w:right w:val="single" w:sz="4" w:space="0" w:color="auto"/>
            </w:tcBorders>
            <w:shd w:val="clear" w:color="000000" w:fill="00B0F0"/>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地区</w:t>
            </w:r>
          </w:p>
        </w:tc>
        <w:tc>
          <w:tcPr>
            <w:tcW w:w="988" w:type="pct"/>
            <w:tcBorders>
              <w:top w:val="single" w:sz="4" w:space="0" w:color="auto"/>
              <w:left w:val="nil"/>
              <w:bottom w:val="single" w:sz="4" w:space="0" w:color="auto"/>
              <w:right w:val="single" w:sz="4" w:space="0" w:color="auto"/>
            </w:tcBorders>
            <w:shd w:val="clear" w:color="000000" w:fill="00B0F0"/>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生产厂家</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产品名称</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型号</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价格类型</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涨跌</w:t>
            </w:r>
          </w:p>
        </w:tc>
        <w:tc>
          <w:tcPr>
            <w:tcW w:w="631"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2018/8/17</w:t>
            </w:r>
          </w:p>
        </w:tc>
        <w:tc>
          <w:tcPr>
            <w:tcW w:w="631"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2018/8/10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锦州石化精细化工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4900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4900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锦州石化精细化工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锦州石化精细化工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4900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4900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100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5500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5400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190#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6000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5600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大庆</w:t>
            </w:r>
            <w:proofErr w:type="gramStart"/>
            <w:r w:rsidRPr="00182EC8">
              <w:rPr>
                <w:rFonts w:ascii="华文仿宋" w:eastAsia="华文仿宋" w:hAnsi="华文仿宋" w:cs="宋体" w:hint="eastAsia"/>
                <w:kern w:val="0"/>
                <w:sz w:val="28"/>
                <w:szCs w:val="28"/>
              </w:rPr>
              <w:t>庆</w:t>
            </w:r>
            <w:proofErr w:type="gramEnd"/>
            <w:r w:rsidRPr="00182EC8">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大庆</w:t>
            </w:r>
            <w:proofErr w:type="gramStart"/>
            <w:r w:rsidRPr="00182EC8">
              <w:rPr>
                <w:rFonts w:ascii="华文仿宋" w:eastAsia="华文仿宋" w:hAnsi="华文仿宋" w:cs="宋体" w:hint="eastAsia"/>
                <w:kern w:val="0"/>
                <w:sz w:val="28"/>
                <w:szCs w:val="28"/>
              </w:rPr>
              <w:t>庆</w:t>
            </w:r>
            <w:proofErr w:type="gramEnd"/>
            <w:r w:rsidRPr="00182EC8">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大庆</w:t>
            </w:r>
            <w:proofErr w:type="gramStart"/>
            <w:r w:rsidRPr="00182EC8">
              <w:rPr>
                <w:rFonts w:ascii="华文仿宋" w:eastAsia="华文仿宋" w:hAnsi="华文仿宋" w:cs="宋体" w:hint="eastAsia"/>
                <w:kern w:val="0"/>
                <w:sz w:val="28"/>
                <w:szCs w:val="28"/>
              </w:rPr>
              <w:t>庆</w:t>
            </w:r>
            <w:proofErr w:type="gramEnd"/>
            <w:r w:rsidRPr="00182EC8">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180#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大庆</w:t>
            </w:r>
            <w:proofErr w:type="gramStart"/>
            <w:r w:rsidRPr="00182EC8">
              <w:rPr>
                <w:rFonts w:ascii="华文仿宋" w:eastAsia="华文仿宋" w:hAnsi="华文仿宋" w:cs="宋体" w:hint="eastAsia"/>
                <w:kern w:val="0"/>
                <w:sz w:val="28"/>
                <w:szCs w:val="28"/>
              </w:rPr>
              <w:t>庆</w:t>
            </w:r>
            <w:proofErr w:type="gramEnd"/>
            <w:r w:rsidRPr="00182EC8">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6000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6000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5800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5800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沧州炼厂</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140#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180#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260#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280#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150#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和利时</w:t>
            </w:r>
            <w:proofErr w:type="gramEnd"/>
            <w:r w:rsidRPr="00182EC8">
              <w:rPr>
                <w:rFonts w:ascii="华文仿宋" w:eastAsia="华文仿宋" w:hAnsi="华文仿宋" w:cs="宋体" w:hint="eastAsia"/>
                <w:kern w:val="0"/>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5550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5550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和利时</w:t>
            </w:r>
            <w:proofErr w:type="gramEnd"/>
            <w:r w:rsidRPr="00182EC8">
              <w:rPr>
                <w:rFonts w:ascii="华文仿宋" w:eastAsia="华文仿宋" w:hAnsi="华文仿宋" w:cs="宋体" w:hint="eastAsia"/>
                <w:kern w:val="0"/>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5800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5800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和利时</w:t>
            </w:r>
            <w:proofErr w:type="gramEnd"/>
            <w:r w:rsidRPr="00182EC8">
              <w:rPr>
                <w:rFonts w:ascii="华文仿宋" w:eastAsia="华文仿宋" w:hAnsi="华文仿宋" w:cs="宋体" w:hint="eastAsia"/>
                <w:kern w:val="0"/>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山东集兴化工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山东集兴化工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山东</w:t>
            </w:r>
            <w:proofErr w:type="gramStart"/>
            <w:r w:rsidRPr="00182EC8">
              <w:rPr>
                <w:rFonts w:ascii="华文仿宋" w:eastAsia="华文仿宋" w:hAnsi="华文仿宋" w:cs="宋体" w:hint="eastAsia"/>
                <w:kern w:val="0"/>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5700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5700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山东</w:t>
            </w:r>
            <w:proofErr w:type="gramStart"/>
            <w:r w:rsidRPr="00182EC8">
              <w:rPr>
                <w:rFonts w:ascii="华文仿宋" w:eastAsia="华文仿宋" w:hAnsi="华文仿宋" w:cs="宋体" w:hint="eastAsia"/>
                <w:kern w:val="0"/>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5700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5700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山东</w:t>
            </w:r>
            <w:proofErr w:type="gramStart"/>
            <w:r w:rsidRPr="00182EC8">
              <w:rPr>
                <w:rFonts w:ascii="华文仿宋" w:eastAsia="华文仿宋" w:hAnsi="华文仿宋" w:cs="宋体" w:hint="eastAsia"/>
                <w:kern w:val="0"/>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200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5500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5300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200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5500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5300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100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6000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5000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5000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4800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4800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5000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5000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青岛石化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济南炼厂</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东明石化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7150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7150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金陵石化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6700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6700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金陵石化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7250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7250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扬子石化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扬子石化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镇海炼化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镇海炼化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高桥石化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高桥石化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90#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清江石化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5800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5800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杭州炼厂</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泰州石化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7100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7100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金陵烷基苯厂</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扬州石化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广州石化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广州石化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广州赫尔普公司</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广州赫尔普公司</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南海志德</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4400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4400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南海志德</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4400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4400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南方石油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南方石油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茂名石化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茂名石化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九江石化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九江石化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茂名华粤</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茂名华粤</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260#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福建联合</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洛阳石化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洛阳石化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5700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5700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120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5660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5540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巴陵石化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110#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巴陵石化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6800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6800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南阳石化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武汉石化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武汉石化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7#</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独山子石化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独山子石化</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新疆康佳投资(集团)</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新疆康佳投资(集团)</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7#</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190#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南充炼厂</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bl>
    <w:p w:rsidR="006C7D15" w:rsidRDefault="006C7D15">
      <w:pPr>
        <w:rPr>
          <w:rFonts w:ascii="宋体" w:hAnsi="宋体"/>
          <w:sz w:val="20"/>
          <w:szCs w:val="20"/>
        </w:rPr>
      </w:pPr>
    </w:p>
    <w:p w:rsidR="006C7D15" w:rsidRDefault="006C7D15">
      <w:pPr>
        <w:widowControl/>
        <w:jc w:val="center"/>
        <w:rPr>
          <w:rFonts w:ascii="华文仿宋" w:eastAsia="华文仿宋" w:hAnsi="华文仿宋"/>
          <w:sz w:val="28"/>
          <w:szCs w:val="28"/>
        </w:rPr>
      </w:pPr>
    </w:p>
    <w:p w:rsidR="006C7D15" w:rsidRDefault="006C7D15">
      <w:pPr>
        <w:widowControl/>
        <w:jc w:val="center"/>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61" w:name="_Toc296600821"/>
      <w:bookmarkStart w:id="62" w:name="_Toc460250412"/>
      <w:bookmarkStart w:id="63" w:name="_Toc281568213"/>
      <w:bookmarkStart w:id="64" w:name="_Toc505350016"/>
      <w:r>
        <w:rPr>
          <w:rFonts w:ascii="黑体" w:hAnsi="宋体" w:hint="eastAsia"/>
          <w:sz w:val="28"/>
          <w:szCs w:val="28"/>
        </w:rPr>
        <w:t>六、D系列特种溶剂油</w:t>
      </w:r>
      <w:bookmarkEnd w:id="61"/>
      <w:bookmarkEnd w:id="62"/>
      <w:bookmarkEnd w:id="63"/>
      <w:bookmarkEnd w:id="64"/>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5000" w:type="pct"/>
        <w:tblLook w:val="04A0"/>
      </w:tblPr>
      <w:tblGrid>
        <w:gridCol w:w="2210"/>
        <w:gridCol w:w="1230"/>
        <w:gridCol w:w="1230"/>
        <w:gridCol w:w="1230"/>
        <w:gridCol w:w="1230"/>
        <w:gridCol w:w="1416"/>
        <w:gridCol w:w="1416"/>
      </w:tblGrid>
      <w:tr w:rsidR="00182EC8" w:rsidRPr="00182EC8" w:rsidTr="00182EC8">
        <w:trPr>
          <w:trHeight w:val="285"/>
        </w:trPr>
        <w:tc>
          <w:tcPr>
            <w:tcW w:w="1110"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生产厂家</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产品名称</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型号</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价格类型</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涨跌</w:t>
            </w:r>
          </w:p>
        </w:tc>
        <w:tc>
          <w:tcPr>
            <w:tcW w:w="709"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2018/8/17</w:t>
            </w:r>
          </w:p>
        </w:tc>
        <w:tc>
          <w:tcPr>
            <w:tcW w:w="709"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2018/8/10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沧州炼厂</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D20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6945</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6945</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7545</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7545</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D75</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8045</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8045</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9145</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D90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9145</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D95</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9145</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D105</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8145</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8145</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9145</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D110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8145</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8145</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D120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7745</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7745</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6100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D90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D140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6300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6300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7300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7300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7900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7900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8150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8150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8550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8550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清江石化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D110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7650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7650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D130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8200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8200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D130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D70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D95</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6900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6900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6900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6900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D65</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6900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6900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7000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7000</w:t>
            </w:r>
          </w:p>
        </w:tc>
      </w:tr>
      <w:tr w:rsidR="00182EC8" w:rsidRPr="00182EC8" w:rsidTr="00182EC8">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bl>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5" w:name="_Toc296600822"/>
      <w:bookmarkStart w:id="66" w:name="_Toc281568214"/>
      <w:bookmarkStart w:id="67" w:name="_Toc505350017"/>
      <w:bookmarkStart w:id="68" w:name="_Toc460250413"/>
      <w:r>
        <w:rPr>
          <w:rFonts w:ascii="华文仿宋" w:eastAsia="华文仿宋" w:hAnsi="华文仿宋" w:hint="eastAsia"/>
          <w:bCs w:val="0"/>
          <w:kern w:val="2"/>
          <w:sz w:val="28"/>
          <w:szCs w:val="28"/>
        </w:rPr>
        <w:lastRenderedPageBreak/>
        <w:t>七、重芳烃溶剂油</w:t>
      </w:r>
      <w:bookmarkEnd w:id="65"/>
      <w:bookmarkEnd w:id="66"/>
      <w:bookmarkEnd w:id="67"/>
      <w:bookmarkEnd w:id="68"/>
    </w:p>
    <w:p w:rsidR="006C7D15" w:rsidRDefault="00FE2871">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5000" w:type="pct"/>
        <w:tblLook w:val="04A0"/>
      </w:tblPr>
      <w:tblGrid>
        <w:gridCol w:w="1051"/>
        <w:gridCol w:w="1587"/>
        <w:gridCol w:w="1258"/>
        <w:gridCol w:w="1150"/>
        <w:gridCol w:w="1052"/>
        <w:gridCol w:w="1032"/>
        <w:gridCol w:w="1416"/>
        <w:gridCol w:w="1416"/>
      </w:tblGrid>
      <w:tr w:rsidR="00182EC8" w:rsidRPr="00182EC8" w:rsidTr="00182EC8">
        <w:trPr>
          <w:trHeight w:val="285"/>
        </w:trPr>
        <w:tc>
          <w:tcPr>
            <w:tcW w:w="559"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地区</w:t>
            </w:r>
          </w:p>
        </w:tc>
        <w:tc>
          <w:tcPr>
            <w:tcW w:w="828"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生产厂家</w:t>
            </w:r>
          </w:p>
        </w:tc>
        <w:tc>
          <w:tcPr>
            <w:tcW w:w="663"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产品名称</w:t>
            </w:r>
          </w:p>
        </w:tc>
        <w:tc>
          <w:tcPr>
            <w:tcW w:w="559"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型号</w:t>
            </w:r>
          </w:p>
        </w:tc>
        <w:tc>
          <w:tcPr>
            <w:tcW w:w="559"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价格类型</w:t>
            </w:r>
          </w:p>
        </w:tc>
        <w:tc>
          <w:tcPr>
            <w:tcW w:w="549"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涨跌</w:t>
            </w:r>
          </w:p>
        </w:tc>
        <w:tc>
          <w:tcPr>
            <w:tcW w:w="642"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2018/8/17</w:t>
            </w:r>
          </w:p>
        </w:tc>
        <w:tc>
          <w:tcPr>
            <w:tcW w:w="642"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2018/8/10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1000#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5900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5900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1500#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5800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5800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6000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6000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150#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混合芳烃</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燕化高新</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燕化高新</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淄博锐博</w:t>
            </w:r>
            <w:r w:rsidRPr="00182EC8">
              <w:rPr>
                <w:rFonts w:ascii="华文仿宋" w:eastAsia="华文仿宋" w:hAnsi="华文仿宋" w:cs="宋体" w:hint="eastAsia"/>
                <w:kern w:val="0"/>
                <w:sz w:val="28"/>
                <w:szCs w:val="28"/>
              </w:rPr>
              <w:lastRenderedPageBreak/>
              <w:t>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芳烃溶</w:t>
            </w:r>
            <w:r w:rsidRPr="00182EC8">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S100A</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w:t>
            </w:r>
            <w:r w:rsidRPr="00182EC8">
              <w:rPr>
                <w:rFonts w:ascii="华文仿宋" w:eastAsia="华文仿宋" w:hAnsi="华文仿宋" w:cs="宋体" w:hint="eastAsia"/>
                <w:kern w:val="0"/>
                <w:sz w:val="28"/>
                <w:szCs w:val="28"/>
              </w:rPr>
              <w:lastRenderedPageBreak/>
              <w:t>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淄博锐博化工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S100B</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5900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5900</w:t>
            </w:r>
          </w:p>
        </w:tc>
      </w:tr>
      <w:tr w:rsidR="00182EC8" w:rsidRPr="00182EC8" w:rsidTr="00182EC8">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S150#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5700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5700</w:t>
            </w:r>
          </w:p>
        </w:tc>
      </w:tr>
      <w:tr w:rsidR="00182EC8" w:rsidRPr="00182EC8" w:rsidTr="00182EC8">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S180#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4700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4700</w:t>
            </w:r>
          </w:p>
        </w:tc>
      </w:tr>
      <w:tr w:rsidR="00182EC8" w:rsidRPr="00182EC8" w:rsidTr="00182EC8">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丹阳</w:t>
            </w:r>
            <w:proofErr w:type="gramStart"/>
            <w:r w:rsidRPr="00182EC8">
              <w:rPr>
                <w:rFonts w:ascii="华文仿宋" w:eastAsia="华文仿宋" w:hAnsi="华文仿宋" w:cs="宋体" w:hint="eastAsia"/>
                <w:kern w:val="0"/>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混三甲苯</w:t>
            </w:r>
            <w:proofErr w:type="gramEnd"/>
            <w:r w:rsidRPr="00182EC8">
              <w:rPr>
                <w:rFonts w:ascii="华文仿宋" w:eastAsia="华文仿宋" w:hAnsi="华文仿宋" w:cs="宋体" w:hint="eastAsia"/>
                <w:kern w:val="0"/>
                <w:sz w:val="28"/>
                <w:szCs w:val="28"/>
              </w:rPr>
              <w:t>-1</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丹阳</w:t>
            </w:r>
            <w:proofErr w:type="gramStart"/>
            <w:r w:rsidRPr="00182EC8">
              <w:rPr>
                <w:rFonts w:ascii="华文仿宋" w:eastAsia="华文仿宋" w:hAnsi="华文仿宋" w:cs="宋体" w:hint="eastAsia"/>
                <w:kern w:val="0"/>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混三甲苯</w:t>
            </w:r>
            <w:proofErr w:type="gramEnd"/>
            <w:r w:rsidRPr="00182EC8">
              <w:rPr>
                <w:rFonts w:ascii="华文仿宋" w:eastAsia="华文仿宋" w:hAnsi="华文仿宋" w:cs="宋体" w:hint="eastAsia"/>
                <w:kern w:val="0"/>
                <w:sz w:val="28"/>
                <w:szCs w:val="28"/>
              </w:rPr>
              <w:t>-3</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丹阳</w:t>
            </w:r>
            <w:proofErr w:type="gramStart"/>
            <w:r w:rsidRPr="00182EC8">
              <w:rPr>
                <w:rFonts w:ascii="华文仿宋" w:eastAsia="华文仿宋" w:hAnsi="华文仿宋" w:cs="宋体" w:hint="eastAsia"/>
                <w:kern w:val="0"/>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混四甲苯</w:t>
            </w:r>
            <w:proofErr w:type="gramEnd"/>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云合化工</w:t>
            </w:r>
            <w:r w:rsidRPr="00182EC8">
              <w:rPr>
                <w:rFonts w:ascii="华文仿宋" w:eastAsia="华文仿宋" w:hAnsi="华文仿宋" w:cs="宋体" w:hint="eastAsia"/>
                <w:kern w:val="0"/>
                <w:sz w:val="28"/>
                <w:szCs w:val="28"/>
              </w:rPr>
              <w:lastRenderedPageBreak/>
              <w:t>厂</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芳烃溶</w:t>
            </w:r>
            <w:r w:rsidRPr="00182EC8">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S-1000#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w:t>
            </w:r>
            <w:r w:rsidRPr="00182EC8">
              <w:rPr>
                <w:rFonts w:ascii="华文仿宋" w:eastAsia="华文仿宋" w:hAnsi="华文仿宋" w:cs="宋体" w:hint="eastAsia"/>
                <w:kern w:val="0"/>
                <w:sz w:val="28"/>
                <w:szCs w:val="28"/>
              </w:rPr>
              <w:lastRenderedPageBreak/>
              <w:t>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S-1800#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S-2300#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800#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1000#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6800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6800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1500#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6600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6600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1800#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5600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5600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S1000#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S1001#</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溧阳诚兴</w:t>
            </w:r>
            <w:r w:rsidRPr="00182EC8">
              <w:rPr>
                <w:rFonts w:ascii="华文仿宋" w:eastAsia="华文仿宋" w:hAnsi="华文仿宋" w:cs="宋体" w:hint="eastAsia"/>
                <w:kern w:val="0"/>
                <w:sz w:val="28"/>
                <w:szCs w:val="28"/>
              </w:rPr>
              <w:lastRenderedPageBreak/>
              <w:t>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芳烃溶</w:t>
            </w:r>
            <w:r w:rsidRPr="00182EC8">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S1501#</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w:t>
            </w:r>
            <w:r w:rsidRPr="00182EC8">
              <w:rPr>
                <w:rFonts w:ascii="华文仿宋" w:eastAsia="华文仿宋" w:hAnsi="华文仿宋" w:cs="宋体" w:hint="eastAsia"/>
                <w:kern w:val="0"/>
                <w:sz w:val="28"/>
                <w:szCs w:val="28"/>
              </w:rPr>
              <w:lastRenderedPageBreak/>
              <w:t>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S1800A</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S1800B</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S100#A</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7200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7100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S100#B</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7200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7100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S100#C</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7200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7100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S150#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100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7300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7200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S180#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7000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6800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长岭炼化</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混合甲乙苯</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长岭炼化</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混合三甲苯</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洛阳宇晶</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w:t>
            </w:r>
            <w:r w:rsidRPr="00182EC8">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S1000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w:t>
            </w:r>
            <w:r w:rsidRPr="00182EC8">
              <w:rPr>
                <w:rFonts w:ascii="华文仿宋" w:eastAsia="华文仿宋" w:hAnsi="华文仿宋" w:cs="宋体" w:hint="eastAsia"/>
                <w:kern w:val="0"/>
                <w:sz w:val="28"/>
                <w:szCs w:val="28"/>
              </w:rPr>
              <w:lastRenderedPageBreak/>
              <w:t>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4300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4300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华中</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洛阳宇晶</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4000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4000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九江华庐</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C9</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proofErr w:type="gramStart"/>
            <w:r w:rsidRPr="00182EC8">
              <w:rPr>
                <w:rFonts w:ascii="华文仿宋" w:eastAsia="华文仿宋" w:hAnsi="华文仿宋" w:cs="宋体" w:hint="eastAsia"/>
                <w:kern w:val="0"/>
                <w:sz w:val="28"/>
                <w:szCs w:val="28"/>
              </w:rPr>
              <w:t>九江华庐</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C10</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中海油惠州</w:t>
            </w:r>
          </w:p>
        </w:tc>
        <w:tc>
          <w:tcPr>
            <w:tcW w:w="663"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C9</w:t>
            </w:r>
          </w:p>
        </w:tc>
        <w:tc>
          <w:tcPr>
            <w:tcW w:w="55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bl>
    <w:p w:rsidR="006C7D15" w:rsidRDefault="006C7D15">
      <w:pPr>
        <w:autoSpaceDE w:val="0"/>
        <w:autoSpaceDN w:val="0"/>
        <w:adjustRightInd w:val="0"/>
        <w:ind w:firstLineChars="50" w:firstLine="140"/>
        <w:rPr>
          <w:rFonts w:ascii="华文仿宋" w:eastAsia="华文仿宋" w:hAnsi="华文仿宋"/>
          <w:sz w:val="28"/>
          <w:szCs w:val="28"/>
        </w:rPr>
      </w:pPr>
    </w:p>
    <w:p w:rsidR="006C7D15" w:rsidRDefault="006C7D15">
      <w:pPr>
        <w:widowControl/>
        <w:jc w:val="center"/>
        <w:rPr>
          <w:rFonts w:ascii="华文仿宋" w:eastAsia="华文仿宋" w:hAnsi="华文仿宋"/>
          <w:sz w:val="28"/>
          <w:szCs w:val="28"/>
        </w:rPr>
      </w:pPr>
    </w:p>
    <w:p w:rsidR="006C7D15" w:rsidRDefault="006C7D15">
      <w:pPr>
        <w:widowControl/>
        <w:jc w:val="center"/>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9" w:name="_Toc296600823"/>
      <w:bookmarkStart w:id="70" w:name="_Toc180485835"/>
      <w:bookmarkStart w:id="71" w:name="_Toc460250414"/>
      <w:bookmarkStart w:id="72" w:name="_Toc281568215"/>
      <w:bookmarkStart w:id="73" w:name="_Toc505350018"/>
      <w:r>
        <w:rPr>
          <w:rFonts w:ascii="华文仿宋" w:eastAsia="华文仿宋" w:hAnsi="华文仿宋" w:hint="eastAsia"/>
          <w:bCs w:val="0"/>
          <w:kern w:val="2"/>
          <w:sz w:val="28"/>
          <w:szCs w:val="28"/>
        </w:rPr>
        <w:t>八、正己</w:t>
      </w:r>
      <w:proofErr w:type="gramStart"/>
      <w:r>
        <w:rPr>
          <w:rFonts w:ascii="华文仿宋" w:eastAsia="华文仿宋" w:hAnsi="华文仿宋" w:hint="eastAsia"/>
          <w:bCs w:val="0"/>
          <w:kern w:val="2"/>
          <w:sz w:val="28"/>
          <w:szCs w:val="28"/>
        </w:rPr>
        <w:t>烷</w:t>
      </w:r>
      <w:bookmarkEnd w:id="69"/>
      <w:bookmarkEnd w:id="70"/>
      <w:bookmarkEnd w:id="71"/>
      <w:bookmarkEnd w:id="72"/>
      <w:bookmarkEnd w:id="73"/>
      <w:proofErr w:type="gramEnd"/>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w:t>
      </w:r>
      <w:proofErr w:type="gramStart"/>
      <w:r>
        <w:rPr>
          <w:rFonts w:ascii="华文仿宋" w:eastAsia="华文仿宋" w:hAnsi="华文仿宋" w:hint="eastAsia"/>
          <w:sz w:val="28"/>
          <w:szCs w:val="28"/>
        </w:rPr>
        <w:t>烷</w:t>
      </w:r>
      <w:proofErr w:type="gramEnd"/>
      <w:r>
        <w:rPr>
          <w:rFonts w:ascii="华文仿宋" w:eastAsia="华文仿宋" w:hAnsi="华文仿宋" w:hint="eastAsia"/>
          <w:sz w:val="28"/>
          <w:szCs w:val="28"/>
        </w:rPr>
        <w:t>价格汇总</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tbl>
      <w:tblPr>
        <w:tblW w:w="5000" w:type="pct"/>
        <w:tblLook w:val="04A0"/>
      </w:tblPr>
      <w:tblGrid>
        <w:gridCol w:w="1880"/>
        <w:gridCol w:w="1881"/>
        <w:gridCol w:w="1881"/>
        <w:gridCol w:w="2160"/>
        <w:gridCol w:w="2160"/>
      </w:tblGrid>
      <w:tr w:rsidR="00182EC8" w:rsidRPr="00182EC8" w:rsidTr="00182EC8">
        <w:trPr>
          <w:trHeight w:val="285"/>
        </w:trPr>
        <w:tc>
          <w:tcPr>
            <w:tcW w:w="944"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产品名称</w:t>
            </w:r>
          </w:p>
        </w:tc>
        <w:tc>
          <w:tcPr>
            <w:tcW w:w="944"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价格类型</w:t>
            </w:r>
          </w:p>
        </w:tc>
        <w:tc>
          <w:tcPr>
            <w:tcW w:w="944"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涨跌</w:t>
            </w:r>
          </w:p>
        </w:tc>
        <w:tc>
          <w:tcPr>
            <w:tcW w:w="1084"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2018/8/17</w:t>
            </w:r>
          </w:p>
        </w:tc>
        <w:tc>
          <w:tcPr>
            <w:tcW w:w="1084" w:type="pct"/>
            <w:tcBorders>
              <w:top w:val="single" w:sz="4" w:space="0" w:color="auto"/>
              <w:left w:val="nil"/>
              <w:bottom w:val="single" w:sz="4" w:space="0" w:color="auto"/>
              <w:right w:val="single" w:sz="4" w:space="0" w:color="auto"/>
            </w:tcBorders>
            <w:shd w:val="clear" w:color="000000" w:fill="99CCFF"/>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2018/8/10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6000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6000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8000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8000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lastRenderedPageBreak/>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7100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7100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7050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7050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7500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7500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7000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7000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7400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7400</w:t>
            </w:r>
          </w:p>
        </w:tc>
      </w:tr>
      <w:tr w:rsidR="00182EC8" w:rsidRPr="00182EC8" w:rsidTr="00182EC8">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82EC8" w:rsidRPr="00182EC8" w:rsidRDefault="00182EC8" w:rsidP="00182EC8">
            <w:pPr>
              <w:widowControl/>
              <w:jc w:val="center"/>
              <w:rPr>
                <w:rFonts w:ascii="华文仿宋" w:eastAsia="华文仿宋" w:hAnsi="华文仿宋" w:cs="宋体"/>
                <w:kern w:val="0"/>
                <w:sz w:val="28"/>
                <w:szCs w:val="28"/>
              </w:rPr>
            </w:pPr>
            <w:r w:rsidRPr="00182EC8">
              <w:rPr>
                <w:rFonts w:ascii="华文仿宋" w:eastAsia="华文仿宋" w:hAnsi="华文仿宋" w:cs="宋体"/>
                <w:kern w:val="0"/>
                <w:sz w:val="28"/>
                <w:szCs w:val="28"/>
              </w:rPr>
              <w:t>0</w:t>
            </w:r>
          </w:p>
        </w:tc>
      </w:tr>
    </w:tbl>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 w:val="0"/>
          <w:bCs w:val="0"/>
          <w:kern w:val="2"/>
          <w:sz w:val="28"/>
          <w:szCs w:val="28"/>
        </w:rPr>
      </w:pPr>
      <w:bookmarkStart w:id="74" w:name="_Toc296600824"/>
      <w:bookmarkStart w:id="75" w:name="_Toc505350019"/>
      <w:bookmarkStart w:id="76" w:name="_Toc460250415"/>
      <w:bookmarkStart w:id="77" w:name="_Toc281568216"/>
      <w:r>
        <w:rPr>
          <w:rFonts w:ascii="华文仿宋" w:eastAsia="华文仿宋" w:hAnsi="华文仿宋" w:hint="eastAsia"/>
          <w:b w:val="0"/>
          <w:bCs w:val="0"/>
          <w:kern w:val="2"/>
          <w:sz w:val="28"/>
          <w:szCs w:val="28"/>
        </w:rPr>
        <w:t>九、2018年3月中国溶剂油石脑油进出口数据统计</w:t>
      </w:r>
      <w:bookmarkEnd w:id="74"/>
      <w:bookmarkEnd w:id="75"/>
      <w:bookmarkEnd w:id="76"/>
      <w:bookmarkEnd w:id="77"/>
    </w:p>
    <w:p w:rsidR="006C7D15" w:rsidRDefault="006C7D15"/>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bookmarkStart w:id="78" w:name="_Toc296600826"/>
      <w:bookmarkStart w:id="79" w:name="_Toc281568218"/>
      <w:r>
        <w:rPr>
          <w:rFonts w:ascii="华文仿宋" w:eastAsia="华文仿宋" w:hAnsi="华文仿宋" w:hint="eastAsia"/>
          <w:sz w:val="28"/>
          <w:szCs w:val="28"/>
        </w:rPr>
        <w:t>2018年3月中国</w:t>
      </w:r>
      <w:r>
        <w:rPr>
          <w:rFonts w:ascii="华文仿宋" w:eastAsia="华文仿宋" w:hAnsi="华文仿宋"/>
          <w:sz w:val="28"/>
          <w:szCs w:val="28"/>
        </w:rPr>
        <w:t>橡胶溶剂油、油漆溶剂油、抽提溶剂油</w:t>
      </w:r>
      <w:bookmarkEnd w:id="78"/>
      <w:bookmarkEnd w:id="79"/>
      <w:r>
        <w:rPr>
          <w:rFonts w:ascii="华文仿宋" w:eastAsia="华文仿宋" w:hAnsi="华文仿宋" w:hint="eastAsia"/>
          <w:sz w:val="28"/>
          <w:szCs w:val="28"/>
        </w:rPr>
        <w:t>进出口数据</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r>
        <w:rPr>
          <w:rFonts w:ascii="华文仿宋" w:eastAsia="华文仿宋" w:hAnsi="华文仿宋" w:hint="eastAsia"/>
          <w:sz w:val="28"/>
          <w:szCs w:val="28"/>
        </w:rPr>
        <w:t>(数量单位：</w:t>
      </w:r>
      <w:proofErr w:type="gramStart"/>
      <w:r>
        <w:rPr>
          <w:rFonts w:ascii="华文仿宋" w:eastAsia="华文仿宋" w:hAnsi="华文仿宋" w:hint="eastAsia"/>
          <w:sz w:val="28"/>
          <w:szCs w:val="28"/>
        </w:rPr>
        <w:t>千克/</w:t>
      </w:r>
      <w:proofErr w:type="gramEnd"/>
      <w:r>
        <w:rPr>
          <w:rFonts w:ascii="华文仿宋" w:eastAsia="华文仿宋" w:hAnsi="华文仿宋" w:hint="eastAsia"/>
          <w:sz w:val="28"/>
          <w:szCs w:val="28"/>
        </w:rPr>
        <w:t>升 金额单位: 美元)</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76" w:type="dxa"/>
        <w:tblLayout w:type="fixed"/>
        <w:tblCellMar>
          <w:top w:w="15" w:type="dxa"/>
          <w:left w:w="15" w:type="dxa"/>
          <w:bottom w:w="15" w:type="dxa"/>
          <w:right w:w="15" w:type="dxa"/>
        </w:tblCellMar>
        <w:tblLook w:val="04A0"/>
      </w:tblPr>
      <w:tblGrid>
        <w:gridCol w:w="2880"/>
        <w:gridCol w:w="1790"/>
        <w:gridCol w:w="1621"/>
        <w:gridCol w:w="1743"/>
        <w:gridCol w:w="1742"/>
      </w:tblGrid>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产销国</w:t>
            </w:r>
          </w:p>
        </w:tc>
        <w:tc>
          <w:tcPr>
            <w:tcW w:w="179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进口数量</w:t>
            </w:r>
          </w:p>
        </w:tc>
        <w:tc>
          <w:tcPr>
            <w:tcW w:w="162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进口美元</w:t>
            </w:r>
          </w:p>
        </w:tc>
        <w:tc>
          <w:tcPr>
            <w:tcW w:w="17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出口数量</w:t>
            </w:r>
          </w:p>
        </w:tc>
        <w:tc>
          <w:tcPr>
            <w:tcW w:w="174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出口美元</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俄罗斯联邦</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100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4964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台湾省</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10560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23654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26</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986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785199</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1096866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日本</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43468</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92487</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朝鲜</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30020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42028</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比利时</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2559</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8202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法国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12400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12524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628</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4506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荷兰</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1216</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4139</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35760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53998</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24960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41434</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马来西亚</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32600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35244</w:t>
            </w:r>
          </w:p>
        </w:tc>
      </w:tr>
    </w:tbl>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r>
        <w:rPr>
          <w:rFonts w:ascii="华文仿宋" w:eastAsia="华文仿宋" w:hAnsi="华文仿宋" w:hint="eastAsia"/>
          <w:sz w:val="28"/>
          <w:szCs w:val="28"/>
        </w:rPr>
        <w:t>2018年3月石脑油进出口数据(数量单位：</w:t>
      </w:r>
      <w:proofErr w:type="gramStart"/>
      <w:r>
        <w:rPr>
          <w:rFonts w:ascii="华文仿宋" w:eastAsia="华文仿宋" w:hAnsi="华文仿宋" w:hint="eastAsia"/>
          <w:sz w:val="28"/>
          <w:szCs w:val="28"/>
        </w:rPr>
        <w:t>千克/</w:t>
      </w:r>
      <w:proofErr w:type="gramEnd"/>
      <w:r>
        <w:rPr>
          <w:rFonts w:ascii="华文仿宋" w:eastAsia="华文仿宋" w:hAnsi="华文仿宋" w:hint="eastAsia"/>
          <w:sz w:val="28"/>
          <w:szCs w:val="28"/>
        </w:rPr>
        <w:t>升 金额单位: 美元)</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76" w:type="dxa"/>
        <w:tblLayout w:type="fixed"/>
        <w:tblCellMar>
          <w:top w:w="15" w:type="dxa"/>
          <w:left w:w="15" w:type="dxa"/>
          <w:bottom w:w="15" w:type="dxa"/>
          <w:right w:w="15" w:type="dxa"/>
        </w:tblCellMar>
        <w:tblLook w:val="04A0"/>
      </w:tblPr>
      <w:tblGrid>
        <w:gridCol w:w="1955"/>
        <w:gridCol w:w="1955"/>
        <w:gridCol w:w="1956"/>
        <w:gridCol w:w="1955"/>
        <w:gridCol w:w="1955"/>
      </w:tblGrid>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产销国</w:t>
            </w:r>
          </w:p>
        </w:tc>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进口数量</w:t>
            </w:r>
          </w:p>
        </w:tc>
        <w:tc>
          <w:tcPr>
            <w:tcW w:w="195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进口美元</w:t>
            </w:r>
          </w:p>
        </w:tc>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出口数量</w:t>
            </w:r>
          </w:p>
        </w:tc>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出口美元</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俄罗斯联邦</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60850458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32928505</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印度</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29972525</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17664699</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埃及</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36355897</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21572481</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86</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荷兰</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55866332</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32618531</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480"/>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阿拉伯联合酋</w:t>
            </w:r>
            <w:r>
              <w:rPr>
                <w:rFonts w:ascii="华文仿宋" w:eastAsia="华文仿宋" w:hAnsi="华文仿宋" w:cs="华文仿宋" w:hint="eastAsia"/>
                <w:color w:val="000000"/>
                <w:kern w:val="0"/>
                <w:sz w:val="28"/>
                <w:szCs w:val="28"/>
              </w:rPr>
              <w:lastRenderedPageBreak/>
              <w:t>长国</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55461759</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32868053</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韩国</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64861818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37385693</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bl>
    <w:p w:rsidR="006C7D15" w:rsidRDefault="006C7D15">
      <w:pPr>
        <w:widowControl/>
        <w:jc w:val="center"/>
        <w:rPr>
          <w:rFonts w:ascii="华文仿宋" w:eastAsia="华文仿宋" w:hAnsi="华文仿宋"/>
          <w:sz w:val="28"/>
          <w:szCs w:val="28"/>
        </w:rPr>
      </w:pPr>
    </w:p>
    <w:sectPr w:rsidR="006C7D15" w:rsidSect="006C7D15">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EE5" w:rsidRDefault="007B2EE5" w:rsidP="006C7D15">
      <w:r>
        <w:separator/>
      </w:r>
    </w:p>
  </w:endnote>
  <w:endnote w:type="continuationSeparator" w:id="0">
    <w:p w:rsidR="007B2EE5" w:rsidRDefault="007B2EE5" w:rsidP="006C7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Courier New"/>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DA" w:rsidRDefault="00D84ADA">
    <w:pPr>
      <w:pStyle w:val="a7"/>
      <w:jc w:val="center"/>
    </w:pPr>
    <w:r>
      <w:rPr>
        <w:lang w:val="zh-CN"/>
      </w:rPr>
      <w:t xml:space="preserve"> </w:t>
    </w:r>
    <w:r w:rsidR="00DF3E22">
      <w:rPr>
        <w:b/>
        <w:bCs/>
        <w:sz w:val="24"/>
        <w:szCs w:val="24"/>
      </w:rPr>
      <w:fldChar w:fldCharType="begin"/>
    </w:r>
    <w:r>
      <w:rPr>
        <w:b/>
        <w:bCs/>
      </w:rPr>
      <w:instrText>PAGE</w:instrText>
    </w:r>
    <w:r w:rsidR="00DF3E22">
      <w:rPr>
        <w:b/>
        <w:bCs/>
        <w:sz w:val="24"/>
        <w:szCs w:val="24"/>
      </w:rPr>
      <w:fldChar w:fldCharType="separate"/>
    </w:r>
    <w:r w:rsidR="00182EC8">
      <w:rPr>
        <w:b/>
        <w:bCs/>
        <w:noProof/>
      </w:rPr>
      <w:t>41</w:t>
    </w:r>
    <w:r w:rsidR="00DF3E22">
      <w:rPr>
        <w:b/>
        <w:bCs/>
        <w:sz w:val="24"/>
        <w:szCs w:val="24"/>
      </w:rPr>
      <w:fldChar w:fldCharType="end"/>
    </w:r>
    <w:r>
      <w:rPr>
        <w:lang w:val="zh-CN"/>
      </w:rPr>
      <w:t xml:space="preserve"> / </w:t>
    </w:r>
    <w:r w:rsidR="00DF3E22">
      <w:rPr>
        <w:b/>
        <w:bCs/>
        <w:sz w:val="24"/>
        <w:szCs w:val="24"/>
      </w:rPr>
      <w:fldChar w:fldCharType="begin"/>
    </w:r>
    <w:r>
      <w:rPr>
        <w:b/>
        <w:bCs/>
      </w:rPr>
      <w:instrText>NUMPAGES</w:instrText>
    </w:r>
    <w:r w:rsidR="00DF3E22">
      <w:rPr>
        <w:b/>
        <w:bCs/>
        <w:sz w:val="24"/>
        <w:szCs w:val="24"/>
      </w:rPr>
      <w:fldChar w:fldCharType="separate"/>
    </w:r>
    <w:r w:rsidR="00182EC8">
      <w:rPr>
        <w:b/>
        <w:bCs/>
        <w:noProof/>
      </w:rPr>
      <w:t>41</w:t>
    </w:r>
    <w:r w:rsidR="00DF3E22">
      <w:rPr>
        <w:b/>
        <w:bCs/>
        <w:sz w:val="24"/>
        <w:szCs w:val="24"/>
      </w:rPr>
      <w:fldChar w:fldCharType="end"/>
    </w:r>
  </w:p>
  <w:p w:rsidR="00D84ADA" w:rsidRDefault="00D84ADA">
    <w:pPr>
      <w:pStyle w:val="a7"/>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EE5" w:rsidRDefault="007B2EE5" w:rsidP="006C7D15">
      <w:r>
        <w:separator/>
      </w:r>
    </w:p>
  </w:footnote>
  <w:footnote w:type="continuationSeparator" w:id="0">
    <w:p w:rsidR="007B2EE5" w:rsidRDefault="007B2EE5" w:rsidP="006C7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DA" w:rsidRDefault="00D84ADA">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D84ADA" w:rsidRDefault="00D84ADA">
    <w:pPr>
      <w:pStyle w:val="a8"/>
      <w:pBdr>
        <w:bottom w:val="none" w:sz="0" w:space="0" w:color="auto"/>
      </w:pBdr>
    </w:pPr>
  </w:p>
  <w:p w:rsidR="00D84ADA" w:rsidRDefault="00D84AD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6BECC"/>
    <w:multiLevelType w:val="singleLevel"/>
    <w:tmpl w:val="2E66BECC"/>
    <w:lvl w:ilvl="0">
      <w:start w:val="1"/>
      <w:numFmt w:val="decimal"/>
      <w:suff w:val="nothing"/>
      <w:lvlText w:val="%1、"/>
      <w:lvlJc w:val="left"/>
    </w:lvl>
  </w:abstractNum>
  <w:abstractNum w:abstractNumId="1">
    <w:nsid w:val="37716F8E"/>
    <w:multiLevelType w:val="singleLevel"/>
    <w:tmpl w:val="37716F8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8434"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82EC8"/>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B4A54"/>
    <w:rsid w:val="003C090A"/>
    <w:rsid w:val="003C393A"/>
    <w:rsid w:val="003D18AF"/>
    <w:rsid w:val="003D6166"/>
    <w:rsid w:val="003D632C"/>
    <w:rsid w:val="003E2A66"/>
    <w:rsid w:val="003E6C5C"/>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4811"/>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0F5D"/>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2EE5"/>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57651"/>
    <w:rsid w:val="00B66525"/>
    <w:rsid w:val="00B7201D"/>
    <w:rsid w:val="00B72D56"/>
    <w:rsid w:val="00B73385"/>
    <w:rsid w:val="00B7660A"/>
    <w:rsid w:val="00B80D78"/>
    <w:rsid w:val="00B80F1F"/>
    <w:rsid w:val="00B81D14"/>
    <w:rsid w:val="00B85715"/>
    <w:rsid w:val="00B86CFA"/>
    <w:rsid w:val="00B87EBA"/>
    <w:rsid w:val="00B92B61"/>
    <w:rsid w:val="00B969D4"/>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3E22"/>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9F699F"/>
    <w:rsid w:val="0BB90B94"/>
    <w:rsid w:val="0BF558B0"/>
    <w:rsid w:val="0C6F4F00"/>
    <w:rsid w:val="0CBA42B6"/>
    <w:rsid w:val="0CD07931"/>
    <w:rsid w:val="0E220EFD"/>
    <w:rsid w:val="106000A3"/>
    <w:rsid w:val="106D2E5F"/>
    <w:rsid w:val="10C92BDE"/>
    <w:rsid w:val="11E06D1D"/>
    <w:rsid w:val="14BD6DE9"/>
    <w:rsid w:val="151B0610"/>
    <w:rsid w:val="153967D9"/>
    <w:rsid w:val="15A51265"/>
    <w:rsid w:val="1602563E"/>
    <w:rsid w:val="17DF730A"/>
    <w:rsid w:val="1871150E"/>
    <w:rsid w:val="193B0DD2"/>
    <w:rsid w:val="1950525E"/>
    <w:rsid w:val="19995649"/>
    <w:rsid w:val="1A4B0BD2"/>
    <w:rsid w:val="1BB02F43"/>
    <w:rsid w:val="1CD92D71"/>
    <w:rsid w:val="1DA91524"/>
    <w:rsid w:val="1DBC2256"/>
    <w:rsid w:val="1F57560A"/>
    <w:rsid w:val="20DD1860"/>
    <w:rsid w:val="21416467"/>
    <w:rsid w:val="21467DDF"/>
    <w:rsid w:val="2258468B"/>
    <w:rsid w:val="24977CE4"/>
    <w:rsid w:val="250C493B"/>
    <w:rsid w:val="272712C8"/>
    <w:rsid w:val="29CF7033"/>
    <w:rsid w:val="2C672FEB"/>
    <w:rsid w:val="2D12102F"/>
    <w:rsid w:val="2F6F6534"/>
    <w:rsid w:val="2FB62CD5"/>
    <w:rsid w:val="3166404B"/>
    <w:rsid w:val="316E4BCF"/>
    <w:rsid w:val="32FB3069"/>
    <w:rsid w:val="359C2633"/>
    <w:rsid w:val="360A4426"/>
    <w:rsid w:val="37623BD0"/>
    <w:rsid w:val="378A2746"/>
    <w:rsid w:val="390E2AE7"/>
    <w:rsid w:val="3A2A6D06"/>
    <w:rsid w:val="3AAD4D2B"/>
    <w:rsid w:val="3BA17D0E"/>
    <w:rsid w:val="3C7F4653"/>
    <w:rsid w:val="3D5C793D"/>
    <w:rsid w:val="3DFD6225"/>
    <w:rsid w:val="3E0B15BA"/>
    <w:rsid w:val="3EC639AA"/>
    <w:rsid w:val="3FE24704"/>
    <w:rsid w:val="427631AB"/>
    <w:rsid w:val="43A8211E"/>
    <w:rsid w:val="4464587F"/>
    <w:rsid w:val="47C07043"/>
    <w:rsid w:val="4B3A5EC6"/>
    <w:rsid w:val="4D722D5E"/>
    <w:rsid w:val="4DEE463E"/>
    <w:rsid w:val="50A4483B"/>
    <w:rsid w:val="50D54E3C"/>
    <w:rsid w:val="532F052B"/>
    <w:rsid w:val="53CB1533"/>
    <w:rsid w:val="54A90501"/>
    <w:rsid w:val="552402CA"/>
    <w:rsid w:val="55434855"/>
    <w:rsid w:val="56490C7C"/>
    <w:rsid w:val="58343EAC"/>
    <w:rsid w:val="597E6C17"/>
    <w:rsid w:val="5B920EBC"/>
    <w:rsid w:val="5BFA6CAE"/>
    <w:rsid w:val="5D0D24D3"/>
    <w:rsid w:val="5D654113"/>
    <w:rsid w:val="5DB45A4D"/>
    <w:rsid w:val="5E2A7A6D"/>
    <w:rsid w:val="5E3D22F6"/>
    <w:rsid w:val="5E9E5CF6"/>
    <w:rsid w:val="5F5A3274"/>
    <w:rsid w:val="5F5C54EB"/>
    <w:rsid w:val="5FB62CE4"/>
    <w:rsid w:val="5FDC66AB"/>
    <w:rsid w:val="60886E86"/>
    <w:rsid w:val="61426FC7"/>
    <w:rsid w:val="65C42961"/>
    <w:rsid w:val="66AD6F06"/>
    <w:rsid w:val="67F355EF"/>
    <w:rsid w:val="68727AEB"/>
    <w:rsid w:val="68CB2404"/>
    <w:rsid w:val="6B353E8E"/>
    <w:rsid w:val="6B7A4196"/>
    <w:rsid w:val="6BC94628"/>
    <w:rsid w:val="6F514B5B"/>
    <w:rsid w:val="6FE46FB1"/>
    <w:rsid w:val="712C720C"/>
    <w:rsid w:val="74605603"/>
    <w:rsid w:val="74EA6BF5"/>
    <w:rsid w:val="75903C84"/>
    <w:rsid w:val="766E0138"/>
    <w:rsid w:val="76DA4E14"/>
    <w:rsid w:val="78C05101"/>
    <w:rsid w:val="7A0850E0"/>
    <w:rsid w:val="7C4A2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lsdException w:name="Normal Table" w:qFormat="1"/>
    <w:lsdException w:name="Balloon Text" w:semiHidden="0"/>
    <w:lsdException w:name="Table Grid" w:semiHidden="0" w:uiPriority="59" w:unhideWhenUsed="0"/>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15"/>
    <w:pPr>
      <w:widowControl w:val="0"/>
      <w:jc w:val="both"/>
    </w:pPr>
    <w:rPr>
      <w:kern w:val="2"/>
      <w:sz w:val="21"/>
      <w:szCs w:val="22"/>
    </w:rPr>
  </w:style>
  <w:style w:type="paragraph" w:styleId="1">
    <w:name w:val="heading 1"/>
    <w:basedOn w:val="a"/>
    <w:next w:val="a"/>
    <w:link w:val="1Char"/>
    <w:uiPriority w:val="9"/>
    <w:qFormat/>
    <w:rsid w:val="006C7D15"/>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6C7D15"/>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6C7D15"/>
    <w:pPr>
      <w:keepNext/>
      <w:keepLines/>
      <w:spacing w:before="260" w:after="260" w:line="416" w:lineRule="auto"/>
      <w:outlineLvl w:val="2"/>
    </w:pPr>
    <w:rPr>
      <w:bCs/>
      <w:sz w:val="24"/>
      <w:szCs w:val="32"/>
    </w:rPr>
  </w:style>
  <w:style w:type="paragraph" w:styleId="4">
    <w:name w:val="heading 4"/>
    <w:basedOn w:val="a"/>
    <w:next w:val="a"/>
    <w:qFormat/>
    <w:rsid w:val="006C7D1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6C7D15"/>
    <w:rPr>
      <w:rFonts w:ascii="宋体"/>
      <w:sz w:val="18"/>
      <w:szCs w:val="18"/>
    </w:rPr>
  </w:style>
  <w:style w:type="paragraph" w:styleId="a4">
    <w:name w:val="Body Text Indent"/>
    <w:basedOn w:val="a"/>
    <w:qFormat/>
    <w:rsid w:val="006C7D15"/>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6C7D15"/>
    <w:pPr>
      <w:ind w:leftChars="400" w:left="840"/>
    </w:pPr>
  </w:style>
  <w:style w:type="paragraph" w:styleId="a5">
    <w:name w:val="Date"/>
    <w:basedOn w:val="a"/>
    <w:next w:val="a"/>
    <w:qFormat/>
    <w:rsid w:val="006C7D15"/>
    <w:pPr>
      <w:ind w:leftChars="2500" w:left="100"/>
    </w:pPr>
    <w:rPr>
      <w:rFonts w:ascii="宋体"/>
      <w:kern w:val="0"/>
      <w:sz w:val="20"/>
      <w:szCs w:val="20"/>
      <w:lang w:val="zh-CN"/>
    </w:rPr>
  </w:style>
  <w:style w:type="paragraph" w:styleId="20">
    <w:name w:val="Body Text Indent 2"/>
    <w:basedOn w:val="a"/>
    <w:qFormat/>
    <w:rsid w:val="006C7D15"/>
    <w:pPr>
      <w:tabs>
        <w:tab w:val="left" w:pos="2520"/>
      </w:tabs>
      <w:ind w:firstLine="435"/>
    </w:pPr>
    <w:rPr>
      <w:szCs w:val="24"/>
    </w:rPr>
  </w:style>
  <w:style w:type="paragraph" w:styleId="a6">
    <w:name w:val="Balloon Text"/>
    <w:basedOn w:val="a"/>
    <w:link w:val="Char0"/>
    <w:uiPriority w:val="99"/>
    <w:unhideWhenUsed/>
    <w:rsid w:val="006C7D15"/>
    <w:rPr>
      <w:kern w:val="0"/>
      <w:sz w:val="18"/>
      <w:szCs w:val="18"/>
    </w:rPr>
  </w:style>
  <w:style w:type="paragraph" w:styleId="a7">
    <w:name w:val="footer"/>
    <w:basedOn w:val="a"/>
    <w:link w:val="Char1"/>
    <w:uiPriority w:val="99"/>
    <w:unhideWhenUsed/>
    <w:qFormat/>
    <w:rsid w:val="006C7D15"/>
    <w:pPr>
      <w:tabs>
        <w:tab w:val="center" w:pos="4153"/>
        <w:tab w:val="right" w:pos="8306"/>
      </w:tabs>
      <w:snapToGrid w:val="0"/>
      <w:jc w:val="left"/>
    </w:pPr>
    <w:rPr>
      <w:kern w:val="0"/>
      <w:sz w:val="18"/>
      <w:szCs w:val="18"/>
    </w:rPr>
  </w:style>
  <w:style w:type="paragraph" w:styleId="a8">
    <w:name w:val="header"/>
    <w:basedOn w:val="a"/>
    <w:link w:val="Char2"/>
    <w:uiPriority w:val="99"/>
    <w:unhideWhenUsed/>
    <w:qFormat/>
    <w:rsid w:val="006C7D1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6C7D15"/>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6C7D15"/>
    <w:pPr>
      <w:spacing w:before="240" w:after="60" w:line="312" w:lineRule="auto"/>
      <w:jc w:val="center"/>
      <w:outlineLvl w:val="1"/>
    </w:pPr>
    <w:rPr>
      <w:rFonts w:ascii="Cambria" w:hAnsi="Cambria"/>
      <w:b/>
      <w:bCs/>
      <w:kern w:val="28"/>
      <w:sz w:val="32"/>
      <w:szCs w:val="32"/>
    </w:rPr>
  </w:style>
  <w:style w:type="paragraph" w:styleId="31">
    <w:name w:val="Body Text Indent 3"/>
    <w:basedOn w:val="a"/>
    <w:qFormat/>
    <w:rsid w:val="006C7D15"/>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6C7D15"/>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rsid w:val="006C7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uiPriority w:val="99"/>
    <w:qFormat/>
    <w:rsid w:val="006C7D15"/>
    <w:pPr>
      <w:widowControl/>
      <w:spacing w:before="100" w:beforeAutospacing="1" w:after="100" w:afterAutospacing="1"/>
      <w:jc w:val="left"/>
    </w:pPr>
    <w:rPr>
      <w:rFonts w:ascii="宋体" w:hAnsi="宋体" w:cs="宋体"/>
      <w:kern w:val="0"/>
      <w:sz w:val="24"/>
      <w:szCs w:val="24"/>
    </w:rPr>
  </w:style>
  <w:style w:type="character" w:styleId="ab">
    <w:name w:val="Strong"/>
    <w:qFormat/>
    <w:rsid w:val="006C7D15"/>
    <w:rPr>
      <w:b/>
      <w:bCs/>
    </w:rPr>
  </w:style>
  <w:style w:type="character" w:styleId="ac">
    <w:name w:val="page number"/>
    <w:basedOn w:val="a0"/>
    <w:qFormat/>
    <w:rsid w:val="006C7D15"/>
  </w:style>
  <w:style w:type="character" w:styleId="ad">
    <w:name w:val="FollowedHyperlink"/>
    <w:uiPriority w:val="99"/>
    <w:qFormat/>
    <w:rsid w:val="006C7D15"/>
    <w:rPr>
      <w:color w:val="800080"/>
      <w:u w:val="single"/>
    </w:rPr>
  </w:style>
  <w:style w:type="character" w:styleId="ae">
    <w:name w:val="Hyperlink"/>
    <w:uiPriority w:val="99"/>
    <w:qFormat/>
    <w:rsid w:val="006C7D15"/>
    <w:rPr>
      <w:color w:val="0000FF"/>
      <w:u w:val="single"/>
    </w:rPr>
  </w:style>
  <w:style w:type="table" w:styleId="af">
    <w:name w:val="Table Theme"/>
    <w:basedOn w:val="a1"/>
    <w:qFormat/>
    <w:rsid w:val="006C7D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rsid w:val="006C7D15"/>
    <w:rPr>
      <w:rFonts w:eastAsia="宋体"/>
      <w:b/>
      <w:bCs/>
      <w:kern w:val="2"/>
      <w:sz w:val="32"/>
      <w:szCs w:val="32"/>
      <w:lang w:val="en-US" w:eastAsia="zh-CN" w:bidi="ar-SA"/>
    </w:rPr>
  </w:style>
  <w:style w:type="character" w:customStyle="1" w:styleId="Char2">
    <w:name w:val="页眉 Char"/>
    <w:link w:val="a8"/>
    <w:uiPriority w:val="99"/>
    <w:qFormat/>
    <w:rsid w:val="006C7D15"/>
    <w:rPr>
      <w:sz w:val="18"/>
      <w:szCs w:val="18"/>
    </w:rPr>
  </w:style>
  <w:style w:type="character" w:customStyle="1" w:styleId="showtext">
    <w:name w:val="showtext"/>
    <w:basedOn w:val="a0"/>
    <w:qFormat/>
    <w:rsid w:val="006C7D15"/>
  </w:style>
  <w:style w:type="character" w:customStyle="1" w:styleId="2Char1">
    <w:name w:val="标题 2 Char1"/>
    <w:link w:val="2"/>
    <w:uiPriority w:val="9"/>
    <w:qFormat/>
    <w:rsid w:val="006C7D15"/>
    <w:rPr>
      <w:rFonts w:ascii="Cambria" w:hAnsi="Cambria"/>
      <w:b/>
      <w:bCs/>
      <w:kern w:val="2"/>
      <w:sz w:val="28"/>
      <w:szCs w:val="32"/>
    </w:rPr>
  </w:style>
  <w:style w:type="character" w:customStyle="1" w:styleId="WebCharChar2">
    <w:name w:val="普通 (Web) Char Char2"/>
    <w:qFormat/>
    <w:locked/>
    <w:rsid w:val="006C7D15"/>
    <w:rPr>
      <w:rFonts w:ascii="宋体" w:eastAsia="宋体" w:hAnsi="宋体" w:cs="宋体"/>
      <w:sz w:val="24"/>
      <w:szCs w:val="24"/>
      <w:lang w:val="en-US" w:eastAsia="zh-CN" w:bidi="ar-SA"/>
    </w:rPr>
  </w:style>
  <w:style w:type="character" w:customStyle="1" w:styleId="apple-converted-space">
    <w:name w:val="apple-converted-space"/>
    <w:basedOn w:val="a0"/>
    <w:qFormat/>
    <w:rsid w:val="006C7D15"/>
  </w:style>
  <w:style w:type="character" w:customStyle="1" w:styleId="1Char">
    <w:name w:val="标题 1 Char"/>
    <w:link w:val="1"/>
    <w:uiPriority w:val="9"/>
    <w:qFormat/>
    <w:rsid w:val="006C7D15"/>
    <w:rPr>
      <w:rFonts w:eastAsia="黑体"/>
      <w:b/>
      <w:bCs/>
      <w:kern w:val="44"/>
      <w:sz w:val="32"/>
      <w:szCs w:val="44"/>
    </w:rPr>
  </w:style>
  <w:style w:type="character" w:customStyle="1" w:styleId="Char1">
    <w:name w:val="页脚 Char"/>
    <w:link w:val="a7"/>
    <w:uiPriority w:val="99"/>
    <w:qFormat/>
    <w:rsid w:val="006C7D15"/>
    <w:rPr>
      <w:sz w:val="18"/>
      <w:szCs w:val="18"/>
    </w:rPr>
  </w:style>
  <w:style w:type="character" w:customStyle="1" w:styleId="f21">
    <w:name w:val="f21"/>
    <w:rsid w:val="006C7D15"/>
    <w:rPr>
      <w:rFonts w:ascii="宋体" w:eastAsia="宋体" w:hAnsi="宋体" w:hint="eastAsia"/>
      <w:sz w:val="21"/>
      <w:szCs w:val="21"/>
    </w:rPr>
  </w:style>
  <w:style w:type="character" w:customStyle="1" w:styleId="Char0">
    <w:name w:val="批注框文本 Char"/>
    <w:link w:val="a6"/>
    <w:uiPriority w:val="99"/>
    <w:semiHidden/>
    <w:qFormat/>
    <w:rsid w:val="006C7D15"/>
    <w:rPr>
      <w:sz w:val="18"/>
      <w:szCs w:val="18"/>
    </w:rPr>
  </w:style>
  <w:style w:type="character" w:customStyle="1" w:styleId="style11">
    <w:name w:val="style11"/>
    <w:qFormat/>
    <w:rsid w:val="006C7D15"/>
    <w:rPr>
      <w:color w:val="999999"/>
      <w:sz w:val="18"/>
      <w:szCs w:val="18"/>
    </w:rPr>
  </w:style>
  <w:style w:type="character" w:customStyle="1" w:styleId="Char3">
    <w:name w:val="副标题 Char"/>
    <w:link w:val="a9"/>
    <w:uiPriority w:val="11"/>
    <w:qFormat/>
    <w:rsid w:val="006C7D15"/>
    <w:rPr>
      <w:rFonts w:ascii="Cambria" w:hAnsi="Cambria" w:cs="Times New Roman"/>
      <w:b/>
      <w:bCs/>
      <w:kern w:val="28"/>
      <w:sz w:val="32"/>
      <w:szCs w:val="32"/>
    </w:rPr>
  </w:style>
  <w:style w:type="character" w:customStyle="1" w:styleId="2Char">
    <w:name w:val="标题 2 Char"/>
    <w:qFormat/>
    <w:rsid w:val="006C7D15"/>
    <w:rPr>
      <w:rFonts w:ascii="Arial" w:eastAsia="黑体" w:hAnsi="Arial"/>
      <w:b/>
      <w:bCs/>
      <w:kern w:val="2"/>
      <w:sz w:val="32"/>
      <w:szCs w:val="32"/>
      <w:lang w:val="en-US" w:eastAsia="zh-CN" w:bidi="ar-SA"/>
    </w:rPr>
  </w:style>
  <w:style w:type="character" w:customStyle="1" w:styleId="style171">
    <w:name w:val="style171"/>
    <w:rsid w:val="006C7D15"/>
    <w:rPr>
      <w:sz w:val="21"/>
      <w:szCs w:val="21"/>
    </w:rPr>
  </w:style>
  <w:style w:type="character" w:customStyle="1" w:styleId="WebCharChar">
    <w:name w:val="普通 (Web) Char Char"/>
    <w:qFormat/>
    <w:locked/>
    <w:rsid w:val="006C7D15"/>
    <w:rPr>
      <w:rFonts w:ascii="宋体" w:eastAsia="宋体" w:hAnsi="宋体" w:cs="宋体"/>
      <w:sz w:val="24"/>
      <w:szCs w:val="24"/>
      <w:lang w:val="en-US" w:eastAsia="zh-CN" w:bidi="ar-SA"/>
    </w:rPr>
  </w:style>
  <w:style w:type="character" w:customStyle="1" w:styleId="style61">
    <w:name w:val="style61"/>
    <w:qFormat/>
    <w:rsid w:val="006C7D15"/>
    <w:rPr>
      <w:b/>
      <w:bCs/>
      <w:color w:val="3399FF"/>
      <w:sz w:val="24"/>
      <w:szCs w:val="24"/>
    </w:rPr>
  </w:style>
  <w:style w:type="character" w:customStyle="1" w:styleId="f41">
    <w:name w:val="f41"/>
    <w:rsid w:val="006C7D15"/>
    <w:rPr>
      <w:rFonts w:ascii="宋体" w:eastAsia="宋体" w:hAnsi="宋体" w:hint="eastAsia"/>
      <w:sz w:val="18"/>
      <w:szCs w:val="18"/>
    </w:rPr>
  </w:style>
  <w:style w:type="character" w:customStyle="1" w:styleId="3Char1">
    <w:name w:val="标题 3 Char1"/>
    <w:qFormat/>
    <w:rsid w:val="006C7D15"/>
    <w:rPr>
      <w:rFonts w:eastAsia="宋体"/>
      <w:b/>
      <w:bCs/>
      <w:kern w:val="2"/>
      <w:sz w:val="32"/>
      <w:szCs w:val="32"/>
      <w:lang w:val="en-US" w:eastAsia="zh-CN" w:bidi="ar-SA"/>
    </w:rPr>
  </w:style>
  <w:style w:type="character" w:customStyle="1" w:styleId="style161">
    <w:name w:val="style161"/>
    <w:qFormat/>
    <w:rsid w:val="006C7D15"/>
    <w:rPr>
      <w:sz w:val="24"/>
      <w:szCs w:val="24"/>
    </w:rPr>
  </w:style>
  <w:style w:type="character" w:customStyle="1" w:styleId="f31">
    <w:name w:val="f31"/>
    <w:rsid w:val="006C7D15"/>
    <w:rPr>
      <w:rFonts w:ascii="ˎ̥" w:hAnsi="ˎ̥" w:hint="default"/>
      <w:color w:val="999999"/>
      <w:sz w:val="16"/>
      <w:szCs w:val="16"/>
    </w:rPr>
  </w:style>
  <w:style w:type="paragraph" w:customStyle="1" w:styleId="xl91">
    <w:name w:val="xl9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rsid w:val="006C7D15"/>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6C7D15"/>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6C7D15"/>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6C7D15"/>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6C7D15"/>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6C7D15"/>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6C7D15"/>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6C7D15"/>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6C7D15"/>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6C7D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6C7D15"/>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6C7D15"/>
    <w:pPr>
      <w:adjustRightInd w:val="0"/>
      <w:spacing w:line="360" w:lineRule="atLeast"/>
      <w:jc w:val="left"/>
      <w:textAlignment w:val="baseline"/>
    </w:pPr>
    <w:rPr>
      <w:kern w:val="0"/>
      <w:sz w:val="24"/>
      <w:szCs w:val="20"/>
    </w:rPr>
  </w:style>
  <w:style w:type="paragraph" w:customStyle="1" w:styleId="xl39">
    <w:name w:val="xl39"/>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6C7D15"/>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6C7D15"/>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6C7D15"/>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6C7D15"/>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6C7D15"/>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6C7D1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6C7D15"/>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6C7D15"/>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6C7D15"/>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6C7D15"/>
    <w:pPr>
      <w:widowControl/>
      <w:spacing w:before="100" w:beforeAutospacing="1" w:after="100" w:afterAutospacing="1"/>
      <w:jc w:val="left"/>
    </w:pPr>
    <w:rPr>
      <w:kern w:val="0"/>
      <w:sz w:val="20"/>
      <w:szCs w:val="20"/>
    </w:rPr>
  </w:style>
  <w:style w:type="paragraph" w:customStyle="1" w:styleId="xl110">
    <w:name w:val="xl110"/>
    <w:basedOn w:val="a"/>
    <w:rsid w:val="006C7D15"/>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6C7D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6C7D15"/>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6C7D15"/>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6C7D15"/>
    <w:pPr>
      <w:widowControl/>
      <w:spacing w:line="330" w:lineRule="atLeast"/>
      <w:jc w:val="left"/>
    </w:pPr>
    <w:rPr>
      <w:rFonts w:ascii="宋体" w:hAnsi="宋体" w:cs="宋体"/>
      <w:kern w:val="0"/>
      <w:szCs w:val="21"/>
    </w:rPr>
  </w:style>
  <w:style w:type="paragraph" w:customStyle="1" w:styleId="f0">
    <w:name w:val="f0"/>
    <w:basedOn w:val="a"/>
    <w:qFormat/>
    <w:rsid w:val="006C7D15"/>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6C7D15"/>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6C7D15"/>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6C7D15"/>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6C7D15"/>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6C7D15"/>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6C7D15"/>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4">
    <w:name w:val="Char"/>
    <w:basedOn w:val="a"/>
    <w:qFormat/>
    <w:rsid w:val="006C7D15"/>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6C7D1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6C7D15"/>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6C7D15"/>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6C7D15"/>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6C7D15"/>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6C7D15"/>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6C7D15"/>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6C7D15"/>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6C7D15"/>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6C7D15"/>
    <w:pPr>
      <w:widowControl/>
      <w:spacing w:before="100" w:beforeAutospacing="1" w:after="100" w:afterAutospacing="1"/>
      <w:jc w:val="left"/>
    </w:pPr>
    <w:rPr>
      <w:b/>
      <w:bCs/>
      <w:color w:val="FFFFFF"/>
      <w:kern w:val="0"/>
      <w:sz w:val="18"/>
      <w:szCs w:val="18"/>
    </w:rPr>
  </w:style>
  <w:style w:type="paragraph" w:customStyle="1" w:styleId="xl44">
    <w:name w:val="xl44"/>
    <w:basedOn w:val="a"/>
    <w:rsid w:val="006C7D15"/>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6C7D15"/>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6C7D15"/>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6C7D15"/>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6C7D15"/>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6C7D15"/>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6C7D15"/>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6C7D15"/>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6C7D15"/>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6C7D15"/>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6C7D15"/>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6C7D15"/>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6C7D15"/>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6C7D15"/>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6C7D15"/>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6C7D15"/>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6C7D15"/>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6C7D15"/>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6C7D15"/>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6C7D1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6C7D15"/>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6C7D15"/>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6C7D15"/>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6C7D15"/>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6C7D15"/>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6C7D15"/>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6C7D1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6C7D15"/>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rsid w:val="006C7D15"/>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6C7D15"/>
    <w:pPr>
      <w:widowControl w:val="0"/>
      <w:autoSpaceDE w:val="0"/>
      <w:autoSpaceDN w:val="0"/>
      <w:adjustRightInd w:val="0"/>
    </w:pPr>
    <w:rPr>
      <w:rFonts w:ascii="Microsoft YaHei" w:hAnsi="Microsoft YaHei" w:cs="Microsoft YaHei"/>
      <w:color w:val="000000"/>
      <w:sz w:val="24"/>
      <w:szCs w:val="24"/>
    </w:rPr>
  </w:style>
  <w:style w:type="character" w:customStyle="1" w:styleId="Char">
    <w:name w:val="文档结构图 Char"/>
    <w:basedOn w:val="a0"/>
    <w:link w:val="a3"/>
    <w:uiPriority w:val="99"/>
    <w:semiHidden/>
    <w:rsid w:val="006C7D15"/>
    <w:rPr>
      <w:rFonts w:ascii="宋体"/>
      <w:kern w:val="2"/>
      <w:sz w:val="18"/>
      <w:szCs w:val="18"/>
    </w:rPr>
  </w:style>
  <w:style w:type="paragraph" w:styleId="af0">
    <w:name w:val="List Paragraph"/>
    <w:basedOn w:val="a"/>
    <w:uiPriority w:val="99"/>
    <w:qFormat/>
    <w:rsid w:val="006C7D15"/>
    <w:pPr>
      <w:ind w:firstLineChars="200" w:firstLine="420"/>
    </w:pPr>
  </w:style>
  <w:style w:type="table" w:styleId="af1">
    <w:name w:val="Table Grid"/>
    <w:basedOn w:val="a1"/>
    <w:uiPriority w:val="59"/>
    <w:rsid w:val="00191D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871277">
      <w:bodyDiv w:val="1"/>
      <w:marLeft w:val="0"/>
      <w:marRight w:val="0"/>
      <w:marTop w:val="0"/>
      <w:marBottom w:val="0"/>
      <w:divBdr>
        <w:top w:val="none" w:sz="0" w:space="0" w:color="auto"/>
        <w:left w:val="none" w:sz="0" w:space="0" w:color="auto"/>
        <w:bottom w:val="none" w:sz="0" w:space="0" w:color="auto"/>
        <w:right w:val="none" w:sz="0" w:space="0" w:color="auto"/>
      </w:divBdr>
    </w:div>
    <w:div w:id="166480445">
      <w:bodyDiv w:val="1"/>
      <w:marLeft w:val="0"/>
      <w:marRight w:val="0"/>
      <w:marTop w:val="0"/>
      <w:marBottom w:val="0"/>
      <w:divBdr>
        <w:top w:val="none" w:sz="0" w:space="0" w:color="auto"/>
        <w:left w:val="none" w:sz="0" w:space="0" w:color="auto"/>
        <w:bottom w:val="none" w:sz="0" w:space="0" w:color="auto"/>
        <w:right w:val="none" w:sz="0" w:space="0" w:color="auto"/>
      </w:divBdr>
    </w:div>
    <w:div w:id="212930795">
      <w:bodyDiv w:val="1"/>
      <w:marLeft w:val="0"/>
      <w:marRight w:val="0"/>
      <w:marTop w:val="0"/>
      <w:marBottom w:val="0"/>
      <w:divBdr>
        <w:top w:val="none" w:sz="0" w:space="0" w:color="auto"/>
        <w:left w:val="none" w:sz="0" w:space="0" w:color="auto"/>
        <w:bottom w:val="none" w:sz="0" w:space="0" w:color="auto"/>
        <w:right w:val="none" w:sz="0" w:space="0" w:color="auto"/>
      </w:divBdr>
    </w:div>
    <w:div w:id="396053014">
      <w:bodyDiv w:val="1"/>
      <w:marLeft w:val="0"/>
      <w:marRight w:val="0"/>
      <w:marTop w:val="0"/>
      <w:marBottom w:val="0"/>
      <w:divBdr>
        <w:top w:val="none" w:sz="0" w:space="0" w:color="auto"/>
        <w:left w:val="none" w:sz="0" w:space="0" w:color="auto"/>
        <w:bottom w:val="none" w:sz="0" w:space="0" w:color="auto"/>
        <w:right w:val="none" w:sz="0" w:space="0" w:color="auto"/>
      </w:divBdr>
    </w:div>
    <w:div w:id="441531229">
      <w:bodyDiv w:val="1"/>
      <w:marLeft w:val="0"/>
      <w:marRight w:val="0"/>
      <w:marTop w:val="0"/>
      <w:marBottom w:val="0"/>
      <w:divBdr>
        <w:top w:val="none" w:sz="0" w:space="0" w:color="auto"/>
        <w:left w:val="none" w:sz="0" w:space="0" w:color="auto"/>
        <w:bottom w:val="none" w:sz="0" w:space="0" w:color="auto"/>
        <w:right w:val="none" w:sz="0" w:space="0" w:color="auto"/>
      </w:divBdr>
    </w:div>
    <w:div w:id="629553177">
      <w:bodyDiv w:val="1"/>
      <w:marLeft w:val="0"/>
      <w:marRight w:val="0"/>
      <w:marTop w:val="0"/>
      <w:marBottom w:val="0"/>
      <w:divBdr>
        <w:top w:val="none" w:sz="0" w:space="0" w:color="auto"/>
        <w:left w:val="none" w:sz="0" w:space="0" w:color="auto"/>
        <w:bottom w:val="none" w:sz="0" w:space="0" w:color="auto"/>
        <w:right w:val="none" w:sz="0" w:space="0" w:color="auto"/>
      </w:divBdr>
    </w:div>
    <w:div w:id="669211787">
      <w:bodyDiv w:val="1"/>
      <w:marLeft w:val="0"/>
      <w:marRight w:val="0"/>
      <w:marTop w:val="0"/>
      <w:marBottom w:val="0"/>
      <w:divBdr>
        <w:top w:val="none" w:sz="0" w:space="0" w:color="auto"/>
        <w:left w:val="none" w:sz="0" w:space="0" w:color="auto"/>
        <w:bottom w:val="none" w:sz="0" w:space="0" w:color="auto"/>
        <w:right w:val="none" w:sz="0" w:space="0" w:color="auto"/>
      </w:divBdr>
    </w:div>
    <w:div w:id="715079222">
      <w:bodyDiv w:val="1"/>
      <w:marLeft w:val="0"/>
      <w:marRight w:val="0"/>
      <w:marTop w:val="0"/>
      <w:marBottom w:val="0"/>
      <w:divBdr>
        <w:top w:val="none" w:sz="0" w:space="0" w:color="auto"/>
        <w:left w:val="none" w:sz="0" w:space="0" w:color="auto"/>
        <w:bottom w:val="none" w:sz="0" w:space="0" w:color="auto"/>
        <w:right w:val="none" w:sz="0" w:space="0" w:color="auto"/>
      </w:divBdr>
    </w:div>
    <w:div w:id="809178303">
      <w:bodyDiv w:val="1"/>
      <w:marLeft w:val="0"/>
      <w:marRight w:val="0"/>
      <w:marTop w:val="0"/>
      <w:marBottom w:val="0"/>
      <w:divBdr>
        <w:top w:val="none" w:sz="0" w:space="0" w:color="auto"/>
        <w:left w:val="none" w:sz="0" w:space="0" w:color="auto"/>
        <w:bottom w:val="none" w:sz="0" w:space="0" w:color="auto"/>
        <w:right w:val="none" w:sz="0" w:space="0" w:color="auto"/>
      </w:divBdr>
    </w:div>
    <w:div w:id="811140835">
      <w:bodyDiv w:val="1"/>
      <w:marLeft w:val="0"/>
      <w:marRight w:val="0"/>
      <w:marTop w:val="0"/>
      <w:marBottom w:val="0"/>
      <w:divBdr>
        <w:top w:val="none" w:sz="0" w:space="0" w:color="auto"/>
        <w:left w:val="none" w:sz="0" w:space="0" w:color="auto"/>
        <w:bottom w:val="none" w:sz="0" w:space="0" w:color="auto"/>
        <w:right w:val="none" w:sz="0" w:space="0" w:color="auto"/>
      </w:divBdr>
    </w:div>
    <w:div w:id="827523931">
      <w:bodyDiv w:val="1"/>
      <w:marLeft w:val="0"/>
      <w:marRight w:val="0"/>
      <w:marTop w:val="0"/>
      <w:marBottom w:val="0"/>
      <w:divBdr>
        <w:top w:val="none" w:sz="0" w:space="0" w:color="auto"/>
        <w:left w:val="none" w:sz="0" w:space="0" w:color="auto"/>
        <w:bottom w:val="none" w:sz="0" w:space="0" w:color="auto"/>
        <w:right w:val="none" w:sz="0" w:space="0" w:color="auto"/>
      </w:divBdr>
    </w:div>
    <w:div w:id="851116062">
      <w:bodyDiv w:val="1"/>
      <w:marLeft w:val="0"/>
      <w:marRight w:val="0"/>
      <w:marTop w:val="0"/>
      <w:marBottom w:val="0"/>
      <w:divBdr>
        <w:top w:val="none" w:sz="0" w:space="0" w:color="auto"/>
        <w:left w:val="none" w:sz="0" w:space="0" w:color="auto"/>
        <w:bottom w:val="none" w:sz="0" w:space="0" w:color="auto"/>
        <w:right w:val="none" w:sz="0" w:space="0" w:color="auto"/>
      </w:divBdr>
    </w:div>
    <w:div w:id="851145448">
      <w:bodyDiv w:val="1"/>
      <w:marLeft w:val="0"/>
      <w:marRight w:val="0"/>
      <w:marTop w:val="0"/>
      <w:marBottom w:val="0"/>
      <w:divBdr>
        <w:top w:val="none" w:sz="0" w:space="0" w:color="auto"/>
        <w:left w:val="none" w:sz="0" w:space="0" w:color="auto"/>
        <w:bottom w:val="none" w:sz="0" w:space="0" w:color="auto"/>
        <w:right w:val="none" w:sz="0" w:space="0" w:color="auto"/>
      </w:divBdr>
    </w:div>
    <w:div w:id="1147552414">
      <w:bodyDiv w:val="1"/>
      <w:marLeft w:val="0"/>
      <w:marRight w:val="0"/>
      <w:marTop w:val="0"/>
      <w:marBottom w:val="0"/>
      <w:divBdr>
        <w:top w:val="none" w:sz="0" w:space="0" w:color="auto"/>
        <w:left w:val="none" w:sz="0" w:space="0" w:color="auto"/>
        <w:bottom w:val="none" w:sz="0" w:space="0" w:color="auto"/>
        <w:right w:val="none" w:sz="0" w:space="0" w:color="auto"/>
      </w:divBdr>
    </w:div>
    <w:div w:id="1261135737">
      <w:bodyDiv w:val="1"/>
      <w:marLeft w:val="0"/>
      <w:marRight w:val="0"/>
      <w:marTop w:val="0"/>
      <w:marBottom w:val="0"/>
      <w:divBdr>
        <w:top w:val="none" w:sz="0" w:space="0" w:color="auto"/>
        <w:left w:val="none" w:sz="0" w:space="0" w:color="auto"/>
        <w:bottom w:val="none" w:sz="0" w:space="0" w:color="auto"/>
        <w:right w:val="none" w:sz="0" w:space="0" w:color="auto"/>
      </w:divBdr>
    </w:div>
    <w:div w:id="1286962447">
      <w:bodyDiv w:val="1"/>
      <w:marLeft w:val="0"/>
      <w:marRight w:val="0"/>
      <w:marTop w:val="0"/>
      <w:marBottom w:val="0"/>
      <w:divBdr>
        <w:top w:val="none" w:sz="0" w:space="0" w:color="auto"/>
        <w:left w:val="none" w:sz="0" w:space="0" w:color="auto"/>
        <w:bottom w:val="none" w:sz="0" w:space="0" w:color="auto"/>
        <w:right w:val="none" w:sz="0" w:space="0" w:color="auto"/>
      </w:divBdr>
    </w:div>
    <w:div w:id="1324118120">
      <w:bodyDiv w:val="1"/>
      <w:marLeft w:val="0"/>
      <w:marRight w:val="0"/>
      <w:marTop w:val="0"/>
      <w:marBottom w:val="0"/>
      <w:divBdr>
        <w:top w:val="none" w:sz="0" w:space="0" w:color="auto"/>
        <w:left w:val="none" w:sz="0" w:space="0" w:color="auto"/>
        <w:bottom w:val="none" w:sz="0" w:space="0" w:color="auto"/>
        <w:right w:val="none" w:sz="0" w:space="0" w:color="auto"/>
      </w:divBdr>
    </w:div>
    <w:div w:id="1413546558">
      <w:bodyDiv w:val="1"/>
      <w:marLeft w:val="0"/>
      <w:marRight w:val="0"/>
      <w:marTop w:val="0"/>
      <w:marBottom w:val="0"/>
      <w:divBdr>
        <w:top w:val="none" w:sz="0" w:space="0" w:color="auto"/>
        <w:left w:val="none" w:sz="0" w:space="0" w:color="auto"/>
        <w:bottom w:val="none" w:sz="0" w:space="0" w:color="auto"/>
        <w:right w:val="none" w:sz="0" w:space="0" w:color="auto"/>
      </w:divBdr>
    </w:div>
    <w:div w:id="1530337954">
      <w:bodyDiv w:val="1"/>
      <w:marLeft w:val="0"/>
      <w:marRight w:val="0"/>
      <w:marTop w:val="0"/>
      <w:marBottom w:val="0"/>
      <w:divBdr>
        <w:top w:val="none" w:sz="0" w:space="0" w:color="auto"/>
        <w:left w:val="none" w:sz="0" w:space="0" w:color="auto"/>
        <w:bottom w:val="none" w:sz="0" w:space="0" w:color="auto"/>
        <w:right w:val="none" w:sz="0" w:space="0" w:color="auto"/>
      </w:divBdr>
    </w:div>
    <w:div w:id="1585072298">
      <w:bodyDiv w:val="1"/>
      <w:marLeft w:val="0"/>
      <w:marRight w:val="0"/>
      <w:marTop w:val="0"/>
      <w:marBottom w:val="0"/>
      <w:divBdr>
        <w:top w:val="none" w:sz="0" w:space="0" w:color="auto"/>
        <w:left w:val="none" w:sz="0" w:space="0" w:color="auto"/>
        <w:bottom w:val="none" w:sz="0" w:space="0" w:color="auto"/>
        <w:right w:val="none" w:sz="0" w:space="0" w:color="auto"/>
      </w:divBdr>
    </w:div>
    <w:div w:id="1762869210">
      <w:bodyDiv w:val="1"/>
      <w:marLeft w:val="0"/>
      <w:marRight w:val="0"/>
      <w:marTop w:val="0"/>
      <w:marBottom w:val="0"/>
      <w:divBdr>
        <w:top w:val="none" w:sz="0" w:space="0" w:color="auto"/>
        <w:left w:val="none" w:sz="0" w:space="0" w:color="auto"/>
        <w:bottom w:val="none" w:sz="0" w:space="0" w:color="auto"/>
        <w:right w:val="none" w:sz="0" w:space="0" w:color="auto"/>
      </w:divBdr>
    </w:div>
    <w:div w:id="179093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dministrator\Desktop\&#21407;&#27833;\&#21608;&#25253;&#12289;&#26376;&#25253;\&#28342;&#21058;&#27833;&#65288;&#30707;&#33041;&#27833;&#65289;&#21608;&#25253;2-2.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1407;&#27833;\&#21608;&#25253;&#12289;&#26376;&#25253;\&#26368;&#26032;&#28342;&#21058;&#27833;&#21608;&#25253;&#65306;&#23665;&#19996;&#22320;&#28860;&#30707;&#33041;&#27833;&#20215;&#26684;&#36208;&#21183;&#22270;8.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宋体"/>
                <a:ea typeface="宋体"/>
                <a:cs typeface="宋体"/>
              </a:defRPr>
            </a:pPr>
            <a:r>
              <a:rPr lang="zh-CN" altLang="en-US"/>
              <a:t>山东地炼石脑油价格走势图</a:t>
            </a:r>
          </a:p>
        </c:rich>
      </c:tx>
      <c:layout>
        <c:manualLayout>
          <c:xMode val="edge"/>
          <c:yMode val="edge"/>
          <c:x val="0.3505118756707139"/>
          <c:y val="2.8848315101551919E-2"/>
        </c:manualLayout>
      </c:layout>
    </c:title>
    <c:plotArea>
      <c:layout>
        <c:manualLayout>
          <c:layoutTarget val="inner"/>
          <c:xMode val="edge"/>
          <c:yMode val="edge"/>
          <c:x val="8.2542082367633413E-2"/>
          <c:y val="0.14285721001292762"/>
          <c:w val="0.85834738617200679"/>
          <c:h val="0.59183732445524129"/>
        </c:manualLayout>
      </c:layout>
      <c:lineChart>
        <c:grouping val="standard"/>
        <c:ser>
          <c:idx val="8"/>
          <c:order val="0"/>
          <c:tx>
            <c:strRef>
              <c:f>'溶剂油周报-石脑油价格走势图表'!$D$178</c:f>
              <c:strCache>
                <c:ptCount val="1"/>
                <c:pt idx="0">
                  <c:v>鑫泰石化</c:v>
                </c:pt>
              </c:strCache>
            </c:strRef>
          </c:tx>
          <c:spPr>
            <a:ln w="38100">
              <a:solidFill>
                <a:srgbClr val="000000"/>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numCache>
            </c:numRef>
          </c:cat>
          <c:val>
            <c:numRef>
              <c:f>'溶剂油周报-石脑油价格走势图表'!$D$179:$D$336</c:f>
              <c:numCache>
                <c:formatCode>@</c:formatCode>
                <c:ptCount val="158"/>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formatCode="General">
                  <c:v>4000</c:v>
                </c:pt>
                <c:pt idx="54" formatCode="General">
                  <c:v>4000</c:v>
                </c:pt>
                <c:pt idx="55" formatCode="General">
                  <c:v>4100</c:v>
                </c:pt>
                <c:pt idx="56" formatCode="General">
                  <c:v>4100</c:v>
                </c:pt>
                <c:pt idx="57" formatCode="General">
                  <c:v>4100</c:v>
                </c:pt>
                <c:pt idx="58" formatCode="General">
                  <c:v>4100</c:v>
                </c:pt>
                <c:pt idx="59" formatCode="General">
                  <c:v>4100</c:v>
                </c:pt>
                <c:pt idx="60" formatCode="General">
                  <c:v>4150</c:v>
                </c:pt>
                <c:pt idx="61" formatCode="General">
                  <c:v>4150</c:v>
                </c:pt>
                <c:pt idx="62" formatCode="General">
                  <c:v>4150</c:v>
                </c:pt>
                <c:pt idx="63" formatCode="General">
                  <c:v>4500</c:v>
                </c:pt>
                <c:pt idx="64" formatCode="General">
                  <c:v>4500</c:v>
                </c:pt>
                <c:pt idx="65" formatCode="General">
                  <c:v>4500</c:v>
                </c:pt>
                <c:pt idx="66" formatCode="General">
                  <c:v>4500</c:v>
                </c:pt>
                <c:pt idx="67" formatCode="General">
                  <c:v>4500</c:v>
                </c:pt>
                <c:pt idx="68" formatCode="General">
                  <c:v>4500</c:v>
                </c:pt>
                <c:pt idx="69" formatCode="General">
                  <c:v>4500</c:v>
                </c:pt>
                <c:pt idx="70" formatCode="General">
                  <c:v>4500</c:v>
                </c:pt>
                <c:pt idx="71" formatCode="General">
                  <c:v>4500</c:v>
                </c:pt>
                <c:pt idx="72" formatCode="General">
                  <c:v>4500</c:v>
                </c:pt>
                <c:pt idx="73" formatCode="General">
                  <c:v>4500</c:v>
                </c:pt>
                <c:pt idx="74" formatCode="General">
                  <c:v>4500</c:v>
                </c:pt>
                <c:pt idx="75" formatCode="General">
                  <c:v>4500</c:v>
                </c:pt>
                <c:pt idx="76" formatCode="General">
                  <c:v>4500</c:v>
                </c:pt>
                <c:pt idx="77" formatCode="General">
                  <c:v>4500</c:v>
                </c:pt>
                <c:pt idx="78" formatCode="General">
                  <c:v>4500</c:v>
                </c:pt>
                <c:pt idx="79" formatCode="General">
                  <c:v>5000</c:v>
                </c:pt>
                <c:pt idx="80" formatCode="General">
                  <c:v>5000</c:v>
                </c:pt>
                <c:pt idx="81" formatCode="General">
                  <c:v>5000</c:v>
                </c:pt>
                <c:pt idx="82" formatCode="General">
                  <c:v>5000</c:v>
                </c:pt>
                <c:pt idx="83" formatCode="General">
                  <c:v>5000</c:v>
                </c:pt>
                <c:pt idx="84" formatCode="General">
                  <c:v>5400</c:v>
                </c:pt>
                <c:pt idx="85" formatCode="General">
                  <c:v>5400</c:v>
                </c:pt>
                <c:pt idx="86" formatCode="General">
                  <c:v>5400</c:v>
                </c:pt>
                <c:pt idx="87" formatCode="General">
                  <c:v>5400</c:v>
                </c:pt>
                <c:pt idx="88" formatCode="General">
                  <c:v>5400</c:v>
                </c:pt>
                <c:pt idx="89" formatCode="General">
                  <c:v>5400</c:v>
                </c:pt>
                <c:pt idx="90" formatCode="General">
                  <c:v>5400</c:v>
                </c:pt>
                <c:pt idx="91" formatCode="General">
                  <c:v>5400</c:v>
                </c:pt>
                <c:pt idx="92" formatCode="General">
                  <c:v>5400</c:v>
                </c:pt>
                <c:pt idx="93" formatCode="General">
                  <c:v>5400</c:v>
                </c:pt>
                <c:pt idx="94" formatCode="General">
                  <c:v>5400</c:v>
                </c:pt>
                <c:pt idx="95" formatCode="General">
                  <c:v>5400</c:v>
                </c:pt>
                <c:pt idx="96" formatCode="General">
                  <c:v>4900</c:v>
                </c:pt>
                <c:pt idx="97" formatCode="General">
                  <c:v>5000</c:v>
                </c:pt>
                <c:pt idx="98" formatCode="General">
                  <c:v>5000</c:v>
                </c:pt>
                <c:pt idx="99" formatCode="General">
                  <c:v>5000</c:v>
                </c:pt>
                <c:pt idx="100" formatCode="General">
                  <c:v>5000</c:v>
                </c:pt>
                <c:pt idx="103" formatCode="General">
                  <c:v>0</c:v>
                </c:pt>
                <c:pt idx="104" formatCode="General">
                  <c:v>5000</c:v>
                </c:pt>
                <c:pt idx="105" formatCode="General">
                  <c:v>5000</c:v>
                </c:pt>
                <c:pt idx="106" formatCode="General">
                  <c:v>5000</c:v>
                </c:pt>
                <c:pt idx="107" formatCode="General">
                  <c:v>5000</c:v>
                </c:pt>
                <c:pt idx="108" formatCode="General">
                  <c:v>5000</c:v>
                </c:pt>
                <c:pt idx="109" formatCode="General">
                  <c:v>5000</c:v>
                </c:pt>
                <c:pt idx="110" formatCode="General">
                  <c:v>5000</c:v>
                </c:pt>
                <c:pt idx="111" formatCode="General">
                  <c:v>5000</c:v>
                </c:pt>
                <c:pt idx="112" formatCode="General">
                  <c:v>5000</c:v>
                </c:pt>
                <c:pt idx="113" formatCode="General">
                  <c:v>5000</c:v>
                </c:pt>
                <c:pt idx="114" formatCode="General">
                  <c:v>5000</c:v>
                </c:pt>
                <c:pt idx="115" formatCode="General">
                  <c:v>6150</c:v>
                </c:pt>
                <c:pt idx="116" formatCode="General">
                  <c:v>6100</c:v>
                </c:pt>
                <c:pt idx="117" formatCode="General">
                  <c:v>5950</c:v>
                </c:pt>
                <c:pt idx="118" formatCode="General">
                  <c:v>6100</c:v>
                </c:pt>
                <c:pt idx="119" formatCode="General">
                  <c:v>6150</c:v>
                </c:pt>
                <c:pt idx="120" formatCode="General">
                  <c:v>6300</c:v>
                </c:pt>
                <c:pt idx="121" formatCode="General">
                  <c:v>6300</c:v>
                </c:pt>
                <c:pt idx="122" formatCode="General">
                  <c:v>6300</c:v>
                </c:pt>
                <c:pt idx="123" formatCode="General">
                  <c:v>6250</c:v>
                </c:pt>
                <c:pt idx="124" formatCode="General">
                  <c:v>6150</c:v>
                </c:pt>
                <c:pt idx="125" formatCode="General">
                  <c:v>6300</c:v>
                </c:pt>
                <c:pt idx="126" formatCode="General">
                  <c:v>6150</c:v>
                </c:pt>
                <c:pt idx="127" formatCode="General">
                  <c:v>6150</c:v>
                </c:pt>
                <c:pt idx="128" formatCode="General">
                  <c:v>6150</c:v>
                </c:pt>
                <c:pt idx="129" formatCode="General">
                  <c:v>6150</c:v>
                </c:pt>
                <c:pt idx="130" formatCode="General">
                  <c:v>6150</c:v>
                </c:pt>
                <c:pt idx="131" formatCode="General">
                  <c:v>6350</c:v>
                </c:pt>
                <c:pt idx="132" formatCode="General">
                  <c:v>6250</c:v>
                </c:pt>
                <c:pt idx="133" formatCode="General">
                  <c:v>6250</c:v>
                </c:pt>
                <c:pt idx="134" formatCode="General">
                  <c:v>6300</c:v>
                </c:pt>
                <c:pt idx="135" formatCode="General">
                  <c:v>6350</c:v>
                </c:pt>
                <c:pt idx="136" formatCode="General">
                  <c:v>6600</c:v>
                </c:pt>
                <c:pt idx="137" formatCode="General">
                  <c:v>6650</c:v>
                </c:pt>
                <c:pt idx="138" formatCode="General">
                  <c:v>6650</c:v>
                </c:pt>
                <c:pt idx="139" formatCode="General">
                  <c:v>6450</c:v>
                </c:pt>
                <c:pt idx="140" formatCode="General">
                  <c:v>6450</c:v>
                </c:pt>
                <c:pt idx="141" formatCode="General">
                  <c:v>6450</c:v>
                </c:pt>
                <c:pt idx="142" formatCode="General">
                  <c:v>6400</c:v>
                </c:pt>
                <c:pt idx="143" formatCode="General">
                  <c:v>6400</c:v>
                </c:pt>
                <c:pt idx="144" formatCode="General">
                  <c:v>6650</c:v>
                </c:pt>
                <c:pt idx="145" formatCode="General">
                  <c:v>6600</c:v>
                </c:pt>
                <c:pt idx="146" formatCode="General">
                  <c:v>6600</c:v>
                </c:pt>
                <c:pt idx="147" formatCode="General">
                  <c:v>6800</c:v>
                </c:pt>
                <c:pt idx="148" formatCode="General">
                  <c:v>6800</c:v>
                </c:pt>
                <c:pt idx="149" formatCode="General">
                  <c:v>7200</c:v>
                </c:pt>
                <c:pt idx="150" formatCode="General">
                  <c:v>7200</c:v>
                </c:pt>
              </c:numCache>
            </c:numRef>
          </c:val>
        </c:ser>
        <c:ser>
          <c:idx val="10"/>
          <c:order val="1"/>
          <c:tx>
            <c:strRef>
              <c:f>'溶剂油周报-石脑油价格走势图表'!$E$178</c:f>
              <c:strCache>
                <c:ptCount val="1"/>
                <c:pt idx="0">
                  <c:v>利津石化</c:v>
                </c:pt>
              </c:strCache>
            </c:strRef>
          </c:tx>
          <c:spPr>
            <a:ln w="38100" cap="rnd" cmpd="sng" algn="ctr">
              <a:solidFill>
                <a:srgbClr val="00B050"/>
              </a:solidFill>
              <a:prstDash val="solid"/>
              <a:roun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numCache>
            </c:numRef>
          </c:cat>
          <c:val>
            <c:numRef>
              <c:f>'溶剂油周报-石脑油价格走势图表'!$E$179:$E$336</c:f>
              <c:numCache>
                <c:formatCode>@</c:formatCode>
                <c:ptCount val="158"/>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formatCode="General">
                  <c:v>3450</c:v>
                </c:pt>
                <c:pt idx="52" formatCode="General">
                  <c:v>3450</c:v>
                </c:pt>
                <c:pt idx="53" formatCode="General">
                  <c:v>3450</c:v>
                </c:pt>
                <c:pt idx="54" formatCode="General">
                  <c:v>3450</c:v>
                </c:pt>
                <c:pt idx="55" formatCode="General">
                  <c:v>3800</c:v>
                </c:pt>
                <c:pt idx="56" formatCode="General">
                  <c:v>4000</c:v>
                </c:pt>
                <c:pt idx="57" formatCode="General">
                  <c:v>3900</c:v>
                </c:pt>
                <c:pt idx="58" formatCode="General">
                  <c:v>3650</c:v>
                </c:pt>
                <c:pt idx="59" formatCode="General">
                  <c:v>3900</c:v>
                </c:pt>
                <c:pt idx="60" formatCode="General">
                  <c:v>4000</c:v>
                </c:pt>
                <c:pt idx="61" formatCode="General">
                  <c:v>4050</c:v>
                </c:pt>
                <c:pt idx="62" formatCode="General">
                  <c:v>4000</c:v>
                </c:pt>
                <c:pt idx="63" formatCode="General">
                  <c:v>4150</c:v>
                </c:pt>
                <c:pt idx="64" formatCode="General">
                  <c:v>4450</c:v>
                </c:pt>
                <c:pt idx="65" formatCode="General">
                  <c:v>4350</c:v>
                </c:pt>
                <c:pt idx="66" formatCode="General">
                  <c:v>4000</c:v>
                </c:pt>
                <c:pt idx="67" formatCode="General">
                  <c:v>4150</c:v>
                </c:pt>
                <c:pt idx="68" formatCode="General">
                  <c:v>4200</c:v>
                </c:pt>
                <c:pt idx="69" formatCode="General">
                  <c:v>4250</c:v>
                </c:pt>
                <c:pt idx="70" formatCode="General">
                  <c:v>4250</c:v>
                </c:pt>
                <c:pt idx="71" formatCode="General">
                  <c:v>4200</c:v>
                </c:pt>
                <c:pt idx="72" formatCode="General">
                  <c:v>4500</c:v>
                </c:pt>
                <c:pt idx="73" formatCode="General">
                  <c:v>4450</c:v>
                </c:pt>
                <c:pt idx="74" formatCode="General">
                  <c:v>4250</c:v>
                </c:pt>
                <c:pt idx="75" formatCode="General">
                  <c:v>4100</c:v>
                </c:pt>
                <c:pt idx="76" formatCode="General">
                  <c:v>4250</c:v>
                </c:pt>
                <c:pt idx="77" formatCode="General">
                  <c:v>4150</c:v>
                </c:pt>
                <c:pt idx="78" formatCode="General">
                  <c:v>4100</c:v>
                </c:pt>
                <c:pt idx="79" formatCode="General">
                  <c:v>4400</c:v>
                </c:pt>
                <c:pt idx="80" formatCode="General">
                  <c:v>4200</c:v>
                </c:pt>
                <c:pt idx="81" formatCode="General">
                  <c:v>4230</c:v>
                </c:pt>
                <c:pt idx="82" formatCode="General">
                  <c:v>4230</c:v>
                </c:pt>
                <c:pt idx="83" formatCode="General">
                  <c:v>4230</c:v>
                </c:pt>
                <c:pt idx="84" formatCode="General">
                  <c:v>4230</c:v>
                </c:pt>
                <c:pt idx="85" formatCode="General">
                  <c:v>4230</c:v>
                </c:pt>
                <c:pt idx="86" formatCode="General">
                  <c:v>4230</c:v>
                </c:pt>
                <c:pt idx="87" formatCode="General">
                  <c:v>4230</c:v>
                </c:pt>
                <c:pt idx="88" formatCode="General">
                  <c:v>0</c:v>
                </c:pt>
                <c:pt idx="89" formatCode="General">
                  <c:v>0</c:v>
                </c:pt>
                <c:pt idx="90" formatCode="General">
                  <c:v>0</c:v>
                </c:pt>
                <c:pt idx="91" formatCode="General">
                  <c:v>0</c:v>
                </c:pt>
                <c:pt idx="92" formatCode="General">
                  <c:v>0</c:v>
                </c:pt>
                <c:pt idx="93" formatCode="General">
                  <c:v>0</c:v>
                </c:pt>
                <c:pt idx="94" formatCode="General">
                  <c:v>0</c:v>
                </c:pt>
                <c:pt idx="95" formatCode="General">
                  <c:v>0</c:v>
                </c:pt>
                <c:pt idx="96" formatCode="General">
                  <c:v>0</c:v>
                </c:pt>
                <c:pt idx="97" formatCode="General">
                  <c:v>0</c:v>
                </c:pt>
                <c:pt idx="98" formatCode="General">
                  <c:v>0</c:v>
                </c:pt>
                <c:pt idx="99" formatCode="General">
                  <c:v>0</c:v>
                </c:pt>
                <c:pt idx="100" formatCode="General">
                  <c:v>0</c:v>
                </c:pt>
                <c:pt idx="103" formatCode="General">
                  <c:v>0</c:v>
                </c:pt>
                <c:pt idx="104" formatCode="General">
                  <c:v>0</c:v>
                </c:pt>
                <c:pt idx="105" formatCode="General">
                  <c:v>0</c:v>
                </c:pt>
                <c:pt idx="106" formatCode="General">
                  <c:v>0</c:v>
                </c:pt>
                <c:pt idx="107" formatCode="General">
                  <c:v>0</c:v>
                </c:pt>
                <c:pt idx="108" formatCode="General">
                  <c:v>0</c:v>
                </c:pt>
                <c:pt idx="109" formatCode="General">
                  <c:v>0</c:v>
                </c:pt>
                <c:pt idx="110" formatCode="General">
                  <c:v>0</c:v>
                </c:pt>
                <c:pt idx="111" formatCode="General">
                  <c:v>0</c:v>
                </c:pt>
                <c:pt idx="112" formatCode="General">
                  <c:v>0</c:v>
                </c:pt>
                <c:pt idx="113" formatCode="General">
                  <c:v>0</c:v>
                </c:pt>
                <c:pt idx="114" formatCode="General">
                  <c:v>0</c:v>
                </c:pt>
                <c:pt idx="115" formatCode="General">
                  <c:v>0</c:v>
                </c:pt>
                <c:pt idx="116" formatCode="General">
                  <c:v>0</c:v>
                </c:pt>
                <c:pt idx="117" formatCode="General">
                  <c:v>0</c:v>
                </c:pt>
                <c:pt idx="118" formatCode="General">
                  <c:v>0</c:v>
                </c:pt>
                <c:pt idx="119" formatCode="General">
                  <c:v>0</c:v>
                </c:pt>
                <c:pt idx="120" formatCode="General">
                  <c:v>0</c:v>
                </c:pt>
                <c:pt idx="121" formatCode="General">
                  <c:v>0</c:v>
                </c:pt>
                <c:pt idx="122" formatCode="General">
                  <c:v>0</c:v>
                </c:pt>
                <c:pt idx="123" formatCode="General">
                  <c:v>0</c:v>
                </c:pt>
                <c:pt idx="124" formatCode="General">
                  <c:v>0</c:v>
                </c:pt>
                <c:pt idx="125" formatCode="General">
                  <c:v>0</c:v>
                </c:pt>
                <c:pt idx="126" formatCode="General">
                  <c:v>0</c:v>
                </c:pt>
                <c:pt idx="127" formatCode="General">
                  <c:v>0</c:v>
                </c:pt>
                <c:pt idx="128" formatCode="General">
                  <c:v>0</c:v>
                </c:pt>
                <c:pt idx="129" formatCode="General">
                  <c:v>0</c:v>
                </c:pt>
                <c:pt idx="130" formatCode="General">
                  <c:v>0</c:v>
                </c:pt>
                <c:pt idx="131" formatCode="General">
                  <c:v>0</c:v>
                </c:pt>
                <c:pt idx="132" formatCode="General">
                  <c:v>0</c:v>
                </c:pt>
                <c:pt idx="133" formatCode="General">
                  <c:v>0</c:v>
                </c:pt>
                <c:pt idx="134" formatCode="General">
                  <c:v>0</c:v>
                </c:pt>
                <c:pt idx="135" formatCode="General">
                  <c:v>0</c:v>
                </c:pt>
                <c:pt idx="136" formatCode="General">
                  <c:v>0</c:v>
                </c:pt>
                <c:pt idx="137" formatCode="General">
                  <c:v>0</c:v>
                </c:pt>
                <c:pt idx="138" formatCode="General">
                  <c:v>0</c:v>
                </c:pt>
                <c:pt idx="139" formatCode="General">
                  <c:v>0</c:v>
                </c:pt>
                <c:pt idx="140" formatCode="General">
                  <c:v>0</c:v>
                </c:pt>
                <c:pt idx="141" formatCode="General">
                  <c:v>0</c:v>
                </c:pt>
                <c:pt idx="142" formatCode="General">
                  <c:v>0</c:v>
                </c:pt>
                <c:pt idx="143" formatCode="General">
                  <c:v>0</c:v>
                </c:pt>
                <c:pt idx="144" formatCode="General">
                  <c:v>0</c:v>
                </c:pt>
                <c:pt idx="145" formatCode="General">
                  <c:v>0</c:v>
                </c:pt>
                <c:pt idx="146" formatCode="General">
                  <c:v>0</c:v>
                </c:pt>
                <c:pt idx="147" formatCode="General">
                  <c:v>0</c:v>
                </c:pt>
                <c:pt idx="148" formatCode="General">
                  <c:v>0</c:v>
                </c:pt>
                <c:pt idx="149" formatCode="General">
                  <c:v>0</c:v>
                </c:pt>
                <c:pt idx="150" formatCode="General">
                  <c:v>0</c:v>
                </c:pt>
              </c:numCache>
            </c:numRef>
          </c:val>
        </c:ser>
        <c:ser>
          <c:idx val="1"/>
          <c:order val="2"/>
          <c:tx>
            <c:strRef>
              <c:f>'溶剂油周报-石脑油价格走势图表'!$F$178</c:f>
              <c:strCache>
                <c:ptCount val="1"/>
                <c:pt idx="0">
                  <c:v>安邦石化</c:v>
                </c:pt>
              </c:strCache>
            </c:strRef>
          </c:tx>
          <c:spPr>
            <a:ln w="38100">
              <a:solidFill>
                <a:srgbClr val="FF00FF"/>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numCache>
            </c:numRef>
          </c:cat>
          <c:val>
            <c:numRef>
              <c:f>'溶剂油周报-石脑油价格走势图表'!$F$179:$F$336</c:f>
              <c:numCache>
                <c:formatCode>@</c:formatCode>
                <c:ptCount val="158"/>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formatCode="General">
                  <c:v>3200</c:v>
                </c:pt>
                <c:pt idx="48" formatCode="General">
                  <c:v>3550</c:v>
                </c:pt>
                <c:pt idx="49" formatCode="General">
                  <c:v>3600</c:v>
                </c:pt>
                <c:pt idx="50" formatCode="General">
                  <c:v>3600</c:v>
                </c:pt>
                <c:pt idx="51" formatCode="General">
                  <c:v>3350</c:v>
                </c:pt>
                <c:pt idx="52" formatCode="General">
                  <c:v>3550</c:v>
                </c:pt>
                <c:pt idx="53" formatCode="General">
                  <c:v>3500</c:v>
                </c:pt>
                <c:pt idx="54" formatCode="General">
                  <c:v>3500</c:v>
                </c:pt>
                <c:pt idx="55" formatCode="General">
                  <c:v>3800</c:v>
                </c:pt>
                <c:pt idx="56" formatCode="General">
                  <c:v>4000</c:v>
                </c:pt>
                <c:pt idx="57" formatCode="General">
                  <c:v>4000</c:v>
                </c:pt>
                <c:pt idx="58" formatCode="General">
                  <c:v>3900</c:v>
                </c:pt>
                <c:pt idx="59" formatCode="General">
                  <c:v>3800</c:v>
                </c:pt>
                <c:pt idx="60" formatCode="General">
                  <c:v>3950</c:v>
                </c:pt>
                <c:pt idx="61" formatCode="General">
                  <c:v>4000</c:v>
                </c:pt>
                <c:pt idx="62" formatCode="General">
                  <c:v>4000</c:v>
                </c:pt>
                <c:pt idx="63" formatCode="General">
                  <c:v>4150</c:v>
                </c:pt>
                <c:pt idx="64" formatCode="General">
                  <c:v>4500</c:v>
                </c:pt>
                <c:pt idx="65" formatCode="General">
                  <c:v>4500</c:v>
                </c:pt>
                <c:pt idx="66" formatCode="General">
                  <c:v>4300</c:v>
                </c:pt>
                <c:pt idx="67" formatCode="General">
                  <c:v>4300</c:v>
                </c:pt>
                <c:pt idx="68" formatCode="General">
                  <c:v>4400</c:v>
                </c:pt>
                <c:pt idx="69" formatCode="General">
                  <c:v>4400</c:v>
                </c:pt>
                <c:pt idx="70" formatCode="General">
                  <c:v>4400</c:v>
                </c:pt>
                <c:pt idx="71" formatCode="General">
                  <c:v>4400</c:v>
                </c:pt>
                <c:pt idx="72" formatCode="General">
                  <c:v>4750</c:v>
                </c:pt>
                <c:pt idx="73" formatCode="General">
                  <c:v>4800</c:v>
                </c:pt>
                <c:pt idx="74" formatCode="General">
                  <c:v>4720</c:v>
                </c:pt>
                <c:pt idx="75" formatCode="General">
                  <c:v>4500</c:v>
                </c:pt>
                <c:pt idx="76" formatCode="General">
                  <c:v>4600</c:v>
                </c:pt>
                <c:pt idx="77" formatCode="General">
                  <c:v>4600</c:v>
                </c:pt>
                <c:pt idx="78" formatCode="General">
                  <c:v>4600</c:v>
                </c:pt>
                <c:pt idx="79" formatCode="General">
                  <c:v>4650</c:v>
                </c:pt>
                <c:pt idx="80" formatCode="General">
                  <c:v>4650</c:v>
                </c:pt>
                <c:pt idx="81" formatCode="General">
                  <c:v>4500</c:v>
                </c:pt>
                <c:pt idx="82" formatCode="General">
                  <c:v>4500</c:v>
                </c:pt>
                <c:pt idx="83" formatCode="General">
                  <c:v>4500</c:v>
                </c:pt>
                <c:pt idx="84" formatCode="General">
                  <c:v>4700</c:v>
                </c:pt>
                <c:pt idx="85" formatCode="General">
                  <c:v>4750</c:v>
                </c:pt>
                <c:pt idx="86" formatCode="General">
                  <c:v>4750</c:v>
                </c:pt>
                <c:pt idx="87" formatCode="General">
                  <c:v>4750</c:v>
                </c:pt>
                <c:pt idx="88" formatCode="General">
                  <c:v>4850</c:v>
                </c:pt>
                <c:pt idx="89" formatCode="General">
                  <c:v>4750</c:v>
                </c:pt>
                <c:pt idx="90" formatCode="General">
                  <c:v>4550</c:v>
                </c:pt>
                <c:pt idx="91" formatCode="General">
                  <c:v>4600</c:v>
                </c:pt>
                <c:pt idx="92" formatCode="General">
                  <c:v>4500</c:v>
                </c:pt>
                <c:pt idx="93" formatCode="General">
                  <c:v>4500</c:v>
                </c:pt>
                <c:pt idx="94" formatCode="General">
                  <c:v>4600</c:v>
                </c:pt>
                <c:pt idx="95" formatCode="General">
                  <c:v>4600</c:v>
                </c:pt>
                <c:pt idx="96" formatCode="General">
                  <c:v>4550</c:v>
                </c:pt>
                <c:pt idx="97" formatCode="General">
                  <c:v>4660</c:v>
                </c:pt>
                <c:pt idx="98" formatCode="General">
                  <c:v>4730</c:v>
                </c:pt>
                <c:pt idx="99" formatCode="General">
                  <c:v>4780</c:v>
                </c:pt>
                <c:pt idx="100" formatCode="General">
                  <c:v>4840</c:v>
                </c:pt>
                <c:pt idx="103" formatCode="General">
                  <c:v>0</c:v>
                </c:pt>
                <c:pt idx="104" formatCode="General">
                  <c:v>4900</c:v>
                </c:pt>
                <c:pt idx="105" formatCode="General">
                  <c:v>4980</c:v>
                </c:pt>
                <c:pt idx="106" formatCode="General">
                  <c:v>5050</c:v>
                </c:pt>
                <c:pt idx="107" formatCode="General">
                  <c:v>5160</c:v>
                </c:pt>
                <c:pt idx="108" formatCode="General">
                  <c:v>5240</c:v>
                </c:pt>
                <c:pt idx="109" formatCode="General">
                  <c:v>5300</c:v>
                </c:pt>
                <c:pt idx="110" formatCode="General">
                  <c:v>5530</c:v>
                </c:pt>
                <c:pt idx="111" formatCode="General">
                  <c:v>6200</c:v>
                </c:pt>
                <c:pt idx="112" formatCode="General">
                  <c:v>6050</c:v>
                </c:pt>
                <c:pt idx="113" formatCode="General">
                  <c:v>6150</c:v>
                </c:pt>
                <c:pt idx="114" formatCode="General">
                  <c:v>6180</c:v>
                </c:pt>
                <c:pt idx="115" formatCode="General">
                  <c:v>6180</c:v>
                </c:pt>
                <c:pt idx="116" formatCode="General">
                  <c:v>5900</c:v>
                </c:pt>
                <c:pt idx="117" formatCode="General">
                  <c:v>5830</c:v>
                </c:pt>
                <c:pt idx="118" formatCode="General">
                  <c:v>6000</c:v>
                </c:pt>
                <c:pt idx="119" formatCode="General">
                  <c:v>5960</c:v>
                </c:pt>
                <c:pt idx="120" formatCode="General">
                  <c:v>6400</c:v>
                </c:pt>
                <c:pt idx="121" formatCode="General">
                  <c:v>6250</c:v>
                </c:pt>
                <c:pt idx="122" formatCode="General">
                  <c:v>6200</c:v>
                </c:pt>
                <c:pt idx="123" formatCode="General">
                  <c:v>5990</c:v>
                </c:pt>
                <c:pt idx="124" formatCode="General">
                  <c:v>5840</c:v>
                </c:pt>
                <c:pt idx="125" formatCode="General">
                  <c:v>5950</c:v>
                </c:pt>
                <c:pt idx="126" formatCode="General">
                  <c:v>5950</c:v>
                </c:pt>
                <c:pt idx="127" formatCode="General">
                  <c:v>5900</c:v>
                </c:pt>
                <c:pt idx="128" formatCode="General">
                  <c:v>5920</c:v>
                </c:pt>
                <c:pt idx="129" formatCode="General">
                  <c:v>6000</c:v>
                </c:pt>
                <c:pt idx="130" formatCode="General">
                  <c:v>6080</c:v>
                </c:pt>
                <c:pt idx="131" formatCode="General">
                  <c:v>6130</c:v>
                </c:pt>
                <c:pt idx="132" formatCode="General">
                  <c:v>6150</c:v>
                </c:pt>
                <c:pt idx="133" formatCode="General">
                  <c:v>6250</c:v>
                </c:pt>
                <c:pt idx="134" formatCode="General">
                  <c:v>6150</c:v>
                </c:pt>
                <c:pt idx="135" formatCode="General">
                  <c:v>6450</c:v>
                </c:pt>
                <c:pt idx="136" formatCode="General">
                  <c:v>6600</c:v>
                </c:pt>
                <c:pt idx="137" formatCode="General">
                  <c:v>6650</c:v>
                </c:pt>
                <c:pt idx="138" formatCode="General">
                  <c:v>0</c:v>
                </c:pt>
                <c:pt idx="139" formatCode="General">
                  <c:v>0</c:v>
                </c:pt>
                <c:pt idx="140" formatCode="General">
                  <c:v>0</c:v>
                </c:pt>
                <c:pt idx="141" formatCode="General">
                  <c:v>0</c:v>
                </c:pt>
                <c:pt idx="142" formatCode="General">
                  <c:v>0</c:v>
                </c:pt>
                <c:pt idx="143" formatCode="General">
                  <c:v>0</c:v>
                </c:pt>
                <c:pt idx="144" formatCode="General">
                  <c:v>0</c:v>
                </c:pt>
                <c:pt idx="145" formatCode="General">
                  <c:v>0</c:v>
                </c:pt>
                <c:pt idx="146" formatCode="General">
                  <c:v>0</c:v>
                </c:pt>
                <c:pt idx="147" formatCode="General">
                  <c:v>0</c:v>
                </c:pt>
                <c:pt idx="148" formatCode="General">
                  <c:v>0</c:v>
                </c:pt>
                <c:pt idx="149" formatCode="General">
                  <c:v>0</c:v>
                </c:pt>
                <c:pt idx="150" formatCode="General">
                  <c:v>0</c:v>
                </c:pt>
              </c:numCache>
            </c:numRef>
          </c:val>
        </c:ser>
        <c:ser>
          <c:idx val="5"/>
          <c:order val="3"/>
          <c:tx>
            <c:strRef>
              <c:f>'溶剂油周报-石脑油价格走势图表'!$G$178</c:f>
              <c:strCache>
                <c:ptCount val="1"/>
                <c:pt idx="0">
                  <c:v>富海石化</c:v>
                </c:pt>
              </c:strCache>
            </c:strRef>
          </c:tx>
          <c:spPr>
            <a:ln w="38100">
              <a:solidFill>
                <a:srgbClr val="800000"/>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numCache>
            </c:numRef>
          </c:cat>
          <c:val>
            <c:numRef>
              <c:f>'溶剂油周报-石脑油价格走势图表'!$G$179:$G$336</c:f>
              <c:numCache>
                <c:formatCode>@</c:formatCode>
                <c:ptCount val="158"/>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formatCode="General">
                  <c:v>3430</c:v>
                </c:pt>
                <c:pt idx="49" formatCode="General">
                  <c:v>3460</c:v>
                </c:pt>
                <c:pt idx="50" formatCode="General">
                  <c:v>3350</c:v>
                </c:pt>
                <c:pt idx="51" formatCode="General">
                  <c:v>3520</c:v>
                </c:pt>
                <c:pt idx="52" formatCode="General">
                  <c:v>3520</c:v>
                </c:pt>
                <c:pt idx="53" formatCode="General">
                  <c:v>3500</c:v>
                </c:pt>
                <c:pt idx="54" formatCode="General">
                  <c:v>3500</c:v>
                </c:pt>
                <c:pt idx="55" formatCode="General">
                  <c:v>3850</c:v>
                </c:pt>
                <c:pt idx="56" formatCode="General">
                  <c:v>4080</c:v>
                </c:pt>
                <c:pt idx="57" formatCode="General">
                  <c:v>3930</c:v>
                </c:pt>
                <c:pt idx="58" formatCode="General">
                  <c:v>3900</c:v>
                </c:pt>
                <c:pt idx="59" formatCode="General">
                  <c:v>3750</c:v>
                </c:pt>
                <c:pt idx="60" formatCode="General">
                  <c:v>3900</c:v>
                </c:pt>
                <c:pt idx="61" formatCode="General">
                  <c:v>3930</c:v>
                </c:pt>
                <c:pt idx="62" formatCode="General">
                  <c:v>3900</c:v>
                </c:pt>
                <c:pt idx="63" formatCode="General">
                  <c:v>4100</c:v>
                </c:pt>
                <c:pt idx="64" formatCode="General">
                  <c:v>4500</c:v>
                </c:pt>
                <c:pt idx="65" formatCode="General">
                  <c:v>4500</c:v>
                </c:pt>
                <c:pt idx="66" formatCode="General">
                  <c:v>4250</c:v>
                </c:pt>
                <c:pt idx="67" formatCode="General">
                  <c:v>4180</c:v>
                </c:pt>
                <c:pt idx="68" formatCode="General">
                  <c:v>4260</c:v>
                </c:pt>
                <c:pt idx="69" formatCode="General">
                  <c:v>4280</c:v>
                </c:pt>
                <c:pt idx="70" formatCode="General">
                  <c:v>4280</c:v>
                </c:pt>
                <c:pt idx="71" formatCode="General">
                  <c:v>4300</c:v>
                </c:pt>
                <c:pt idx="72" formatCode="General">
                  <c:v>4520</c:v>
                </c:pt>
                <c:pt idx="73" formatCode="General">
                  <c:v>4520</c:v>
                </c:pt>
                <c:pt idx="74" formatCode="General">
                  <c:v>4370</c:v>
                </c:pt>
                <c:pt idx="75" formatCode="General">
                  <c:v>4150</c:v>
                </c:pt>
                <c:pt idx="76" formatCode="General">
                  <c:v>4330</c:v>
                </c:pt>
                <c:pt idx="77" formatCode="General">
                  <c:v>4280</c:v>
                </c:pt>
                <c:pt idx="78" formatCode="General">
                  <c:v>4250</c:v>
                </c:pt>
                <c:pt idx="79" formatCode="General">
                  <c:v>4480</c:v>
                </c:pt>
                <c:pt idx="80" formatCode="General">
                  <c:v>4500</c:v>
                </c:pt>
                <c:pt idx="81" formatCode="General">
                  <c:v>4350</c:v>
                </c:pt>
                <c:pt idx="82" formatCode="General">
                  <c:v>4250</c:v>
                </c:pt>
                <c:pt idx="83" formatCode="General">
                  <c:v>4250</c:v>
                </c:pt>
                <c:pt idx="84" formatCode="General">
                  <c:v>4250</c:v>
                </c:pt>
                <c:pt idx="85" formatCode="General">
                  <c:v>4250</c:v>
                </c:pt>
                <c:pt idx="86" formatCode="General">
                  <c:v>4250</c:v>
                </c:pt>
                <c:pt idx="87" formatCode="General">
                  <c:v>4250</c:v>
                </c:pt>
                <c:pt idx="88" formatCode="General">
                  <c:v>4250</c:v>
                </c:pt>
                <c:pt idx="89" formatCode="General">
                  <c:v>4180</c:v>
                </c:pt>
                <c:pt idx="90" formatCode="General">
                  <c:v>3970</c:v>
                </c:pt>
                <c:pt idx="91" formatCode="General">
                  <c:v>3970</c:v>
                </c:pt>
                <c:pt idx="92" formatCode="General">
                  <c:v>4000</c:v>
                </c:pt>
                <c:pt idx="93" formatCode="General">
                  <c:v>4030</c:v>
                </c:pt>
                <c:pt idx="94" formatCode="General">
                  <c:v>4100</c:v>
                </c:pt>
                <c:pt idx="95" formatCode="General">
                  <c:v>4100</c:v>
                </c:pt>
                <c:pt idx="96" formatCode="General">
                  <c:v>4230</c:v>
                </c:pt>
                <c:pt idx="97" formatCode="General">
                  <c:v>4370</c:v>
                </c:pt>
                <c:pt idx="98" formatCode="General">
                  <c:v>4370</c:v>
                </c:pt>
                <c:pt idx="99" formatCode="General">
                  <c:v>4310</c:v>
                </c:pt>
                <c:pt idx="100" formatCode="General">
                  <c:v>4310</c:v>
                </c:pt>
                <c:pt idx="103" formatCode="General">
                  <c:v>0</c:v>
                </c:pt>
                <c:pt idx="104" formatCode="General">
                  <c:v>4310</c:v>
                </c:pt>
                <c:pt idx="105" formatCode="General">
                  <c:v>4400</c:v>
                </c:pt>
                <c:pt idx="106" formatCode="General">
                  <c:v>4550</c:v>
                </c:pt>
                <c:pt idx="107" formatCode="General">
                  <c:v>4520</c:v>
                </c:pt>
                <c:pt idx="108" formatCode="General">
                  <c:v>4480</c:v>
                </c:pt>
                <c:pt idx="109" formatCode="General">
                  <c:v>4480</c:v>
                </c:pt>
                <c:pt idx="110" formatCode="General">
                  <c:v>4690</c:v>
                </c:pt>
                <c:pt idx="111" formatCode="General">
                  <c:v>5750</c:v>
                </c:pt>
                <c:pt idx="112" formatCode="General">
                  <c:v>5420</c:v>
                </c:pt>
                <c:pt idx="113" formatCode="General">
                  <c:v>5400</c:v>
                </c:pt>
                <c:pt idx="114" formatCode="General">
                  <c:v>5430</c:v>
                </c:pt>
                <c:pt idx="115" formatCode="General">
                  <c:v>5430</c:v>
                </c:pt>
                <c:pt idx="116" formatCode="General">
                  <c:v>5210</c:v>
                </c:pt>
                <c:pt idx="117" formatCode="General">
                  <c:v>5090</c:v>
                </c:pt>
                <c:pt idx="118" formatCode="General">
                  <c:v>5190</c:v>
                </c:pt>
                <c:pt idx="119" formatCode="General">
                  <c:v>5210</c:v>
                </c:pt>
                <c:pt idx="120" formatCode="General">
                  <c:v>5210</c:v>
                </c:pt>
                <c:pt idx="121" formatCode="General">
                  <c:v>5670</c:v>
                </c:pt>
                <c:pt idx="122" formatCode="General">
                  <c:v>5500</c:v>
                </c:pt>
                <c:pt idx="123" formatCode="General">
                  <c:v>5200</c:v>
                </c:pt>
                <c:pt idx="124" formatCode="General">
                  <c:v>5200</c:v>
                </c:pt>
                <c:pt idx="125" formatCode="General">
                  <c:v>5290</c:v>
                </c:pt>
                <c:pt idx="126" formatCode="General">
                  <c:v>5310</c:v>
                </c:pt>
                <c:pt idx="127" formatCode="General">
                  <c:v>5210</c:v>
                </c:pt>
                <c:pt idx="128" formatCode="General">
                  <c:v>5080</c:v>
                </c:pt>
                <c:pt idx="129" formatCode="General">
                  <c:v>4800</c:v>
                </c:pt>
                <c:pt idx="130" formatCode="General">
                  <c:v>4800</c:v>
                </c:pt>
                <c:pt idx="131" formatCode="General">
                  <c:v>4800</c:v>
                </c:pt>
                <c:pt idx="132" formatCode="General">
                  <c:v>4860</c:v>
                </c:pt>
                <c:pt idx="133" formatCode="General">
                  <c:v>4840</c:v>
                </c:pt>
                <c:pt idx="134" formatCode="General">
                  <c:v>4760</c:v>
                </c:pt>
                <c:pt idx="135" formatCode="General">
                  <c:v>4920</c:v>
                </c:pt>
                <c:pt idx="136" formatCode="General">
                  <c:v>5100</c:v>
                </c:pt>
                <c:pt idx="137" formatCode="General">
                  <c:v>5110</c:v>
                </c:pt>
                <c:pt idx="138" formatCode="General">
                  <c:v>4890</c:v>
                </c:pt>
                <c:pt idx="139" formatCode="General">
                  <c:v>4730</c:v>
                </c:pt>
                <c:pt idx="140" formatCode="General">
                  <c:v>4760</c:v>
                </c:pt>
                <c:pt idx="141" formatCode="General">
                  <c:v>4760</c:v>
                </c:pt>
                <c:pt idx="142" formatCode="General">
                  <c:v>4760</c:v>
                </c:pt>
                <c:pt idx="143" formatCode="General">
                  <c:v>4780</c:v>
                </c:pt>
                <c:pt idx="144" formatCode="General">
                  <c:v>4830</c:v>
                </c:pt>
                <c:pt idx="145" formatCode="General">
                  <c:v>5010</c:v>
                </c:pt>
                <c:pt idx="146" formatCode="General">
                  <c:v>5010</c:v>
                </c:pt>
                <c:pt idx="147" formatCode="General">
                  <c:v>5010</c:v>
                </c:pt>
                <c:pt idx="148" formatCode="General">
                  <c:v>5010</c:v>
                </c:pt>
                <c:pt idx="149" formatCode="General">
                  <c:v>5010</c:v>
                </c:pt>
                <c:pt idx="150" formatCode="General">
                  <c:v>5010</c:v>
                </c:pt>
              </c:numCache>
            </c:numRef>
          </c:val>
        </c:ser>
        <c:ser>
          <c:idx val="6"/>
          <c:order val="4"/>
          <c:tx>
            <c:strRef>
              <c:f>'溶剂油周报-石脑油价格走势图表'!$H$178</c:f>
              <c:strCache>
                <c:ptCount val="1"/>
                <c:pt idx="0">
                  <c:v>寿光石化</c:v>
                </c:pt>
              </c:strCache>
            </c:strRef>
          </c:tx>
          <c:spPr>
            <a:ln w="38100">
              <a:solidFill>
                <a:srgbClr val="0000FF"/>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numCache>
            </c:numRef>
          </c:cat>
          <c:val>
            <c:numRef>
              <c:f>'溶剂油周报-石脑油价格走势图表'!$H$179:$H$336</c:f>
              <c:numCache>
                <c:formatCode>General</c:formatCode>
                <c:ptCount val="158"/>
                <c:pt idx="17" formatCode="@">
                  <c:v>3650</c:v>
                </c:pt>
                <c:pt idx="18" formatCode="@">
                  <c:v>3650</c:v>
                </c:pt>
                <c:pt idx="19" formatCode="@">
                  <c:v>3650</c:v>
                </c:pt>
                <c:pt idx="20" formatCode="@">
                  <c:v>3650</c:v>
                </c:pt>
                <c:pt idx="21" formatCode="@">
                  <c:v>3650</c:v>
                </c:pt>
                <c:pt idx="22" formatCode="@">
                  <c:v>3650</c:v>
                </c:pt>
                <c:pt idx="23" formatCode="@">
                  <c:v>3650</c:v>
                </c:pt>
                <c:pt idx="24" formatCode="@">
                  <c:v>3650</c:v>
                </c:pt>
                <c:pt idx="25" formatCode="@">
                  <c:v>3650</c:v>
                </c:pt>
                <c:pt idx="26" formatCode="@">
                  <c:v>3650</c:v>
                </c:pt>
                <c:pt idx="27" formatCode="@">
                  <c:v>4000</c:v>
                </c:pt>
                <c:pt idx="28" formatCode="@">
                  <c:v>4000</c:v>
                </c:pt>
                <c:pt idx="29" formatCode="@">
                  <c:v>4000</c:v>
                </c:pt>
                <c:pt idx="30" formatCode="@">
                  <c:v>4000</c:v>
                </c:pt>
                <c:pt idx="31" formatCode="@">
                  <c:v>4000</c:v>
                </c:pt>
                <c:pt idx="32" formatCode="@">
                  <c:v>4000</c:v>
                </c:pt>
                <c:pt idx="33" formatCode="@">
                  <c:v>4000</c:v>
                </c:pt>
                <c:pt idx="34" formatCode="@">
                  <c:v>4000</c:v>
                </c:pt>
                <c:pt idx="35" formatCode="@">
                  <c:v>4000</c:v>
                </c:pt>
                <c:pt idx="36" formatCode="@">
                  <c:v>4000</c:v>
                </c:pt>
                <c:pt idx="37" formatCode="@">
                  <c:v>4000</c:v>
                </c:pt>
                <c:pt idx="38" formatCode="@">
                  <c:v>4000</c:v>
                </c:pt>
                <c:pt idx="39" formatCode="@">
                  <c:v>4000</c:v>
                </c:pt>
                <c:pt idx="40" formatCode="@">
                  <c:v>4000</c:v>
                </c:pt>
                <c:pt idx="41" formatCode="@">
                  <c:v>4000</c:v>
                </c:pt>
                <c:pt idx="42" formatCode="@">
                  <c:v>4000</c:v>
                </c:pt>
                <c:pt idx="43" formatCode="@">
                  <c:v>4000</c:v>
                </c:pt>
                <c:pt idx="44" formatCode="@">
                  <c:v>4000</c:v>
                </c:pt>
                <c:pt idx="45" formatCode="@">
                  <c:v>4000</c:v>
                </c:pt>
                <c:pt idx="46" formatCode="@">
                  <c:v>4000</c:v>
                </c:pt>
                <c:pt idx="47" formatCode="@">
                  <c:v>4000</c:v>
                </c:pt>
                <c:pt idx="48" formatCode="@">
                  <c:v>4000</c:v>
                </c:pt>
                <c:pt idx="49" formatCode="@">
                  <c:v>4000</c:v>
                </c:pt>
                <c:pt idx="50" formatCode="@">
                  <c:v>4000</c:v>
                </c:pt>
                <c:pt idx="51" formatCode="@">
                  <c:v>4000</c:v>
                </c:pt>
                <c:pt idx="52" formatCode="@">
                  <c:v>4000</c:v>
                </c:pt>
                <c:pt idx="53" formatCode="@">
                  <c:v>4000</c:v>
                </c:pt>
                <c:pt idx="54" formatCode="@">
                  <c:v>4000</c:v>
                </c:pt>
                <c:pt idx="55" formatCode="@">
                  <c:v>4000</c:v>
                </c:pt>
                <c:pt idx="56" formatCode="@">
                  <c:v>4000</c:v>
                </c:pt>
                <c:pt idx="57" formatCode="@">
                  <c:v>4000</c:v>
                </c:pt>
                <c:pt idx="58" formatCode="@">
                  <c:v>4000</c:v>
                </c:pt>
                <c:pt idx="59" formatCode="@">
                  <c:v>4000</c:v>
                </c:pt>
                <c:pt idx="60" formatCode="@">
                  <c:v>4000</c:v>
                </c:pt>
                <c:pt idx="61" formatCode="@">
                  <c:v>4000</c:v>
                </c:pt>
                <c:pt idx="62" formatCode="@">
                  <c:v>4000</c:v>
                </c:pt>
                <c:pt idx="63" formatCode="@">
                  <c:v>4000</c:v>
                </c:pt>
                <c:pt idx="64" formatCode="@">
                  <c:v>4000</c:v>
                </c:pt>
                <c:pt idx="65" formatCode="@">
                  <c:v>4000</c:v>
                </c:pt>
                <c:pt idx="66" formatCode="@">
                  <c:v>4000</c:v>
                </c:pt>
                <c:pt idx="67" formatCode="@">
                  <c:v>4000</c:v>
                </c:pt>
                <c:pt idx="68" formatCode="@">
                  <c:v>4000</c:v>
                </c:pt>
                <c:pt idx="69" formatCode="@">
                  <c:v>4000</c:v>
                </c:pt>
                <c:pt idx="70" 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numCache>
            </c:numRef>
          </c:val>
        </c:ser>
        <c:marker val="1"/>
        <c:axId val="357197696"/>
        <c:axId val="357200640"/>
      </c:lineChart>
      <c:dateAx>
        <c:axId val="357197696"/>
        <c:scaling>
          <c:orientation val="minMax"/>
          <c:max val="43329"/>
          <c:min val="42964"/>
        </c:scaling>
        <c:axPos val="b"/>
        <c:title>
          <c:tx>
            <c:rich>
              <a:bodyPr/>
              <a:lstStyle/>
              <a:p>
                <a:pPr>
                  <a:defRPr sz="1100" b="0" i="0" u="none" strike="noStrike" baseline="0">
                    <a:solidFill>
                      <a:srgbClr val="000000"/>
                    </a:solidFill>
                    <a:latin typeface="宋体"/>
                    <a:ea typeface="宋体"/>
                    <a:cs typeface="宋体"/>
                  </a:defRPr>
                </a:pPr>
                <a:r>
                  <a:rPr lang="zh-CN" altLang="en-US" sz="1000" b="0" i="0" u="none" strike="noStrike" baseline="0">
                    <a:solidFill>
                      <a:srgbClr val="000000"/>
                    </a:solidFill>
                    <a:latin typeface="宋体"/>
                    <a:ea typeface="宋体"/>
                  </a:rPr>
                  <a:t>元</a:t>
                </a:r>
                <a:r>
                  <a:rPr lang="en-US" altLang="zh-CN" sz="1000" b="0" i="0" u="none" strike="noStrike" baseline="0">
                    <a:solidFill>
                      <a:srgbClr val="000000"/>
                    </a:solidFill>
                    <a:latin typeface="宋体"/>
                    <a:ea typeface="宋体"/>
                  </a:rPr>
                  <a:t>/</a:t>
                </a:r>
                <a:r>
                  <a:rPr lang="zh-CN" altLang="en-US" sz="1000" b="0" i="0" u="none" strike="noStrike" baseline="0">
                    <a:solidFill>
                      <a:srgbClr val="000000"/>
                    </a:solidFill>
                    <a:latin typeface="宋体"/>
                    <a:ea typeface="宋体"/>
                  </a:rPr>
                  <a:t>吨</a:t>
                </a:r>
              </a:p>
            </c:rich>
          </c:tx>
          <c:layout>
            <c:manualLayout>
              <c:xMode val="edge"/>
              <c:yMode val="edge"/>
              <c:x val="3.1402454003594378E-2"/>
              <c:y val="7.5026687100354122E-2"/>
            </c:manualLayout>
          </c:layout>
        </c:title>
        <c:numFmt formatCode="yyyy/m/d;@" sourceLinked="0"/>
        <c:majorTickMark val="in"/>
        <c:tickLblPos val="nextTo"/>
        <c:spPr>
          <a:ln w="3175" cap="flat" cmpd="sng" algn="ctr">
            <a:solidFill>
              <a:srgbClr val="000000">
                <a:alpha val="100000"/>
              </a:srgbClr>
            </a:solidFill>
            <a:prstDash val="solid"/>
            <a:round/>
          </a:ln>
        </c:spPr>
        <c:txPr>
          <a:bodyPr rot="-5400000" vert="horz"/>
          <a:lstStyle/>
          <a:p>
            <a:pPr>
              <a:defRPr sz="1000" b="0" i="0" u="none" strike="noStrike" baseline="0">
                <a:solidFill>
                  <a:srgbClr val="000000"/>
                </a:solidFill>
                <a:latin typeface="宋体"/>
                <a:ea typeface="宋体"/>
                <a:cs typeface="宋体"/>
              </a:defRPr>
            </a:pPr>
            <a:endParaRPr lang="zh-CN"/>
          </a:p>
        </c:txPr>
        <c:crossAx val="357200640"/>
        <c:crossesAt val="2000"/>
        <c:auto val="1"/>
        <c:lblOffset val="100"/>
        <c:baseTimeUnit val="days"/>
        <c:majorUnit val="1"/>
        <c:majorTimeUnit val="months"/>
        <c:minorUnit val="1"/>
        <c:minorTimeUnit val="months"/>
      </c:dateAx>
      <c:valAx>
        <c:axId val="357200640"/>
        <c:scaling>
          <c:orientation val="minMax"/>
          <c:max val="7000"/>
          <c:min val="2000"/>
        </c:scaling>
        <c:axPos val="l"/>
        <c:majorGridlines>
          <c:spPr>
            <a:ln w="3175">
              <a:solidFill>
                <a:srgbClr val="000000"/>
              </a:solidFill>
              <a:prstDash val="solid"/>
            </a:ln>
          </c:spPr>
        </c:majorGridlines>
        <c:numFmt formatCode="@" sourceLinked="1"/>
        <c:majorTickMark val="in"/>
        <c:tickLblPos val="nextTo"/>
        <c:spPr>
          <a:ln w="3175" cap="flat" cmpd="sng" algn="ctr">
            <a:solidFill>
              <a:srgbClr val="000000">
                <a:alpha val="100000"/>
              </a:srgbClr>
            </a:solidFill>
            <a:prstDash val="solid"/>
            <a:round/>
          </a:ln>
        </c:spPr>
        <c:txPr>
          <a:bodyPr rot="0" vert="horz"/>
          <a:lstStyle/>
          <a:p>
            <a:pPr>
              <a:defRPr sz="1000" b="0" i="0" u="none" strike="noStrike" baseline="0">
                <a:solidFill>
                  <a:srgbClr val="000000"/>
                </a:solidFill>
                <a:latin typeface="宋体"/>
                <a:ea typeface="宋体"/>
                <a:cs typeface="宋体"/>
              </a:defRPr>
            </a:pPr>
            <a:endParaRPr lang="zh-CN"/>
          </a:p>
        </c:txPr>
        <c:crossAx val="357197696"/>
        <c:crossesAt val="42241"/>
        <c:crossBetween val="between"/>
        <c:majorUnit val="500"/>
        <c:minorUnit val="100"/>
      </c:valAx>
      <c:spPr>
        <a:solidFill>
          <a:srgbClr val="FFFFFF"/>
        </a:solidFill>
        <a:ln w="25400">
          <a:noFill/>
        </a:ln>
      </c:spPr>
    </c:plotArea>
    <c:legend>
      <c:legendPos val="r"/>
      <c:layout>
        <c:manualLayout>
          <c:xMode val="edge"/>
          <c:yMode val="edge"/>
          <c:x val="7.1999965521551176E-2"/>
          <c:y val="0.86767919110782332"/>
          <c:w val="0.85175008296376764"/>
          <c:h val="8.6999947154256768E-2"/>
        </c:manualLayout>
      </c:layout>
      <c:spPr>
        <a:solidFill>
          <a:srgbClr val="FFFFFF">
            <a:alpha val="100000"/>
          </a:srgbClr>
        </a:solidFill>
        <a:ln w="3175">
          <a:noFill/>
        </a:ln>
      </c:spPr>
      <c:txPr>
        <a:bodyPr/>
        <a:lstStyle/>
        <a:p>
          <a:pPr>
            <a:defRPr sz="710" b="0" i="0" u="none" strike="noStrike" baseline="0">
              <a:solidFill>
                <a:srgbClr val="000000"/>
              </a:solidFill>
              <a:latin typeface="宋体"/>
              <a:ea typeface="宋体"/>
              <a:cs typeface="宋体"/>
            </a:defRPr>
          </a:pPr>
          <a:endParaRPr lang="zh-CN"/>
        </a:p>
      </c:txPr>
    </c:legend>
    <c:plotVisOnly val="1"/>
    <c:dispBlanksAs val="gap"/>
  </c:chart>
  <c:spPr>
    <a:solidFill>
      <a:srgbClr val="FFFFFF"/>
    </a:solidFill>
    <a:ln w="9525">
      <a:noFill/>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4045E-FBBC-4535-BA8F-44F1FA86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2487</Words>
  <Characters>14176</Characters>
  <Application>Microsoft Office Word</Application>
  <DocSecurity>0</DocSecurity>
  <Lines>118</Lines>
  <Paragraphs>33</Paragraphs>
  <ScaleCrop>false</ScaleCrop>
  <Company>china</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2</cp:revision>
  <dcterms:created xsi:type="dcterms:W3CDTF">2018-08-24T05:08:00Z</dcterms:created>
  <dcterms:modified xsi:type="dcterms:W3CDTF">2018-08-24T05:08:00Z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