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15" w:rsidRDefault="00FE2871">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6C7D15" w:rsidRPr="00150B7B" w:rsidRDefault="00754B00">
      <w:pPr>
        <w:outlineLvl w:val="0"/>
        <w:rPr>
          <w:rFonts w:ascii="黑体" w:eastAsia="黑体" w:hAnsi="宋体" w:cs="Arial"/>
          <w:b/>
          <w:bCs/>
          <w:kern w:val="0"/>
          <w:sz w:val="30"/>
          <w:szCs w:val="30"/>
        </w:rPr>
      </w:pPr>
      <w:r w:rsidRPr="00754B00">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F6621F" w:rsidRDefault="00F6621F">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F6621F" w:rsidRDefault="00F6621F">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F6621F" w:rsidRDefault="00F6621F">
                  <w:pPr>
                    <w:jc w:val="left"/>
                  </w:pPr>
                </w:p>
              </w:txbxContent>
            </v:textbox>
          </v:shape>
        </w:pict>
      </w:r>
      <w:r w:rsidRPr="00754B00">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filled="f" stroked="f">
            <v:textbox>
              <w:txbxContent>
                <w:p w:rsidR="00F6621F" w:rsidRDefault="00F6621F">
                  <w:pPr>
                    <w:pStyle w:val="1"/>
                    <w:jc w:val="center"/>
                    <w:rPr>
                      <w:kern w:val="2"/>
                    </w:rPr>
                  </w:pPr>
                  <w:bookmarkStart w:id="0" w:name="_Toc485828984"/>
                  <w:bookmarkStart w:id="1" w:name="_Toc505349996"/>
                  <w:r>
                    <w:rPr>
                      <w:rFonts w:hint="eastAsia"/>
                      <w:kern w:val="2"/>
                    </w:rPr>
                    <w:t>2018.</w:t>
                  </w:r>
                  <w:bookmarkEnd w:id="0"/>
                  <w:bookmarkEnd w:id="1"/>
                  <w:r w:rsidR="00AD1F63">
                    <w:rPr>
                      <w:rFonts w:hint="eastAsia"/>
                      <w:kern w:val="2"/>
                    </w:rPr>
                    <w:t>08.10</w:t>
                  </w:r>
                </w:p>
                <w:p w:rsidR="00F6621F" w:rsidRDefault="00F6621F"/>
              </w:txbxContent>
            </v:textbox>
          </v:shape>
        </w:pict>
      </w:r>
      <w:r w:rsidR="00FE2871">
        <w:br w:type="page"/>
      </w:r>
      <w:bookmarkStart w:id="2" w:name="_Toc485828985"/>
      <w:r w:rsidRPr="00754B00">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filled="f" stroked="f">
            <v:textbox>
              <w:txbxContent>
                <w:p w:rsidR="00F6621F" w:rsidRDefault="00F6621F">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F6621F" w:rsidRDefault="00754B00">
                  <w:pPr>
                    <w:pStyle w:val="10"/>
                    <w:rPr>
                      <w:rFonts w:asciiTheme="minorHAnsi" w:eastAsiaTheme="minorEastAsia" w:hAnsiTheme="minorHAnsi" w:cstheme="minorBidi"/>
                      <w:b w:val="0"/>
                      <w:bCs w:val="0"/>
                      <w:caps w:val="0"/>
                      <w:color w:val="auto"/>
                      <w:sz w:val="21"/>
                      <w:szCs w:val="22"/>
                    </w:rPr>
                  </w:pPr>
                  <w:r w:rsidRPr="00754B00">
                    <w:rPr>
                      <w:sz w:val="20"/>
                    </w:rPr>
                    <w:fldChar w:fldCharType="begin"/>
                  </w:r>
                  <w:r w:rsidR="00F6621F">
                    <w:rPr>
                      <w:sz w:val="20"/>
                    </w:rPr>
                    <w:instrText xml:space="preserve"> TOC \o "1-3" \h \z \u </w:instrText>
                  </w:r>
                  <w:r w:rsidRPr="00754B00">
                    <w:rPr>
                      <w:sz w:val="20"/>
                    </w:rPr>
                    <w:fldChar w:fldCharType="separate"/>
                  </w:r>
                  <w:hyperlink r:id="rId10" w:anchor="_Toc505349996" w:history="1"/>
                  <w:hyperlink w:anchor="_Toc505349997" w:history="1">
                    <w:r w:rsidR="00F6621F">
                      <w:rPr>
                        <w:rStyle w:val="ae"/>
                        <w:rFonts w:ascii="黑体" w:hint="eastAsia"/>
                      </w:rPr>
                      <w:t>一、国际原油</w:t>
                    </w:r>
                    <w:r w:rsidR="00F6621F">
                      <w:tab/>
                    </w:r>
                    <w:r>
                      <w:fldChar w:fldCharType="begin"/>
                    </w:r>
                    <w:r w:rsidR="00F6621F">
                      <w:instrText xml:space="preserve"> PAGEREF _Toc505349997 \h </w:instrText>
                    </w:r>
                    <w:r>
                      <w:fldChar w:fldCharType="separate"/>
                    </w:r>
                    <w:r w:rsidR="00F6621F">
                      <w:t>3</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49998" w:history="1">
                    <w:r w:rsidR="00F6621F">
                      <w:rPr>
                        <w:rStyle w:val="ae"/>
                        <w:rFonts w:ascii="黑体" w:eastAsia="黑体" w:cs="Arial" w:hint="eastAsia"/>
                        <w:bCs/>
                        <w:kern w:val="0"/>
                      </w:rPr>
                      <w:t>（一）、国际原油市场回顾</w:t>
                    </w:r>
                    <w:r w:rsidR="00F6621F">
                      <w:tab/>
                    </w:r>
                    <w:r>
                      <w:fldChar w:fldCharType="begin"/>
                    </w:r>
                    <w:r w:rsidR="00F6621F">
                      <w:instrText xml:space="preserve"> PAGEREF _Toc505349998 \h </w:instrText>
                    </w:r>
                    <w:r>
                      <w:fldChar w:fldCharType="separate"/>
                    </w:r>
                    <w:r w:rsidR="00F6621F">
                      <w:t>3</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49999" w:history="1">
                    <w:r w:rsidR="00F6621F">
                      <w:rPr>
                        <w:rStyle w:val="ae"/>
                        <w:rFonts w:ascii="黑体" w:eastAsia="黑体"/>
                        <w:kern w:val="0"/>
                      </w:rPr>
                      <w:t xml:space="preserve">1.1  </w:t>
                    </w:r>
                    <w:r w:rsidR="00F6621F">
                      <w:rPr>
                        <w:rStyle w:val="ae"/>
                        <w:rFonts w:ascii="黑体" w:eastAsia="黑体" w:cs="Arial" w:hint="eastAsia"/>
                        <w:kern w:val="0"/>
                      </w:rPr>
                      <w:t>国际原油收盘价涨跌情况（单位：美元</w:t>
                    </w:r>
                    <w:r w:rsidR="00F6621F">
                      <w:rPr>
                        <w:rStyle w:val="ae"/>
                        <w:rFonts w:ascii="黑体" w:eastAsia="黑体" w:cs="Arial"/>
                        <w:kern w:val="0"/>
                      </w:rPr>
                      <w:t>/</w:t>
                    </w:r>
                    <w:r w:rsidR="00F6621F">
                      <w:rPr>
                        <w:rStyle w:val="ae"/>
                        <w:rFonts w:ascii="黑体" w:eastAsia="黑体" w:cs="Arial" w:hint="eastAsia"/>
                        <w:kern w:val="0"/>
                      </w:rPr>
                      <w:t>桶）</w:t>
                    </w:r>
                    <w:r w:rsidR="00F6621F">
                      <w:tab/>
                    </w:r>
                    <w:r>
                      <w:fldChar w:fldCharType="begin"/>
                    </w:r>
                    <w:r w:rsidR="00F6621F">
                      <w:instrText xml:space="preserve"> PAGEREF _Toc505349999 \h </w:instrText>
                    </w:r>
                    <w:r>
                      <w:fldChar w:fldCharType="separate"/>
                    </w:r>
                    <w:r w:rsidR="00F6621F">
                      <w:t>3</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0" w:history="1">
                    <w:r w:rsidR="00F6621F">
                      <w:rPr>
                        <w:rStyle w:val="ae"/>
                        <w:rFonts w:ascii="黑体" w:eastAsia="黑体"/>
                      </w:rPr>
                      <w:t xml:space="preserve">1.2  </w:t>
                    </w:r>
                    <w:r w:rsidR="00F6621F">
                      <w:rPr>
                        <w:rStyle w:val="ae"/>
                        <w:rFonts w:ascii="黑体" w:eastAsia="黑体" w:hint="eastAsia"/>
                      </w:rPr>
                      <w:t>国际原油市场价格走势图</w:t>
                    </w:r>
                    <w:r w:rsidR="00F6621F">
                      <w:tab/>
                    </w:r>
                    <w:r>
                      <w:fldChar w:fldCharType="begin"/>
                    </w:r>
                    <w:r w:rsidR="00F6621F">
                      <w:instrText xml:space="preserve"> PAGEREF _Toc505350000 \h </w:instrText>
                    </w:r>
                    <w:r>
                      <w:fldChar w:fldCharType="separate"/>
                    </w:r>
                    <w:r w:rsidR="00F6621F">
                      <w:t>3</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1" w:history="1">
                    <w:r w:rsidR="00F6621F">
                      <w:rPr>
                        <w:rStyle w:val="ae"/>
                        <w:rFonts w:ascii="黑体" w:eastAsia="黑体" w:hint="eastAsia"/>
                      </w:rPr>
                      <w:t>（二）</w:t>
                    </w:r>
                    <w:r w:rsidR="00F6621F">
                      <w:rPr>
                        <w:rStyle w:val="ae"/>
                        <w:rFonts w:ascii="黑体" w:eastAsia="黑体"/>
                      </w:rPr>
                      <w:t>.</w:t>
                    </w:r>
                    <w:r w:rsidR="00F6621F">
                      <w:rPr>
                        <w:rStyle w:val="ae"/>
                        <w:rFonts w:ascii="黑体" w:eastAsia="黑体" w:hint="eastAsia"/>
                      </w:rPr>
                      <w:t>近期影响国际原油市场的主要因素</w:t>
                    </w:r>
                    <w:r w:rsidR="00F6621F">
                      <w:tab/>
                    </w:r>
                    <w:r>
                      <w:fldChar w:fldCharType="begin"/>
                    </w:r>
                    <w:r w:rsidR="00F6621F">
                      <w:instrText xml:space="preserve"> PAGEREF _Toc505350001 \h </w:instrText>
                    </w:r>
                    <w:r>
                      <w:fldChar w:fldCharType="separate"/>
                    </w:r>
                    <w:r w:rsidR="00F6621F">
                      <w:t>4</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2" w:history="1">
                    <w:r w:rsidR="00F6621F">
                      <w:rPr>
                        <w:rStyle w:val="ae"/>
                        <w:rFonts w:ascii="黑体" w:eastAsia="黑体"/>
                      </w:rPr>
                      <w:t>1</w:t>
                    </w:r>
                    <w:r w:rsidR="00F6621F">
                      <w:rPr>
                        <w:rStyle w:val="ae"/>
                        <w:rFonts w:ascii="黑体" w:eastAsia="黑体" w:hint="eastAsia"/>
                      </w:rPr>
                      <w:t>、美国原油库存情况</w:t>
                    </w:r>
                    <w:r w:rsidR="00F6621F">
                      <w:tab/>
                    </w:r>
                    <w:r>
                      <w:fldChar w:fldCharType="begin"/>
                    </w:r>
                    <w:r w:rsidR="00F6621F">
                      <w:instrText xml:space="preserve"> PAGEREF _Toc505350002 \h </w:instrText>
                    </w:r>
                    <w:r>
                      <w:fldChar w:fldCharType="separate"/>
                    </w:r>
                    <w:r w:rsidR="00F6621F">
                      <w:t>4</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3" w:history="1">
                    <w:r w:rsidR="00F6621F">
                      <w:rPr>
                        <w:rStyle w:val="ae"/>
                        <w:rFonts w:ascii="黑体" w:eastAsia="黑体"/>
                      </w:rPr>
                      <w:t>2</w:t>
                    </w:r>
                    <w:r w:rsidR="00F6621F">
                      <w:rPr>
                        <w:rStyle w:val="ae"/>
                        <w:rFonts w:ascii="黑体" w:eastAsia="黑体" w:hint="eastAsia"/>
                      </w:rPr>
                      <w:t>、美国经济形势</w:t>
                    </w:r>
                    <w:r w:rsidR="00F6621F">
                      <w:tab/>
                    </w:r>
                    <w:r>
                      <w:fldChar w:fldCharType="begin"/>
                    </w:r>
                    <w:r w:rsidR="00F6621F">
                      <w:instrText xml:space="preserve"> PAGEREF _Toc505350003 \h </w:instrText>
                    </w:r>
                    <w:r>
                      <w:fldChar w:fldCharType="separate"/>
                    </w:r>
                    <w:r w:rsidR="00F6621F">
                      <w:t>5</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4" w:history="1">
                    <w:r w:rsidR="00F6621F">
                      <w:rPr>
                        <w:rStyle w:val="ae"/>
                        <w:rFonts w:ascii="黑体" w:eastAsia="黑体"/>
                      </w:rPr>
                      <w:t>3</w:t>
                    </w:r>
                    <w:r w:rsidR="00F6621F">
                      <w:rPr>
                        <w:rStyle w:val="ae"/>
                        <w:rFonts w:ascii="黑体" w:eastAsia="黑体" w:hint="eastAsia"/>
                      </w:rPr>
                      <w:t>、世界经济形势</w:t>
                    </w:r>
                    <w:r w:rsidR="00F6621F">
                      <w:tab/>
                    </w:r>
                    <w:r>
                      <w:fldChar w:fldCharType="begin"/>
                    </w:r>
                    <w:r w:rsidR="00F6621F">
                      <w:instrText xml:space="preserve"> PAGEREF _Toc505350004 \h </w:instrText>
                    </w:r>
                    <w:r>
                      <w:fldChar w:fldCharType="separate"/>
                    </w:r>
                    <w:r w:rsidR="00F6621F">
                      <w:t>10</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5" w:history="1">
                    <w:r w:rsidR="00F6621F">
                      <w:rPr>
                        <w:rStyle w:val="ae"/>
                        <w:rFonts w:ascii="仿宋_GB2312" w:eastAsia="仿宋_GB2312" w:hint="eastAsia"/>
                      </w:rPr>
                      <w:t>（三）</w:t>
                    </w:r>
                    <w:r w:rsidR="00F6621F">
                      <w:rPr>
                        <w:rStyle w:val="ae"/>
                        <w:rFonts w:cs="Arial" w:hint="eastAsia"/>
                        <w:bCs/>
                        <w:kern w:val="0"/>
                      </w:rPr>
                      <w:t>、</w:t>
                    </w:r>
                    <w:r w:rsidR="00F6621F">
                      <w:rPr>
                        <w:rStyle w:val="ae"/>
                        <w:rFonts w:cs="Arial"/>
                        <w:bCs/>
                        <w:kern w:val="0"/>
                      </w:rPr>
                      <w:t>201</w:t>
                    </w:r>
                    <w:r w:rsidR="00F6621F">
                      <w:rPr>
                        <w:rStyle w:val="ae"/>
                        <w:rFonts w:cs="Arial" w:hint="eastAsia"/>
                        <w:bCs/>
                        <w:kern w:val="0"/>
                      </w:rPr>
                      <w:t>8年3月份全国原油进出口统计数据</w:t>
                    </w:r>
                    <w:r w:rsidR="00F6621F">
                      <w:tab/>
                    </w:r>
                    <w:r>
                      <w:fldChar w:fldCharType="begin"/>
                    </w:r>
                    <w:r w:rsidR="00F6621F">
                      <w:instrText xml:space="preserve"> PAGEREF _Toc505350005 \h </w:instrText>
                    </w:r>
                    <w:r>
                      <w:fldChar w:fldCharType="separate"/>
                    </w:r>
                    <w:r w:rsidR="00F6621F">
                      <w:t>13</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6" w:history="1">
                    <w:r w:rsidR="00F6621F">
                      <w:rPr>
                        <w:rStyle w:val="ae"/>
                        <w:rFonts w:ascii="仿宋_GB2312" w:eastAsia="仿宋_GB2312" w:cs="Arial" w:hint="eastAsia"/>
                        <w:bCs/>
                        <w:kern w:val="0"/>
                      </w:rPr>
                      <w:t>（四）、后市预测</w:t>
                    </w:r>
                    <w:r w:rsidR="00F6621F">
                      <w:tab/>
                    </w:r>
                    <w:r>
                      <w:fldChar w:fldCharType="begin"/>
                    </w:r>
                    <w:r w:rsidR="00F6621F">
                      <w:instrText xml:space="preserve"> PAGEREF _Toc505350006 \h </w:instrText>
                    </w:r>
                    <w:r>
                      <w:fldChar w:fldCharType="separate"/>
                    </w:r>
                    <w:r w:rsidR="00F6621F">
                      <w:t>13</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07" w:history="1">
                    <w:r w:rsidR="00F6621F">
                      <w:rPr>
                        <w:rStyle w:val="ae"/>
                        <w:rFonts w:ascii="黑体" w:eastAsia="黑体" w:hint="eastAsia"/>
                      </w:rPr>
                      <w:t>二、</w:t>
                    </w:r>
                    <w:r w:rsidR="00F6621F">
                      <w:rPr>
                        <w:rStyle w:val="ae"/>
                        <w:rFonts w:ascii="黑体" w:eastAsia="黑体"/>
                      </w:rPr>
                      <w:t xml:space="preserve"> </w:t>
                    </w:r>
                    <w:r w:rsidR="00F6621F">
                      <w:rPr>
                        <w:rStyle w:val="ae"/>
                        <w:rFonts w:ascii="黑体" w:eastAsia="黑体" w:hint="eastAsia"/>
                      </w:rPr>
                      <w:t>石脑油</w:t>
                    </w:r>
                    <w:r w:rsidR="00F6621F">
                      <w:tab/>
                    </w:r>
                    <w:r>
                      <w:fldChar w:fldCharType="begin"/>
                    </w:r>
                    <w:r w:rsidR="00F6621F">
                      <w:instrText xml:space="preserve"> PAGEREF _Toc505350007 \h </w:instrText>
                    </w:r>
                    <w:r>
                      <w:fldChar w:fldCharType="separate"/>
                    </w:r>
                    <w:r w:rsidR="00F6621F">
                      <w:t>14</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8" w:history="1">
                    <w:r w:rsidR="00F6621F">
                      <w:rPr>
                        <w:rStyle w:val="ae"/>
                      </w:rPr>
                      <w:t>2.1</w:t>
                    </w:r>
                    <w:r w:rsidR="00F6621F">
                      <w:rPr>
                        <w:rStyle w:val="ae"/>
                        <w:rFonts w:hint="eastAsia"/>
                        <w:kern w:val="0"/>
                      </w:rPr>
                      <w:t>国际石脑油市场价格</w:t>
                    </w:r>
                    <w:r w:rsidR="00F6621F">
                      <w:tab/>
                    </w:r>
                    <w:r>
                      <w:fldChar w:fldCharType="begin"/>
                    </w:r>
                    <w:r w:rsidR="00F6621F">
                      <w:instrText xml:space="preserve"> PAGEREF _Toc505350008 \h </w:instrText>
                    </w:r>
                    <w:r>
                      <w:fldChar w:fldCharType="separate"/>
                    </w:r>
                    <w:r w:rsidR="00F6621F">
                      <w:t>14</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09" w:history="1">
                    <w:r w:rsidR="00F6621F">
                      <w:rPr>
                        <w:rStyle w:val="ae"/>
                        <w:rFonts w:ascii="黑体" w:eastAsia="黑体" w:hAnsi="Times New Roman"/>
                      </w:rPr>
                      <w:t>2.</w:t>
                    </w:r>
                    <w:r w:rsidR="00F6621F">
                      <w:rPr>
                        <w:rStyle w:val="ae"/>
                        <w:rFonts w:ascii="黑体" w:eastAsia="黑体"/>
                      </w:rPr>
                      <w:t>2</w:t>
                    </w:r>
                    <w:r w:rsidR="00F6621F">
                      <w:rPr>
                        <w:rStyle w:val="ae"/>
                        <w:rFonts w:ascii="黑体" w:eastAsia="黑体" w:hint="eastAsia"/>
                      </w:rPr>
                      <w:t>地炼石脑油市场</w:t>
                    </w:r>
                    <w:r w:rsidR="00F6621F">
                      <w:tab/>
                    </w:r>
                    <w:r>
                      <w:fldChar w:fldCharType="begin"/>
                    </w:r>
                    <w:r w:rsidR="00F6621F">
                      <w:instrText xml:space="preserve"> PAGEREF _Toc505350009 \h </w:instrText>
                    </w:r>
                    <w:r>
                      <w:fldChar w:fldCharType="separate"/>
                    </w:r>
                    <w:r w:rsidR="00F6621F">
                      <w:t>15</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10" w:history="1">
                    <w:r w:rsidR="00F6621F">
                      <w:rPr>
                        <w:rStyle w:val="ae"/>
                        <w:rFonts w:asciiTheme="minorEastAsia" w:hAnsiTheme="minorEastAsia"/>
                      </w:rPr>
                      <w:t>2.3</w:t>
                    </w:r>
                    <w:r w:rsidR="00F6621F">
                      <w:rPr>
                        <w:rStyle w:val="ae"/>
                        <w:rFonts w:asciiTheme="minorEastAsia" w:hAnsiTheme="minorEastAsia" w:hint="eastAsia"/>
                      </w:rPr>
                      <w:t>本周国内石脑油价格汇总</w:t>
                    </w:r>
                    <w:r w:rsidR="00F6621F">
                      <w:tab/>
                    </w:r>
                    <w:r>
                      <w:fldChar w:fldCharType="begin"/>
                    </w:r>
                    <w:r w:rsidR="00F6621F">
                      <w:instrText xml:space="preserve"> PAGEREF _Toc505350010 \h </w:instrText>
                    </w:r>
                    <w:r>
                      <w:fldChar w:fldCharType="separate"/>
                    </w:r>
                    <w:r w:rsidR="00F6621F">
                      <w:t>15</w:t>
                    </w:r>
                    <w:r>
                      <w:fldChar w:fldCharType="end"/>
                    </w:r>
                  </w:hyperlink>
                </w:p>
                <w:p w:rsidR="00F6621F" w:rsidRDefault="00754B00">
                  <w:pPr>
                    <w:pStyle w:val="21"/>
                    <w:rPr>
                      <w:rFonts w:asciiTheme="minorHAnsi" w:eastAsiaTheme="minorEastAsia" w:hAnsiTheme="minorHAnsi" w:cstheme="minorBidi"/>
                      <w:b w:val="0"/>
                      <w:smallCaps w:val="0"/>
                      <w:color w:val="auto"/>
                      <w:sz w:val="21"/>
                      <w:szCs w:val="22"/>
                    </w:rPr>
                  </w:pPr>
                  <w:hyperlink w:anchor="_Toc505350011" w:history="1">
                    <w:r w:rsidR="00F6621F">
                      <w:rPr>
                        <w:rStyle w:val="ae"/>
                        <w:rFonts w:asciiTheme="minorEastAsia" w:hAnsiTheme="minorEastAsia"/>
                      </w:rPr>
                      <w:t>2.4</w:t>
                    </w:r>
                    <w:r w:rsidR="00F6621F">
                      <w:rPr>
                        <w:rStyle w:val="ae"/>
                        <w:rFonts w:asciiTheme="minorEastAsia" w:hAnsiTheme="minorEastAsia" w:hint="eastAsia"/>
                      </w:rPr>
                      <w:t>山东地炼石脑油价格走势图</w:t>
                    </w:r>
                    <w:r w:rsidR="00F6621F">
                      <w:tab/>
                    </w:r>
                    <w:r>
                      <w:fldChar w:fldCharType="begin"/>
                    </w:r>
                    <w:r w:rsidR="00F6621F">
                      <w:instrText xml:space="preserve"> PAGEREF _Toc505350011 \h </w:instrText>
                    </w:r>
                    <w:r>
                      <w:fldChar w:fldCharType="separate"/>
                    </w:r>
                    <w:r w:rsidR="00F6621F">
                      <w:t>16</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2" w:history="1">
                    <w:r w:rsidR="00F6621F">
                      <w:rPr>
                        <w:rStyle w:val="ae"/>
                        <w:rFonts w:ascii="黑体" w:eastAsia="黑体" w:hint="eastAsia"/>
                      </w:rPr>
                      <w:t>三、本周国内油品市场分析及预测</w:t>
                    </w:r>
                    <w:r w:rsidR="00F6621F">
                      <w:tab/>
                    </w:r>
                    <w:r>
                      <w:fldChar w:fldCharType="begin"/>
                    </w:r>
                    <w:r w:rsidR="00F6621F">
                      <w:instrText xml:space="preserve"> PAGEREF _Toc505350012 \h </w:instrText>
                    </w:r>
                    <w:r>
                      <w:fldChar w:fldCharType="separate"/>
                    </w:r>
                    <w:r w:rsidR="00F6621F">
                      <w:t>16</w:t>
                    </w:r>
                    <w:r>
                      <w:fldChar w:fldCharType="end"/>
                    </w:r>
                  </w:hyperlink>
                </w:p>
                <w:p w:rsidR="00F6621F" w:rsidRDefault="00754B00">
                  <w:pPr>
                    <w:pStyle w:val="10"/>
                    <w:ind w:firstLineChars="100" w:firstLine="241"/>
                    <w:rPr>
                      <w:rFonts w:asciiTheme="minorHAnsi" w:eastAsiaTheme="minorEastAsia" w:hAnsiTheme="minorHAnsi" w:cstheme="minorBidi"/>
                      <w:b w:val="0"/>
                      <w:bCs w:val="0"/>
                      <w:caps w:val="0"/>
                      <w:color w:val="auto"/>
                      <w:sz w:val="21"/>
                      <w:szCs w:val="22"/>
                    </w:rPr>
                  </w:pPr>
                  <w:hyperlink w:anchor="_Toc505350013" w:history="1">
                    <w:r w:rsidR="00F6621F">
                      <w:rPr>
                        <w:rStyle w:val="ae"/>
                        <w:rFonts w:ascii="黑体" w:hAnsi="黑体"/>
                      </w:rPr>
                      <w:t>3</w:t>
                    </w:r>
                    <w:r w:rsidR="00F6621F">
                      <w:rPr>
                        <w:rStyle w:val="ae"/>
                        <w:rFonts w:ascii="黑体" w:hAnsi="黑体" w:hint="eastAsia"/>
                      </w:rPr>
                      <w:t>.</w:t>
                    </w:r>
                    <w:r w:rsidR="00F6621F">
                      <w:rPr>
                        <w:rStyle w:val="ae"/>
                        <w:rFonts w:ascii="黑体" w:hAnsi="黑体"/>
                      </w:rPr>
                      <w:t xml:space="preserve">1  </w:t>
                    </w:r>
                    <w:r w:rsidR="00F6621F">
                      <w:rPr>
                        <w:rStyle w:val="ae"/>
                        <w:rFonts w:ascii="黑体" w:hAnsi="黑体" w:hint="eastAsia"/>
                      </w:rPr>
                      <w:t>成品油市场动态</w:t>
                    </w:r>
                    <w:r w:rsidR="00F6621F">
                      <w:tab/>
                    </w:r>
                    <w:r>
                      <w:fldChar w:fldCharType="begin"/>
                    </w:r>
                    <w:r w:rsidR="00F6621F">
                      <w:instrText xml:space="preserve"> PAGEREF _Toc505350013 \h </w:instrText>
                    </w:r>
                    <w:r>
                      <w:fldChar w:fldCharType="separate"/>
                    </w:r>
                    <w:r w:rsidR="00F6621F">
                      <w:t>17</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4" w:history="1">
                    <w:r w:rsidR="00F6621F">
                      <w:rPr>
                        <w:rStyle w:val="ae"/>
                        <w:rFonts w:ascii="黑体" w:hint="eastAsia"/>
                      </w:rPr>
                      <w:t>四、国内溶剂油市场综述</w:t>
                    </w:r>
                    <w:r w:rsidR="00F6621F">
                      <w:tab/>
                    </w:r>
                    <w:r>
                      <w:fldChar w:fldCharType="begin"/>
                    </w:r>
                    <w:r w:rsidR="00F6621F">
                      <w:instrText xml:space="preserve"> PAGEREF _Toc505350014 \h </w:instrText>
                    </w:r>
                    <w:r>
                      <w:fldChar w:fldCharType="separate"/>
                    </w:r>
                    <w:r w:rsidR="00F6621F">
                      <w:t>20</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5" w:history="1">
                    <w:r w:rsidR="00F6621F">
                      <w:rPr>
                        <w:rStyle w:val="ae"/>
                        <w:rFonts w:ascii="黑体" w:hint="eastAsia"/>
                      </w:rPr>
                      <w:t>五、本周国内炼厂溶剂油产品价格对比</w:t>
                    </w:r>
                    <w:r w:rsidR="00F6621F">
                      <w:tab/>
                    </w:r>
                    <w:r>
                      <w:fldChar w:fldCharType="begin"/>
                    </w:r>
                    <w:r w:rsidR="00F6621F">
                      <w:instrText xml:space="preserve"> PAGEREF _Toc505350015 \h </w:instrText>
                    </w:r>
                    <w:r>
                      <w:fldChar w:fldCharType="separate"/>
                    </w:r>
                    <w:r w:rsidR="00F6621F">
                      <w:t>20</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6" w:history="1">
                    <w:r w:rsidR="00F6621F">
                      <w:rPr>
                        <w:rStyle w:val="ae"/>
                        <w:rFonts w:ascii="黑体" w:hint="eastAsia"/>
                      </w:rPr>
                      <w:t>六、</w:t>
                    </w:r>
                    <w:r w:rsidR="00F6621F">
                      <w:rPr>
                        <w:rStyle w:val="ae"/>
                        <w:rFonts w:ascii="黑体"/>
                      </w:rPr>
                      <w:t>D</w:t>
                    </w:r>
                    <w:r w:rsidR="00F6621F">
                      <w:rPr>
                        <w:rStyle w:val="ae"/>
                        <w:rFonts w:ascii="黑体" w:hint="eastAsia"/>
                      </w:rPr>
                      <w:t>系列特种溶剂油</w:t>
                    </w:r>
                    <w:r w:rsidR="00F6621F">
                      <w:tab/>
                    </w:r>
                    <w:r>
                      <w:fldChar w:fldCharType="begin"/>
                    </w:r>
                    <w:r w:rsidR="00F6621F">
                      <w:instrText xml:space="preserve"> PAGEREF _Toc505350016 \h </w:instrText>
                    </w:r>
                    <w:r>
                      <w:fldChar w:fldCharType="separate"/>
                    </w:r>
                    <w:r w:rsidR="00F6621F">
                      <w:t>23</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7" w:history="1">
                    <w:r w:rsidR="00F6621F">
                      <w:rPr>
                        <w:rStyle w:val="ae"/>
                        <w:rFonts w:ascii="黑体" w:hint="eastAsia"/>
                      </w:rPr>
                      <w:t>七、重芳烃溶剂油</w:t>
                    </w:r>
                    <w:r w:rsidR="00F6621F">
                      <w:tab/>
                    </w:r>
                    <w:r>
                      <w:fldChar w:fldCharType="begin"/>
                    </w:r>
                    <w:r w:rsidR="00F6621F">
                      <w:instrText xml:space="preserve"> PAGEREF _Toc505350017 \h </w:instrText>
                    </w:r>
                    <w:r>
                      <w:fldChar w:fldCharType="separate"/>
                    </w:r>
                    <w:r w:rsidR="00F6621F">
                      <w:t>25</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8" w:history="1">
                    <w:r w:rsidR="00F6621F">
                      <w:rPr>
                        <w:rStyle w:val="ae"/>
                        <w:rFonts w:ascii="黑体" w:hint="eastAsia"/>
                      </w:rPr>
                      <w:t>八、正己烷</w:t>
                    </w:r>
                    <w:r w:rsidR="00F6621F">
                      <w:tab/>
                    </w:r>
                    <w:r>
                      <w:fldChar w:fldCharType="begin"/>
                    </w:r>
                    <w:r w:rsidR="00F6621F">
                      <w:instrText xml:space="preserve"> PAGEREF _Toc505350018 \h </w:instrText>
                    </w:r>
                    <w:r>
                      <w:fldChar w:fldCharType="separate"/>
                    </w:r>
                    <w:r w:rsidR="00F6621F">
                      <w:t>26</w:t>
                    </w:r>
                    <w:r>
                      <w:fldChar w:fldCharType="end"/>
                    </w:r>
                  </w:hyperlink>
                </w:p>
                <w:p w:rsidR="00F6621F" w:rsidRDefault="00754B00">
                  <w:pPr>
                    <w:pStyle w:val="10"/>
                    <w:rPr>
                      <w:rFonts w:asciiTheme="minorHAnsi" w:eastAsiaTheme="minorEastAsia" w:hAnsiTheme="minorHAnsi" w:cstheme="minorBidi"/>
                      <w:b w:val="0"/>
                      <w:bCs w:val="0"/>
                      <w:caps w:val="0"/>
                      <w:color w:val="auto"/>
                      <w:sz w:val="21"/>
                      <w:szCs w:val="22"/>
                    </w:rPr>
                  </w:pPr>
                  <w:hyperlink w:anchor="_Toc505350019" w:history="1">
                    <w:r w:rsidR="00F6621F">
                      <w:rPr>
                        <w:rStyle w:val="ae"/>
                        <w:rFonts w:ascii="黑体" w:hint="eastAsia"/>
                      </w:rPr>
                      <w:t>九、</w:t>
                    </w:r>
                    <w:r w:rsidR="00F6621F">
                      <w:rPr>
                        <w:rStyle w:val="ae"/>
                        <w:rFonts w:ascii="黑体"/>
                      </w:rPr>
                      <w:t>201</w:t>
                    </w:r>
                    <w:r w:rsidR="00F6621F">
                      <w:rPr>
                        <w:rStyle w:val="ae"/>
                        <w:rFonts w:ascii="黑体" w:hint="eastAsia"/>
                      </w:rPr>
                      <w:t>8</w:t>
                    </w:r>
                    <w:r w:rsidR="00F6621F">
                      <w:rPr>
                        <w:rStyle w:val="ae"/>
                        <w:rFonts w:ascii="黑体" w:hint="eastAsia"/>
                      </w:rPr>
                      <w:t>年</w:t>
                    </w:r>
                    <w:r w:rsidR="00F6621F">
                      <w:rPr>
                        <w:rStyle w:val="ae"/>
                        <w:rFonts w:ascii="黑体" w:hint="eastAsia"/>
                      </w:rPr>
                      <w:t>3</w:t>
                    </w:r>
                    <w:r w:rsidR="00F6621F">
                      <w:rPr>
                        <w:rStyle w:val="ae"/>
                        <w:rFonts w:ascii="黑体" w:hint="eastAsia"/>
                      </w:rPr>
                      <w:t>月中国溶剂油、石脑油进出口数据统计</w:t>
                    </w:r>
                    <w:r w:rsidR="00F6621F">
                      <w:tab/>
                    </w:r>
                    <w:r>
                      <w:fldChar w:fldCharType="begin"/>
                    </w:r>
                    <w:r w:rsidR="00F6621F">
                      <w:instrText xml:space="preserve"> PAGEREF _Toc505350019 \h </w:instrText>
                    </w:r>
                    <w:r>
                      <w:fldChar w:fldCharType="separate"/>
                    </w:r>
                    <w:r w:rsidR="00F6621F">
                      <w:t>26</w:t>
                    </w:r>
                    <w:r>
                      <w:fldChar w:fldCharType="end"/>
                    </w:r>
                  </w:hyperlink>
                </w:p>
                <w:p w:rsidR="00F6621F" w:rsidRDefault="00754B00">
                  <w:r>
                    <w:rPr>
                      <w:rFonts w:ascii="宋体" w:hAnsi="宋体"/>
                    </w:rPr>
                    <w:fldChar w:fldCharType="end"/>
                  </w:r>
                </w:p>
              </w:txbxContent>
            </v:textbox>
          </v:shape>
        </w:pict>
      </w:r>
      <w:r w:rsidR="00FE2871">
        <w:br w:type="page"/>
      </w:r>
      <w:bookmarkStart w:id="3" w:name="_Toc460250399"/>
      <w:bookmarkStart w:id="4" w:name="_Toc505349997"/>
      <w:bookmarkEnd w:id="2"/>
      <w:r w:rsidR="00FE2871" w:rsidRPr="00150B7B">
        <w:rPr>
          <w:rFonts w:ascii="黑体" w:eastAsia="黑体" w:hAnsi="宋体" w:cs="Arial" w:hint="eastAsia"/>
          <w:b/>
          <w:bCs/>
          <w:kern w:val="0"/>
          <w:sz w:val="30"/>
          <w:szCs w:val="30"/>
        </w:rPr>
        <w:lastRenderedPageBreak/>
        <w:t>一、国际原油</w:t>
      </w:r>
      <w:bookmarkEnd w:id="3"/>
      <w:bookmarkEnd w:id="4"/>
    </w:p>
    <w:p w:rsidR="006C7D15" w:rsidRDefault="00FE2871">
      <w:pPr>
        <w:outlineLvl w:val="1"/>
        <w:rPr>
          <w:b/>
          <w:sz w:val="32"/>
          <w:szCs w:val="32"/>
        </w:rPr>
      </w:pPr>
      <w:bookmarkStart w:id="5" w:name="_Toc505349998"/>
      <w:r>
        <w:rPr>
          <w:rFonts w:ascii="黑体" w:eastAsia="黑体" w:hAnsi="宋体" w:cs="Arial" w:hint="eastAsia"/>
          <w:b/>
          <w:bCs/>
          <w:kern w:val="0"/>
          <w:sz w:val="30"/>
          <w:szCs w:val="30"/>
        </w:rPr>
        <w:t>（一）、国际原油市场回顾</w:t>
      </w:r>
      <w:bookmarkEnd w:id="5"/>
    </w:p>
    <w:p w:rsidR="006C7D15" w:rsidRDefault="00FE2871">
      <w:pPr>
        <w:pStyle w:val="2"/>
        <w:spacing w:line="240" w:lineRule="auto"/>
        <w:ind w:firstLineChars="99" w:firstLine="298"/>
        <w:rPr>
          <w:rFonts w:ascii="黑体" w:eastAsia="黑体" w:hAnsi="宋体" w:cs="Arial"/>
          <w:b w:val="0"/>
          <w:kern w:val="0"/>
          <w:sz w:val="30"/>
          <w:szCs w:val="30"/>
        </w:rPr>
      </w:pPr>
      <w:bookmarkStart w:id="6" w:name="_Toc281568195"/>
      <w:bookmarkStart w:id="7" w:name="_Toc460250400"/>
      <w:bookmarkStart w:id="8" w:name="_Toc296600805"/>
      <w:bookmarkStart w:id="9" w:name="_Toc505349999"/>
      <w:r>
        <w:rPr>
          <w:rFonts w:ascii="黑体" w:eastAsia="黑体" w:hAnsi="宋体" w:hint="eastAsia"/>
          <w:kern w:val="0"/>
          <w:sz w:val="30"/>
          <w:szCs w:val="30"/>
        </w:rPr>
        <w:t xml:space="preserve">1. 1  </w:t>
      </w:r>
      <w:bookmarkEnd w:id="6"/>
      <w:bookmarkEnd w:id="7"/>
      <w:bookmarkEnd w:id="8"/>
      <w:r>
        <w:rPr>
          <w:rFonts w:ascii="黑体" w:eastAsia="黑体" w:hAnsi="宋体" w:cs="Arial" w:hint="eastAsia"/>
          <w:b w:val="0"/>
          <w:kern w:val="0"/>
          <w:sz w:val="30"/>
          <w:szCs w:val="30"/>
        </w:rPr>
        <w:t>国际原油收盘价涨跌情况（单位：美元/桶）</w:t>
      </w:r>
      <w:bookmarkEnd w:id="9"/>
    </w:p>
    <w:tbl>
      <w:tblPr>
        <w:tblW w:w="5000" w:type="pct"/>
        <w:tblLook w:val="04A0"/>
      </w:tblPr>
      <w:tblGrid>
        <w:gridCol w:w="1284"/>
        <w:gridCol w:w="852"/>
        <w:gridCol w:w="855"/>
        <w:gridCol w:w="6971"/>
      </w:tblGrid>
      <w:tr w:rsidR="00150B7B" w:rsidRPr="00804338" w:rsidTr="00150B7B">
        <w:trPr>
          <w:trHeight w:val="285"/>
        </w:trPr>
        <w:tc>
          <w:tcPr>
            <w:tcW w:w="644" w:type="pct"/>
            <w:tcBorders>
              <w:top w:val="single" w:sz="4" w:space="0" w:color="auto"/>
              <w:left w:val="single" w:sz="4" w:space="0" w:color="auto"/>
              <w:bottom w:val="single" w:sz="4" w:space="0" w:color="auto"/>
              <w:right w:val="single" w:sz="4" w:space="0" w:color="auto"/>
            </w:tcBorders>
            <w:shd w:val="clear" w:color="000000" w:fill="99CCFF"/>
            <w:vAlign w:val="center"/>
            <w:hideMark/>
          </w:tcPr>
          <w:p w:rsidR="00150B7B" w:rsidRPr="00804338" w:rsidRDefault="00150B7B" w:rsidP="00191D80">
            <w:pPr>
              <w:widowControl/>
              <w:jc w:val="center"/>
              <w:rPr>
                <w:rFonts w:ascii="华文仿宋" w:eastAsia="华文仿宋" w:hAnsi="华文仿宋" w:cs="宋体"/>
                <w:b/>
                <w:bCs/>
                <w:color w:val="000000"/>
                <w:kern w:val="0"/>
                <w:sz w:val="28"/>
                <w:szCs w:val="28"/>
              </w:rPr>
            </w:pPr>
            <w:r w:rsidRPr="00804338">
              <w:rPr>
                <w:rFonts w:ascii="华文仿宋" w:eastAsia="华文仿宋" w:hAnsi="华文仿宋" w:cs="宋体" w:hint="eastAsia"/>
                <w:b/>
                <w:bCs/>
                <w:color w:val="000000"/>
                <w:kern w:val="0"/>
                <w:sz w:val="28"/>
                <w:szCs w:val="28"/>
              </w:rPr>
              <w:t>日期</w:t>
            </w:r>
          </w:p>
        </w:tc>
        <w:tc>
          <w:tcPr>
            <w:tcW w:w="428" w:type="pct"/>
            <w:tcBorders>
              <w:top w:val="single" w:sz="4" w:space="0" w:color="auto"/>
              <w:left w:val="nil"/>
              <w:bottom w:val="single" w:sz="4" w:space="0" w:color="auto"/>
              <w:right w:val="single" w:sz="4" w:space="0" w:color="auto"/>
            </w:tcBorders>
            <w:shd w:val="clear" w:color="000000" w:fill="99CCFF"/>
            <w:vAlign w:val="center"/>
            <w:hideMark/>
          </w:tcPr>
          <w:p w:rsidR="00150B7B" w:rsidRPr="00804338" w:rsidRDefault="00150B7B" w:rsidP="00191D80">
            <w:pPr>
              <w:widowControl/>
              <w:jc w:val="center"/>
              <w:rPr>
                <w:rFonts w:ascii="华文仿宋" w:eastAsia="华文仿宋" w:hAnsi="华文仿宋" w:cs="宋体"/>
                <w:b/>
                <w:bCs/>
                <w:color w:val="000000"/>
                <w:kern w:val="0"/>
                <w:sz w:val="28"/>
                <w:szCs w:val="28"/>
              </w:rPr>
            </w:pPr>
            <w:proofErr w:type="gramStart"/>
            <w:r w:rsidRPr="00804338">
              <w:rPr>
                <w:rFonts w:ascii="华文仿宋" w:eastAsia="华文仿宋" w:hAnsi="华文仿宋" w:cs="宋体" w:hint="eastAsia"/>
                <w:b/>
                <w:bCs/>
                <w:color w:val="000000"/>
                <w:kern w:val="0"/>
                <w:sz w:val="28"/>
                <w:szCs w:val="28"/>
              </w:rPr>
              <w:t>纽</w:t>
            </w:r>
            <w:proofErr w:type="gramEnd"/>
            <w:r w:rsidRPr="00804338">
              <w:rPr>
                <w:rFonts w:ascii="华文仿宋" w:eastAsia="华文仿宋" w:hAnsi="华文仿宋" w:cs="宋体" w:hint="eastAsia"/>
                <w:b/>
                <w:bCs/>
                <w:color w:val="000000"/>
                <w:kern w:val="0"/>
                <w:sz w:val="28"/>
                <w:szCs w:val="28"/>
              </w:rPr>
              <w:t>交所</w:t>
            </w:r>
          </w:p>
        </w:tc>
        <w:tc>
          <w:tcPr>
            <w:tcW w:w="429" w:type="pct"/>
            <w:tcBorders>
              <w:top w:val="single" w:sz="4" w:space="0" w:color="auto"/>
              <w:left w:val="nil"/>
              <w:bottom w:val="single" w:sz="4" w:space="0" w:color="auto"/>
              <w:right w:val="single" w:sz="4" w:space="0" w:color="auto"/>
            </w:tcBorders>
            <w:shd w:val="clear" w:color="000000" w:fill="99CCFF"/>
            <w:vAlign w:val="center"/>
            <w:hideMark/>
          </w:tcPr>
          <w:p w:rsidR="00150B7B" w:rsidRPr="00804338" w:rsidRDefault="00150B7B" w:rsidP="00191D80">
            <w:pPr>
              <w:widowControl/>
              <w:jc w:val="center"/>
              <w:rPr>
                <w:rFonts w:ascii="华文仿宋" w:eastAsia="华文仿宋" w:hAnsi="华文仿宋" w:cs="宋体"/>
                <w:b/>
                <w:bCs/>
                <w:color w:val="000000"/>
                <w:kern w:val="0"/>
                <w:sz w:val="28"/>
                <w:szCs w:val="28"/>
              </w:rPr>
            </w:pPr>
            <w:proofErr w:type="gramStart"/>
            <w:r w:rsidRPr="00804338">
              <w:rPr>
                <w:rFonts w:ascii="华文仿宋" w:eastAsia="华文仿宋" w:hAnsi="华文仿宋" w:cs="宋体" w:hint="eastAsia"/>
                <w:b/>
                <w:bCs/>
                <w:color w:val="000000"/>
                <w:kern w:val="0"/>
                <w:sz w:val="28"/>
                <w:szCs w:val="28"/>
              </w:rPr>
              <w:t>伦交所</w:t>
            </w:r>
            <w:proofErr w:type="gramEnd"/>
          </w:p>
        </w:tc>
        <w:tc>
          <w:tcPr>
            <w:tcW w:w="3499" w:type="pct"/>
            <w:tcBorders>
              <w:top w:val="single" w:sz="4" w:space="0" w:color="auto"/>
              <w:left w:val="nil"/>
              <w:bottom w:val="single" w:sz="4" w:space="0" w:color="auto"/>
              <w:right w:val="single" w:sz="4" w:space="0" w:color="auto"/>
            </w:tcBorders>
            <w:shd w:val="clear" w:color="000000" w:fill="99CCFF"/>
            <w:vAlign w:val="center"/>
            <w:hideMark/>
          </w:tcPr>
          <w:p w:rsidR="00150B7B" w:rsidRPr="00804338" w:rsidRDefault="00150B7B" w:rsidP="00191D80">
            <w:pPr>
              <w:widowControl/>
              <w:jc w:val="center"/>
              <w:rPr>
                <w:rFonts w:ascii="华文仿宋" w:eastAsia="华文仿宋" w:hAnsi="华文仿宋" w:cs="宋体"/>
                <w:b/>
                <w:bCs/>
                <w:color w:val="000000"/>
                <w:kern w:val="0"/>
                <w:sz w:val="28"/>
                <w:szCs w:val="28"/>
              </w:rPr>
            </w:pPr>
            <w:r w:rsidRPr="00804338">
              <w:rPr>
                <w:rFonts w:ascii="华文仿宋" w:eastAsia="华文仿宋" w:hAnsi="华文仿宋" w:cs="宋体" w:hint="eastAsia"/>
                <w:b/>
                <w:bCs/>
                <w:color w:val="000000"/>
                <w:kern w:val="0"/>
                <w:sz w:val="28"/>
                <w:szCs w:val="28"/>
              </w:rPr>
              <w:t>影响因素</w:t>
            </w:r>
          </w:p>
        </w:tc>
      </w:tr>
      <w:tr w:rsidR="00150B7B" w:rsidRPr="00804338" w:rsidTr="00150B7B">
        <w:trPr>
          <w:trHeight w:val="480"/>
        </w:trPr>
        <w:tc>
          <w:tcPr>
            <w:tcW w:w="644" w:type="pct"/>
            <w:tcBorders>
              <w:top w:val="nil"/>
              <w:left w:val="single" w:sz="4" w:space="0" w:color="auto"/>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2018/8/8</w:t>
            </w:r>
          </w:p>
        </w:tc>
        <w:tc>
          <w:tcPr>
            <w:tcW w:w="428"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66.94</w:t>
            </w:r>
          </w:p>
        </w:tc>
        <w:tc>
          <w:tcPr>
            <w:tcW w:w="429"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72.28</w:t>
            </w:r>
          </w:p>
        </w:tc>
        <w:tc>
          <w:tcPr>
            <w:tcW w:w="3499" w:type="pct"/>
            <w:tcBorders>
              <w:top w:val="nil"/>
              <w:left w:val="nil"/>
              <w:bottom w:val="single" w:sz="4" w:space="0" w:color="auto"/>
              <w:right w:val="single" w:sz="4" w:space="0" w:color="auto"/>
            </w:tcBorders>
            <w:shd w:val="clear" w:color="auto" w:fill="auto"/>
            <w:vAlign w:val="center"/>
            <w:hideMark/>
          </w:tcPr>
          <w:p w:rsidR="00150B7B" w:rsidRPr="00804338" w:rsidRDefault="00150B7B" w:rsidP="00191D80">
            <w:pPr>
              <w:widowControl/>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库存降幅不及预期令油价承压，加之中国7月份原油进口量仍处低位，需求下降更加重了油价下行压力，油价收盘大幅下挫。</w:t>
            </w:r>
          </w:p>
        </w:tc>
      </w:tr>
      <w:tr w:rsidR="00150B7B" w:rsidRPr="00804338" w:rsidTr="00150B7B">
        <w:trPr>
          <w:trHeight w:val="480"/>
        </w:trPr>
        <w:tc>
          <w:tcPr>
            <w:tcW w:w="644" w:type="pct"/>
            <w:tcBorders>
              <w:top w:val="nil"/>
              <w:left w:val="single" w:sz="4" w:space="0" w:color="auto"/>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2018/8/7</w:t>
            </w:r>
          </w:p>
        </w:tc>
        <w:tc>
          <w:tcPr>
            <w:tcW w:w="428"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69.17</w:t>
            </w:r>
          </w:p>
        </w:tc>
        <w:tc>
          <w:tcPr>
            <w:tcW w:w="429"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74.65</w:t>
            </w:r>
          </w:p>
        </w:tc>
        <w:tc>
          <w:tcPr>
            <w:tcW w:w="3499" w:type="pct"/>
            <w:tcBorders>
              <w:top w:val="nil"/>
              <w:left w:val="nil"/>
              <w:bottom w:val="single" w:sz="4" w:space="0" w:color="auto"/>
              <w:right w:val="single" w:sz="4" w:space="0" w:color="auto"/>
            </w:tcBorders>
            <w:shd w:val="clear" w:color="auto" w:fill="auto"/>
            <w:vAlign w:val="center"/>
            <w:hideMark/>
          </w:tcPr>
          <w:p w:rsidR="00150B7B" w:rsidRPr="00804338" w:rsidRDefault="00150B7B" w:rsidP="00191D80">
            <w:pPr>
              <w:widowControl/>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美国重启伊朗制裁令投资者担心原油</w:t>
            </w:r>
            <w:proofErr w:type="gramStart"/>
            <w:r w:rsidRPr="00804338">
              <w:rPr>
                <w:rFonts w:ascii="华文仿宋" w:eastAsia="华文仿宋" w:hAnsi="华文仿宋" w:cs="宋体" w:hint="eastAsia"/>
                <w:color w:val="000000"/>
                <w:kern w:val="0"/>
                <w:sz w:val="28"/>
                <w:szCs w:val="28"/>
              </w:rPr>
              <w:t>供应面</w:t>
            </w:r>
            <w:proofErr w:type="gramEnd"/>
            <w:r w:rsidRPr="00804338">
              <w:rPr>
                <w:rFonts w:ascii="华文仿宋" w:eastAsia="华文仿宋" w:hAnsi="华文仿宋" w:cs="宋体" w:hint="eastAsia"/>
                <w:color w:val="000000"/>
                <w:kern w:val="0"/>
                <w:sz w:val="28"/>
                <w:szCs w:val="28"/>
              </w:rPr>
              <w:t>或将收紧，同时美元涨势受阻也帮助油价企稳，油价收盘小幅上涨。</w:t>
            </w:r>
          </w:p>
        </w:tc>
      </w:tr>
      <w:tr w:rsidR="00150B7B" w:rsidRPr="00804338" w:rsidTr="00150B7B">
        <w:trPr>
          <w:trHeight w:val="480"/>
        </w:trPr>
        <w:tc>
          <w:tcPr>
            <w:tcW w:w="644" w:type="pct"/>
            <w:tcBorders>
              <w:top w:val="nil"/>
              <w:left w:val="single" w:sz="4" w:space="0" w:color="auto"/>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2018/8/6</w:t>
            </w:r>
          </w:p>
        </w:tc>
        <w:tc>
          <w:tcPr>
            <w:tcW w:w="428"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69.01</w:t>
            </w:r>
          </w:p>
        </w:tc>
        <w:tc>
          <w:tcPr>
            <w:tcW w:w="429"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73.75</w:t>
            </w:r>
          </w:p>
        </w:tc>
        <w:tc>
          <w:tcPr>
            <w:tcW w:w="3499" w:type="pct"/>
            <w:tcBorders>
              <w:top w:val="nil"/>
              <w:left w:val="nil"/>
              <w:bottom w:val="single" w:sz="4" w:space="0" w:color="auto"/>
              <w:right w:val="single" w:sz="4" w:space="0" w:color="auto"/>
            </w:tcBorders>
            <w:shd w:val="clear" w:color="auto" w:fill="auto"/>
            <w:vAlign w:val="center"/>
            <w:hideMark/>
          </w:tcPr>
          <w:p w:rsidR="00150B7B" w:rsidRPr="00804338" w:rsidRDefault="00150B7B" w:rsidP="00191D80">
            <w:pPr>
              <w:widowControl/>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美国高级官员日内发表讲话称，美国将再次加强对伊朗的制裁，原油供应或将面临干扰，提振油价收盘上涨。</w:t>
            </w:r>
          </w:p>
        </w:tc>
      </w:tr>
      <w:tr w:rsidR="00150B7B" w:rsidRPr="00804338" w:rsidTr="00150B7B">
        <w:trPr>
          <w:trHeight w:val="480"/>
        </w:trPr>
        <w:tc>
          <w:tcPr>
            <w:tcW w:w="644" w:type="pct"/>
            <w:tcBorders>
              <w:top w:val="nil"/>
              <w:left w:val="single" w:sz="4" w:space="0" w:color="auto"/>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2018/8/3</w:t>
            </w:r>
          </w:p>
        </w:tc>
        <w:tc>
          <w:tcPr>
            <w:tcW w:w="428"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68.49</w:t>
            </w:r>
          </w:p>
        </w:tc>
        <w:tc>
          <w:tcPr>
            <w:tcW w:w="429"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73.21</w:t>
            </w:r>
          </w:p>
        </w:tc>
        <w:tc>
          <w:tcPr>
            <w:tcW w:w="3499" w:type="pct"/>
            <w:tcBorders>
              <w:top w:val="nil"/>
              <w:left w:val="nil"/>
              <w:bottom w:val="single" w:sz="4" w:space="0" w:color="auto"/>
              <w:right w:val="single" w:sz="4" w:space="0" w:color="auto"/>
            </w:tcBorders>
            <w:shd w:val="clear" w:color="auto" w:fill="auto"/>
            <w:vAlign w:val="center"/>
            <w:hideMark/>
          </w:tcPr>
          <w:p w:rsidR="00150B7B" w:rsidRPr="00804338" w:rsidRDefault="00150B7B" w:rsidP="00191D80">
            <w:pPr>
              <w:widowControl/>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虽然</w:t>
            </w:r>
            <w:proofErr w:type="gramStart"/>
            <w:r w:rsidRPr="00804338">
              <w:rPr>
                <w:rFonts w:ascii="华文仿宋" w:eastAsia="华文仿宋" w:hAnsi="华文仿宋" w:cs="宋体" w:hint="eastAsia"/>
                <w:color w:val="000000"/>
                <w:kern w:val="0"/>
                <w:sz w:val="28"/>
                <w:szCs w:val="28"/>
              </w:rPr>
              <w:t>日内公布</w:t>
            </w:r>
            <w:proofErr w:type="gramEnd"/>
            <w:r w:rsidRPr="00804338">
              <w:rPr>
                <w:rFonts w:ascii="华文仿宋" w:eastAsia="华文仿宋" w:hAnsi="华文仿宋" w:cs="宋体" w:hint="eastAsia"/>
                <w:color w:val="000000"/>
                <w:kern w:val="0"/>
                <w:sz w:val="28"/>
                <w:szCs w:val="28"/>
              </w:rPr>
              <w:t>的数据显示美国石油活跃钻井数录得下滑为油价提供部分支撑，但有消息指出沙特产量继续走高，施压油价收盘下挫。</w:t>
            </w:r>
          </w:p>
        </w:tc>
      </w:tr>
      <w:tr w:rsidR="00150B7B" w:rsidRPr="00804338" w:rsidTr="00150B7B">
        <w:trPr>
          <w:trHeight w:val="390"/>
        </w:trPr>
        <w:tc>
          <w:tcPr>
            <w:tcW w:w="644" w:type="pct"/>
            <w:tcBorders>
              <w:top w:val="nil"/>
              <w:left w:val="single" w:sz="4" w:space="0" w:color="auto"/>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2018/8/2</w:t>
            </w:r>
          </w:p>
        </w:tc>
        <w:tc>
          <w:tcPr>
            <w:tcW w:w="428"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68.96</w:t>
            </w:r>
          </w:p>
        </w:tc>
        <w:tc>
          <w:tcPr>
            <w:tcW w:w="429" w:type="pct"/>
            <w:tcBorders>
              <w:top w:val="nil"/>
              <w:left w:val="nil"/>
              <w:bottom w:val="single" w:sz="4" w:space="0" w:color="auto"/>
              <w:right w:val="single" w:sz="4" w:space="0" w:color="auto"/>
            </w:tcBorders>
            <w:shd w:val="clear" w:color="000000" w:fill="FFFFFF"/>
            <w:vAlign w:val="bottom"/>
            <w:hideMark/>
          </w:tcPr>
          <w:p w:rsidR="00150B7B" w:rsidRPr="00804338" w:rsidRDefault="00150B7B" w:rsidP="00191D80">
            <w:pPr>
              <w:widowControl/>
              <w:jc w:val="center"/>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73.45</w:t>
            </w:r>
          </w:p>
        </w:tc>
        <w:tc>
          <w:tcPr>
            <w:tcW w:w="3499" w:type="pct"/>
            <w:tcBorders>
              <w:top w:val="nil"/>
              <w:left w:val="nil"/>
              <w:bottom w:val="single" w:sz="4" w:space="0" w:color="auto"/>
              <w:right w:val="single" w:sz="4" w:space="0" w:color="auto"/>
            </w:tcBorders>
            <w:shd w:val="clear" w:color="auto" w:fill="auto"/>
            <w:vAlign w:val="center"/>
            <w:hideMark/>
          </w:tcPr>
          <w:p w:rsidR="00150B7B" w:rsidRPr="00804338" w:rsidRDefault="00150B7B" w:rsidP="00191D80">
            <w:pPr>
              <w:widowControl/>
              <w:rPr>
                <w:rFonts w:ascii="华文仿宋" w:eastAsia="华文仿宋" w:hAnsi="华文仿宋" w:cs="宋体"/>
                <w:color w:val="000000"/>
                <w:kern w:val="0"/>
                <w:sz w:val="28"/>
                <w:szCs w:val="28"/>
              </w:rPr>
            </w:pPr>
            <w:r w:rsidRPr="00804338">
              <w:rPr>
                <w:rFonts w:ascii="华文仿宋" w:eastAsia="华文仿宋" w:hAnsi="华文仿宋" w:cs="宋体" w:hint="eastAsia"/>
                <w:color w:val="000000"/>
                <w:kern w:val="0"/>
                <w:sz w:val="28"/>
                <w:szCs w:val="28"/>
              </w:rPr>
              <w:t>原油库存连续11周录得下滑，从而对油价形成了支撑，油价收盘录得上涨。</w:t>
            </w:r>
          </w:p>
        </w:tc>
      </w:tr>
    </w:tbl>
    <w:p w:rsidR="006C7D15" w:rsidRPr="00150B7B" w:rsidRDefault="006C7D15"/>
    <w:p w:rsidR="006C7D15" w:rsidRDefault="006C7D15">
      <w:pPr>
        <w:rPr>
          <w:rFonts w:ascii="宋体" w:hAnsi="宋体" w:cs="宋体"/>
          <w:kern w:val="0"/>
          <w:sz w:val="20"/>
          <w:szCs w:val="20"/>
        </w:rPr>
      </w:pPr>
    </w:p>
    <w:p w:rsidR="006C7D15" w:rsidRDefault="006C7D15">
      <w:pPr>
        <w:rPr>
          <w:rFonts w:ascii="宋体" w:hAnsi="宋体" w:cs="宋体"/>
          <w:kern w:val="0"/>
          <w:sz w:val="20"/>
          <w:szCs w:val="20"/>
        </w:rPr>
      </w:pPr>
    </w:p>
    <w:p w:rsidR="006C7D15" w:rsidRDefault="00FE2871">
      <w:pPr>
        <w:spacing w:line="360" w:lineRule="auto"/>
        <w:ind w:firstLineChars="100" w:firstLine="301"/>
        <w:outlineLvl w:val="1"/>
        <w:rPr>
          <w:rFonts w:ascii="黑体" w:eastAsia="黑体"/>
          <w:sz w:val="30"/>
          <w:szCs w:val="30"/>
        </w:rPr>
      </w:pPr>
      <w:bookmarkStart w:id="10" w:name="_Toc505350000"/>
      <w:r>
        <w:rPr>
          <w:rFonts w:ascii="黑体" w:eastAsia="黑体" w:hint="eastAsia"/>
          <w:b/>
          <w:bCs/>
          <w:sz w:val="30"/>
          <w:szCs w:val="30"/>
        </w:rPr>
        <w:t>1. 2</w:t>
      </w:r>
      <w:r>
        <w:rPr>
          <w:rFonts w:ascii="黑体" w:eastAsia="黑体" w:hint="eastAsia"/>
          <w:sz w:val="30"/>
          <w:szCs w:val="30"/>
        </w:rPr>
        <w:t xml:space="preserve">  国际原油市场价格走势图</w:t>
      </w:r>
      <w:bookmarkEnd w:id="10"/>
    </w:p>
    <w:p w:rsidR="006C7D15" w:rsidRDefault="00150B7B">
      <w:pPr>
        <w:spacing w:line="360" w:lineRule="auto"/>
        <w:jc w:val="center"/>
        <w:rPr>
          <w:sz w:val="20"/>
          <w:szCs w:val="20"/>
        </w:rPr>
      </w:pPr>
      <w:r>
        <w:rPr>
          <w:rFonts w:ascii="宋体" w:hAnsi="宋体" w:cs="Arial" w:hint="eastAsia"/>
          <w:b/>
          <w:noProof/>
          <w:kern w:val="0"/>
          <w:sz w:val="30"/>
          <w:szCs w:val="30"/>
        </w:rPr>
        <w:lastRenderedPageBreak/>
        <w:drawing>
          <wp:inline distT="0" distB="0" distL="0" distR="0">
            <wp:extent cx="5295265" cy="4263390"/>
            <wp:effectExtent l="19050" t="0" r="63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95265" cy="4263390"/>
                    </a:xfrm>
                    <a:prstGeom prst="rect">
                      <a:avLst/>
                    </a:prstGeom>
                    <a:noFill/>
                    <a:ln w="9525">
                      <a:noFill/>
                      <a:miter lim="800000"/>
                      <a:headEnd/>
                      <a:tailEnd/>
                    </a:ln>
                  </pic:spPr>
                </pic:pic>
              </a:graphicData>
            </a:graphic>
          </wp:inline>
        </w:drawing>
      </w:r>
    </w:p>
    <w:p w:rsidR="00150B7B" w:rsidRDefault="00150B7B" w:rsidP="00150B7B">
      <w:pPr>
        <w:outlineLvl w:val="1"/>
        <w:rPr>
          <w:rFonts w:ascii="黑体" w:eastAsia="黑体" w:hAnsi="宋体"/>
          <w:b/>
          <w:sz w:val="30"/>
          <w:szCs w:val="30"/>
        </w:rPr>
      </w:pPr>
      <w:bookmarkStart w:id="11" w:name="_Toc460250402"/>
      <w:bookmarkStart w:id="12" w:name="_Toc505350001"/>
      <w:bookmarkStart w:id="13" w:name="_Toc281568199"/>
      <w:bookmarkStart w:id="14" w:name="_Toc296600809"/>
      <w:bookmarkStart w:id="15" w:name="_Toc239847712"/>
      <w:bookmarkStart w:id="16" w:name="_Toc158203127"/>
      <w:r w:rsidRPr="00150B7B">
        <w:rPr>
          <w:rFonts w:ascii="黑体" w:eastAsia="黑体" w:hAnsi="宋体" w:hint="eastAsia"/>
          <w:b/>
          <w:sz w:val="30"/>
          <w:szCs w:val="30"/>
        </w:rPr>
        <w:t>（二）</w:t>
      </w:r>
      <w:r>
        <w:rPr>
          <w:rFonts w:ascii="黑体" w:eastAsia="黑体" w:hAnsi="宋体" w:hint="eastAsia"/>
          <w:b/>
          <w:sz w:val="30"/>
          <w:szCs w:val="30"/>
        </w:rPr>
        <w:t>.近期影响国际原油市场的主要因素</w:t>
      </w:r>
      <w:bookmarkStart w:id="17" w:name="_Toc504051939"/>
      <w:bookmarkStart w:id="18" w:name="_Toc505350005"/>
      <w:bookmarkEnd w:id="11"/>
      <w:bookmarkEnd w:id="12"/>
    </w:p>
    <w:p w:rsidR="00150B7B" w:rsidRPr="00150B7B" w:rsidRDefault="00150B7B" w:rsidP="00150B7B">
      <w:pPr>
        <w:ind w:left="298"/>
        <w:outlineLvl w:val="1"/>
        <w:rPr>
          <w:rFonts w:ascii="黑体" w:eastAsia="黑体" w:hAnsi="宋体"/>
          <w:b/>
          <w:sz w:val="30"/>
          <w:szCs w:val="30"/>
        </w:rPr>
      </w:pPr>
      <w:r w:rsidRPr="00150B7B">
        <w:rPr>
          <w:rFonts w:ascii="黑体" w:eastAsia="黑体" w:hAnsi="宋体" w:hint="eastAsia"/>
          <w:b/>
          <w:sz w:val="28"/>
          <w:szCs w:val="28"/>
        </w:rPr>
        <w:t>1、美国原油库存情况</w:t>
      </w:r>
      <w:bookmarkEnd w:id="17"/>
    </w:p>
    <w:p w:rsidR="00150B7B" w:rsidRPr="00C05C70" w:rsidRDefault="00150B7B" w:rsidP="00150B7B">
      <w:pPr>
        <w:pStyle w:val="aa"/>
        <w:ind w:firstLineChars="200" w:firstLine="560"/>
        <w:rPr>
          <w:rFonts w:ascii="华文仿宋" w:eastAsia="华文仿宋" w:hAnsi="华文仿宋"/>
          <w:sz w:val="28"/>
          <w:szCs w:val="28"/>
        </w:rPr>
      </w:pPr>
      <w:r w:rsidRPr="00C05C70">
        <w:rPr>
          <w:rFonts w:ascii="华文仿宋" w:eastAsia="华文仿宋" w:hAnsi="华文仿宋"/>
          <w:sz w:val="28"/>
          <w:szCs w:val="28"/>
        </w:rPr>
        <w:t>美国能源信息署(EIA)数据显示，上周美国原油库存下降，而汽油和</w:t>
      </w:r>
      <w:proofErr w:type="gramStart"/>
      <w:r w:rsidRPr="00C05C70">
        <w:rPr>
          <w:rFonts w:ascii="华文仿宋" w:eastAsia="华文仿宋" w:hAnsi="华文仿宋"/>
          <w:sz w:val="28"/>
          <w:szCs w:val="28"/>
        </w:rPr>
        <w:t>馏分油</w:t>
      </w:r>
      <w:proofErr w:type="gramEnd"/>
      <w:r w:rsidRPr="00C05C70">
        <w:rPr>
          <w:rFonts w:ascii="华文仿宋" w:eastAsia="华文仿宋" w:hAnsi="华文仿宋"/>
          <w:sz w:val="28"/>
          <w:szCs w:val="28"/>
        </w:rPr>
        <w:t>库存增加。截至8月3日当周，美国原油库存减少135万桶，至4.0739亿桶，分析师预期为减少330万桶。美国原油交割地库欣原油库存减少59万桶。市场分析人士称：“报告对价格不利，因为原油库存降幅小于预期而且成品油库存大幅增加。”“不过，炼油商对原油的需求依然很高，消费者对汽油的需求也是如此。”截至8月3日当周，美国汽油库存增加290万桶至2.3387亿桶，分析师预期为减少170万桶;包括柴油和取暖油在内的</w:t>
      </w:r>
      <w:proofErr w:type="gramStart"/>
      <w:r w:rsidRPr="00C05C70">
        <w:rPr>
          <w:rFonts w:ascii="华文仿宋" w:eastAsia="华文仿宋" w:hAnsi="华文仿宋"/>
          <w:sz w:val="28"/>
          <w:szCs w:val="28"/>
        </w:rPr>
        <w:t>馏分油</w:t>
      </w:r>
      <w:proofErr w:type="gramEnd"/>
      <w:r w:rsidRPr="00C05C70">
        <w:rPr>
          <w:rFonts w:ascii="华文仿宋" w:eastAsia="华文仿宋" w:hAnsi="华文仿宋"/>
          <w:sz w:val="28"/>
          <w:szCs w:val="28"/>
        </w:rPr>
        <w:t>库存增加123万桶至1.2542亿桶，分析师预期为增加22万桶。上周美国原油日净进口量减少35.8万桶，美国原油日出口量增加54万桶，至190万桶。上周炼厂原油加工量增加11.8万桶/日。炼厂</w:t>
      </w:r>
      <w:r w:rsidRPr="00C05C70">
        <w:rPr>
          <w:rFonts w:ascii="华文仿宋" w:eastAsia="华文仿宋" w:hAnsi="华文仿宋"/>
          <w:sz w:val="28"/>
          <w:szCs w:val="28"/>
        </w:rPr>
        <w:lastRenderedPageBreak/>
        <w:t>产能利用率上扬0.5个百分点。美国石油协会(API)数据显示，上周美国原油库存降幅接近预估的两倍，但汽油库存意外增加。截至8月3日当周，美国原油库存下降600万桶，至4.37549亿桶，分析师此前预计为减少330万桶。俄克拉荷马州库欣的原油库存减少57.6万桶。截至8月3日当周，上周汽油库存增加310万桶，而分析师此前预计减少170万桶;包括柴油和取暖油在内的</w:t>
      </w:r>
      <w:proofErr w:type="gramStart"/>
      <w:r w:rsidRPr="00C05C70">
        <w:rPr>
          <w:rFonts w:ascii="华文仿宋" w:eastAsia="华文仿宋" w:hAnsi="华文仿宋"/>
          <w:sz w:val="28"/>
          <w:szCs w:val="28"/>
        </w:rPr>
        <w:t>馏分油</w:t>
      </w:r>
      <w:proofErr w:type="gramEnd"/>
      <w:r w:rsidRPr="00C05C70">
        <w:rPr>
          <w:rFonts w:ascii="华文仿宋" w:eastAsia="华文仿宋" w:hAnsi="华文仿宋"/>
          <w:sz w:val="28"/>
          <w:szCs w:val="28"/>
        </w:rPr>
        <w:t>库存增加180万桶，分析师预估增加22万桶。上周美国原油进口减少83.3万桶/日，至800万桶/日。炼厂每日炼油量增加13.2万桶。</w:t>
      </w:r>
    </w:p>
    <w:p w:rsidR="00150B7B" w:rsidRPr="00C05C70" w:rsidRDefault="00150B7B" w:rsidP="00150B7B">
      <w:pPr>
        <w:pStyle w:val="aa"/>
        <w:ind w:firstLineChars="200" w:firstLine="560"/>
        <w:rPr>
          <w:rFonts w:ascii="华文仿宋" w:eastAsia="华文仿宋" w:hAnsi="华文仿宋"/>
          <w:sz w:val="28"/>
          <w:szCs w:val="28"/>
        </w:rPr>
      </w:pPr>
    </w:p>
    <w:p w:rsidR="00150B7B" w:rsidRDefault="00150B7B" w:rsidP="00150B7B">
      <w:pPr>
        <w:ind w:firstLineChars="100" w:firstLine="281"/>
        <w:outlineLvl w:val="1"/>
        <w:rPr>
          <w:rFonts w:ascii="黑体" w:eastAsia="黑体" w:hAnsi="宋体"/>
          <w:b/>
          <w:sz w:val="28"/>
          <w:szCs w:val="28"/>
        </w:rPr>
      </w:pPr>
      <w:bookmarkStart w:id="19" w:name="_Toc504051940"/>
      <w:r>
        <w:rPr>
          <w:rFonts w:ascii="黑体" w:eastAsia="黑体" w:hAnsi="宋体" w:hint="eastAsia"/>
          <w:b/>
          <w:sz w:val="28"/>
          <w:szCs w:val="28"/>
        </w:rPr>
        <w:t>2、美国经济形势</w:t>
      </w:r>
      <w:bookmarkEnd w:id="19"/>
    </w:p>
    <w:p w:rsidR="00150B7B" w:rsidRDefault="00150B7B" w:rsidP="00150B7B">
      <w:pPr>
        <w:outlineLvl w:val="1"/>
        <w:rPr>
          <w:rFonts w:ascii="黑体" w:eastAsia="黑体" w:hAnsi="宋体"/>
          <w:b/>
          <w:sz w:val="28"/>
          <w:szCs w:val="28"/>
        </w:rPr>
      </w:pPr>
      <w:r>
        <w:rPr>
          <w:rFonts w:ascii="黑体" w:eastAsia="黑体" w:hAnsi="宋体" w:hint="eastAsia"/>
          <w:b/>
          <w:sz w:val="28"/>
          <w:szCs w:val="28"/>
        </w:rPr>
        <w:t xml:space="preserve">    </w:t>
      </w:r>
    </w:p>
    <w:p w:rsidR="00150B7B" w:rsidRPr="00C05C70" w:rsidRDefault="00150B7B" w:rsidP="00150B7B">
      <w:pPr>
        <w:pStyle w:val="aa"/>
        <w:rPr>
          <w:rFonts w:ascii="华文仿宋" w:eastAsia="华文仿宋" w:hAnsi="华文仿宋"/>
          <w:sz w:val="28"/>
          <w:szCs w:val="28"/>
        </w:rPr>
      </w:pPr>
      <w:r>
        <w:rPr>
          <w:sz w:val="21"/>
          <w:szCs w:val="21"/>
        </w:rPr>
        <w:t xml:space="preserve">　</w:t>
      </w:r>
      <w:r>
        <w:rPr>
          <w:rFonts w:hint="eastAsia"/>
          <w:sz w:val="21"/>
          <w:szCs w:val="21"/>
        </w:rPr>
        <w:t xml:space="preserve">   </w:t>
      </w:r>
      <w:r w:rsidRPr="00C05C70">
        <w:rPr>
          <w:rFonts w:ascii="华文仿宋" w:eastAsia="华文仿宋" w:hAnsi="华文仿宋"/>
          <w:sz w:val="28"/>
          <w:szCs w:val="28"/>
        </w:rPr>
        <w:t>北京时间9日凌晨，美股周三收盘涨跌不一，</w:t>
      </w:r>
      <w:proofErr w:type="gramStart"/>
      <w:r w:rsidRPr="00C05C70">
        <w:rPr>
          <w:rFonts w:ascii="华文仿宋" w:eastAsia="华文仿宋" w:hAnsi="华文仿宋"/>
          <w:sz w:val="28"/>
          <w:szCs w:val="28"/>
        </w:rPr>
        <w:t>纳指录得</w:t>
      </w:r>
      <w:proofErr w:type="gramEnd"/>
      <w:r w:rsidRPr="00C05C70">
        <w:rPr>
          <w:rFonts w:ascii="华文仿宋" w:eastAsia="华文仿宋" w:hAnsi="华文仿宋"/>
          <w:sz w:val="28"/>
          <w:szCs w:val="28"/>
        </w:rPr>
        <w:t>连续第7个交易日上涨。原油期货价格大幅下跌。投资者仍在</w:t>
      </w:r>
      <w:proofErr w:type="gramStart"/>
      <w:r w:rsidRPr="00C05C70">
        <w:rPr>
          <w:rFonts w:ascii="华文仿宋" w:eastAsia="华文仿宋" w:hAnsi="华文仿宋"/>
          <w:sz w:val="28"/>
          <w:szCs w:val="28"/>
        </w:rPr>
        <w:t>权衡美企财报</w:t>
      </w:r>
      <w:proofErr w:type="gramEnd"/>
      <w:r w:rsidRPr="00C05C70">
        <w:rPr>
          <w:rFonts w:ascii="华文仿宋" w:eastAsia="华文仿宋" w:hAnsi="华文仿宋"/>
          <w:sz w:val="28"/>
          <w:szCs w:val="28"/>
        </w:rPr>
        <w:t>以及国际贸易冲突的最新动态。</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美</w:t>
      </w:r>
      <w:proofErr w:type="gramStart"/>
      <w:r w:rsidRPr="00C05C70">
        <w:rPr>
          <w:rFonts w:ascii="华文仿宋" w:eastAsia="华文仿宋" w:hAnsi="华文仿宋"/>
          <w:sz w:val="28"/>
          <w:szCs w:val="28"/>
        </w:rPr>
        <w:t>东时间</w:t>
      </w:r>
      <w:proofErr w:type="gramEnd"/>
      <w:r w:rsidRPr="00C05C70">
        <w:rPr>
          <w:rFonts w:ascii="华文仿宋" w:eastAsia="华文仿宋" w:hAnsi="华文仿宋"/>
          <w:sz w:val="28"/>
          <w:szCs w:val="28"/>
        </w:rPr>
        <w:t>8月8日16：00(北京时间8月9日04：00)，道指跌45.16点，或0.18%，报25，583.75点;</w:t>
      </w:r>
      <w:proofErr w:type="gramStart"/>
      <w:r w:rsidRPr="00C05C70">
        <w:rPr>
          <w:rFonts w:ascii="华文仿宋" w:eastAsia="华文仿宋" w:hAnsi="华文仿宋"/>
          <w:sz w:val="28"/>
          <w:szCs w:val="28"/>
        </w:rPr>
        <w:t>标普</w:t>
      </w:r>
      <w:proofErr w:type="gramEnd"/>
      <w:r w:rsidRPr="00C05C70">
        <w:rPr>
          <w:rFonts w:ascii="华文仿宋" w:eastAsia="华文仿宋" w:hAnsi="华文仿宋"/>
          <w:sz w:val="28"/>
          <w:szCs w:val="28"/>
        </w:rPr>
        <w:t>500指数跌0.75点，或0.03%，报2，857.70点;</w:t>
      </w:r>
      <w:proofErr w:type="gramStart"/>
      <w:r w:rsidRPr="00C05C70">
        <w:rPr>
          <w:rFonts w:ascii="华文仿宋" w:eastAsia="华文仿宋" w:hAnsi="华文仿宋"/>
          <w:sz w:val="28"/>
          <w:szCs w:val="28"/>
        </w:rPr>
        <w:t>纳指涨</w:t>
      </w:r>
      <w:proofErr w:type="gramEnd"/>
      <w:r w:rsidRPr="00C05C70">
        <w:rPr>
          <w:rFonts w:ascii="华文仿宋" w:eastAsia="华文仿宋" w:hAnsi="华文仿宋"/>
          <w:sz w:val="28"/>
          <w:szCs w:val="28"/>
        </w:rPr>
        <w:t>4.66点，或0.06%，报7，888.33点。</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w:t>
      </w:r>
      <w:proofErr w:type="gramStart"/>
      <w:r w:rsidRPr="00C05C70">
        <w:rPr>
          <w:rFonts w:ascii="华文仿宋" w:eastAsia="华文仿宋" w:hAnsi="华文仿宋"/>
          <w:sz w:val="28"/>
          <w:szCs w:val="28"/>
        </w:rPr>
        <w:t>纳指录得</w:t>
      </w:r>
      <w:proofErr w:type="gramEnd"/>
      <w:r w:rsidRPr="00C05C70">
        <w:rPr>
          <w:rFonts w:ascii="华文仿宋" w:eastAsia="华文仿宋" w:hAnsi="华文仿宋"/>
          <w:sz w:val="28"/>
          <w:szCs w:val="28"/>
        </w:rPr>
        <w:t>连续第7个交易日收高，为该指数自3月12日以来的最长连续上涨时间。</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lastRenderedPageBreak/>
        <w:t xml:space="preserve">　　美国能源信息署(EIA)周三</w:t>
      </w:r>
      <w:proofErr w:type="gramStart"/>
      <w:r w:rsidRPr="00C05C70">
        <w:rPr>
          <w:rFonts w:ascii="华文仿宋" w:eastAsia="华文仿宋" w:hAnsi="华文仿宋"/>
          <w:sz w:val="28"/>
          <w:szCs w:val="28"/>
        </w:rPr>
        <w:t>早间公布</w:t>
      </w:r>
      <w:proofErr w:type="gramEnd"/>
      <w:r w:rsidRPr="00C05C70">
        <w:rPr>
          <w:rFonts w:ascii="华文仿宋" w:eastAsia="华文仿宋" w:hAnsi="华文仿宋"/>
          <w:sz w:val="28"/>
          <w:szCs w:val="28"/>
        </w:rPr>
        <w:t>了上周原油库存数据后，美国WTI与伦敦布伦特原油期货价格均大幅下跌。</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最近几个交易日以来，美股上市公司</w:t>
      </w:r>
      <w:proofErr w:type="gramStart"/>
      <w:r w:rsidRPr="00C05C70">
        <w:rPr>
          <w:rFonts w:ascii="华文仿宋" w:eastAsia="华文仿宋" w:hAnsi="华文仿宋"/>
          <w:sz w:val="28"/>
          <w:szCs w:val="28"/>
        </w:rPr>
        <w:t>的财报强劲</w:t>
      </w:r>
      <w:proofErr w:type="gramEnd"/>
      <w:r w:rsidRPr="00C05C70">
        <w:rPr>
          <w:rFonts w:ascii="华文仿宋" w:eastAsia="华文仿宋" w:hAnsi="华文仿宋"/>
          <w:sz w:val="28"/>
          <w:szCs w:val="28"/>
        </w:rPr>
        <w:t>，经济数据显示已连续9年扩张的美国经济状况仍然健康，这些因素均使得美股市</w:t>
      </w:r>
      <w:proofErr w:type="gramStart"/>
      <w:r w:rsidRPr="00C05C70">
        <w:rPr>
          <w:rFonts w:ascii="华文仿宋" w:eastAsia="华文仿宋" w:hAnsi="华文仿宋"/>
          <w:sz w:val="28"/>
          <w:szCs w:val="28"/>
        </w:rPr>
        <w:t>场情绪</w:t>
      </w:r>
      <w:proofErr w:type="gramEnd"/>
      <w:r w:rsidRPr="00C05C70">
        <w:rPr>
          <w:rFonts w:ascii="华文仿宋" w:eastAsia="华文仿宋" w:hAnsi="华文仿宋"/>
          <w:sz w:val="28"/>
          <w:szCs w:val="28"/>
        </w:rPr>
        <w:t>乐观。</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市场驱动力量是什么?</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过去数周来，市场一直都在留意国际贸易冲突问题，但在大多数时间内，一批强劲的企业财报对股市的影响力都超过了中美贸易冲突对市场的影响，提振了投资者的风险投资偏好，从而帮助美</w:t>
      </w:r>
      <w:proofErr w:type="gramStart"/>
      <w:r w:rsidRPr="00C05C70">
        <w:rPr>
          <w:rFonts w:ascii="华文仿宋" w:eastAsia="华文仿宋" w:hAnsi="华文仿宋"/>
          <w:sz w:val="28"/>
          <w:szCs w:val="28"/>
        </w:rPr>
        <w:t>股取得</w:t>
      </w:r>
      <w:proofErr w:type="gramEnd"/>
      <w:r w:rsidRPr="00C05C70">
        <w:rPr>
          <w:rFonts w:ascii="华文仿宋" w:eastAsia="华文仿宋" w:hAnsi="华文仿宋"/>
          <w:sz w:val="28"/>
          <w:szCs w:val="28"/>
        </w:rPr>
        <w:t>了积极的表现。</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据FactSet数据，迄今为止，已有80%的标普</w:t>
      </w:r>
      <w:proofErr w:type="gramStart"/>
      <w:r w:rsidRPr="00C05C70">
        <w:rPr>
          <w:rFonts w:ascii="华文仿宋" w:eastAsia="华文仿宋" w:hAnsi="华文仿宋"/>
          <w:sz w:val="28"/>
          <w:szCs w:val="28"/>
        </w:rPr>
        <w:t>500成</w:t>
      </w:r>
      <w:proofErr w:type="gramEnd"/>
      <w:r w:rsidRPr="00C05C70">
        <w:rPr>
          <w:rFonts w:ascii="华文仿宋" w:eastAsia="华文仿宋" w:hAnsi="华文仿宋"/>
          <w:sz w:val="28"/>
          <w:szCs w:val="28"/>
        </w:rPr>
        <w:t>分公司公布了财报，这些公司的每股收益(EPS)同比增长24%，销售收入同比增长9.8%。</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尽管美中贸易冲突已延续较长时间，但表现靓丽的美股上市公司</w:t>
      </w:r>
      <w:proofErr w:type="gramStart"/>
      <w:r w:rsidRPr="00C05C70">
        <w:rPr>
          <w:rFonts w:ascii="华文仿宋" w:eastAsia="华文仿宋" w:hAnsi="华文仿宋"/>
          <w:sz w:val="28"/>
          <w:szCs w:val="28"/>
        </w:rPr>
        <w:t>财报增强</w:t>
      </w:r>
      <w:proofErr w:type="gramEnd"/>
      <w:r w:rsidRPr="00C05C70">
        <w:rPr>
          <w:rFonts w:ascii="华文仿宋" w:eastAsia="华文仿宋" w:hAnsi="华文仿宋"/>
          <w:sz w:val="28"/>
          <w:szCs w:val="28"/>
        </w:rPr>
        <w:t>了市场对美国经济将继续稳健扩张的信心。</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不过投资者仍然留意国际贸易关系的最新动态。美国贸易代表办公室(U.S. Trade Representative</w:t>
      </w:r>
      <w:proofErr w:type="gramStart"/>
      <w:r w:rsidRPr="00C05C70">
        <w:rPr>
          <w:rFonts w:ascii="华文仿宋" w:eastAsia="华文仿宋" w:hAnsi="华文仿宋"/>
          <w:sz w:val="28"/>
          <w:szCs w:val="28"/>
        </w:rPr>
        <w:t>‘</w:t>
      </w:r>
      <w:proofErr w:type="gramEnd"/>
      <w:r w:rsidRPr="00C05C70">
        <w:rPr>
          <w:rFonts w:ascii="华文仿宋" w:eastAsia="华文仿宋" w:hAnsi="华文仿宋"/>
          <w:sz w:val="28"/>
          <w:szCs w:val="28"/>
        </w:rPr>
        <w:t>s office)周二公布了一份针对279条进口产品的最终关税清单。该机构表示，6月15日最初提出的名单中，只有5个产品未被收录进清单内，但最大类别的半导体产品仍在名单上。</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美国贸易代表办公室明确表示从8月23日起，将针对清单上的产品征收25%的额外关税。</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lastRenderedPageBreak/>
        <w:t xml:space="preserve">　　此外，美国官方还表示他们正在考虑针对另外2000亿美元商品征收关税。</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据中国财政部网站报道，中国国务院关税税则委员会周二也</w:t>
      </w:r>
      <w:proofErr w:type="gramStart"/>
      <w:r w:rsidRPr="00C05C70">
        <w:rPr>
          <w:rFonts w:ascii="华文仿宋" w:eastAsia="华文仿宋" w:hAnsi="华文仿宋"/>
          <w:sz w:val="28"/>
          <w:szCs w:val="28"/>
        </w:rPr>
        <w:t>作出</w:t>
      </w:r>
      <w:proofErr w:type="gramEnd"/>
      <w:r w:rsidRPr="00C05C70">
        <w:rPr>
          <w:rFonts w:ascii="华文仿宋" w:eastAsia="华文仿宋" w:hAnsi="华文仿宋"/>
          <w:sz w:val="28"/>
          <w:szCs w:val="28"/>
        </w:rPr>
        <w:t>决定，将对原产于美国约160亿美元进口商品加征关税。</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公司层面的消息也受到关注。特斯拉(370.34, -9.23, -2.43%)公司(TSLA)CEO</w:t>
      </w:r>
      <w:proofErr w:type="gramStart"/>
      <w:r w:rsidRPr="00C05C70">
        <w:rPr>
          <w:rFonts w:ascii="华文仿宋" w:eastAsia="华文仿宋" w:hAnsi="华文仿宋"/>
          <w:sz w:val="28"/>
          <w:szCs w:val="28"/>
        </w:rPr>
        <w:t>埃隆</w:t>
      </w:r>
      <w:proofErr w:type="gramEnd"/>
      <w:r w:rsidRPr="00C05C70">
        <w:rPr>
          <w:rFonts w:ascii="华文仿宋" w:eastAsia="华文仿宋" w:hAnsi="华文仿宋"/>
          <w:sz w:val="28"/>
          <w:szCs w:val="28"/>
        </w:rPr>
        <w:t>-马斯克(Elon Muck)周二下午</w:t>
      </w:r>
      <w:proofErr w:type="gramStart"/>
      <w:r w:rsidRPr="00C05C70">
        <w:rPr>
          <w:rFonts w:ascii="华文仿宋" w:eastAsia="华文仿宋" w:hAnsi="华文仿宋"/>
          <w:sz w:val="28"/>
          <w:szCs w:val="28"/>
        </w:rPr>
        <w:t>在推特</w:t>
      </w:r>
      <w:proofErr w:type="gramEnd"/>
      <w:r w:rsidRPr="00C05C70">
        <w:rPr>
          <w:rFonts w:ascii="华文仿宋" w:eastAsia="华文仿宋" w:hAnsi="华文仿宋"/>
          <w:sz w:val="28"/>
          <w:szCs w:val="28"/>
        </w:rPr>
        <w:t>(31.84, -0.83,-2.54%)上表示，正在考虑将特斯拉以每股420美元的价格私有化，资金不成问题。</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按这个价格计算，特斯拉的市场价值约为720亿美元。这笔交易将比特斯拉8月6号的收盘价溢价22.8%。按6号的收盘价计算，特斯拉市值约为580 亿美元。</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在特斯拉公布的一篇官方声明中，马斯克表示：“上市让我们受制于季度盈利周期，这给特斯拉带来了巨大的压力，迫使它做出可能适合某个季度、但不一定适合长期的决定。”</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市场人士如何点评?</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英国券商ActivTrades高级分析师Ricardo Evangelista表示：“截至周二收盘，标普500指数连续第四个交易日上涨，昨天收在2858点上方，已经非常接近1月份创造的历史最高水平。”</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他表示：“在财政改革对企业有利、第二季度财报表现强劲的背景下，投资者似乎并不愿意让这个持续时间最长的牛市逐渐消失。”</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lastRenderedPageBreak/>
        <w:t xml:space="preserve">　　周三没有重要的经济数据公布。里士满联储行长托马斯-巴尔金(Thomas Barkin)周三表示，</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当失业率较低，并且通胀率实际上正处于美联储目标水平的时候，很难说让利率低于正常水平是合适的做法。如下情况会构成进一步逐步加息的理由：尽管联邦公开市场委员会已经开始加息，但利率尚未恢复到正常水平，”他在弗吉尼亚州Roanoke发表的演讲中表示。</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“我们不想冒险失信于维持通胀在低而稳定水平上的承诺。这意味着，当经济状况需要利率恢复到正常水平时，就像我刚刚描述的情况一样，那我们就应该满足经济形势的需要，”他说道。</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“鉴于基础经济状况的强劲和最近额外实施的财政刺激措施，政策正常化的风险降低了。最终需要多高的利率取决于经济增长情况。”</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关于加密货币，巴尔金称其还没有“你希望一种货币所应当享有的保护”。他说，很难想象这种不受政府担保、而是由一群陌生人担保的东西被用作货币。</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焦点关注个股</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特斯拉(TSLA)</w:t>
      </w:r>
      <w:proofErr w:type="gramStart"/>
      <w:r w:rsidRPr="00C05C70">
        <w:rPr>
          <w:rFonts w:ascii="华文仿宋" w:eastAsia="华文仿宋" w:hAnsi="华文仿宋"/>
          <w:sz w:val="28"/>
          <w:szCs w:val="28"/>
        </w:rPr>
        <w:t>收跌</w:t>
      </w:r>
      <w:proofErr w:type="gramEnd"/>
      <w:r w:rsidRPr="00C05C70">
        <w:rPr>
          <w:rFonts w:ascii="华文仿宋" w:eastAsia="华文仿宋" w:hAnsi="华文仿宋"/>
          <w:sz w:val="28"/>
          <w:szCs w:val="28"/>
        </w:rPr>
        <w:t>2.43%。该公司CEO马斯克在周二</w:t>
      </w:r>
      <w:proofErr w:type="gramStart"/>
      <w:r w:rsidRPr="00C05C70">
        <w:rPr>
          <w:rFonts w:ascii="华文仿宋" w:eastAsia="华文仿宋" w:hAnsi="华文仿宋"/>
          <w:sz w:val="28"/>
          <w:szCs w:val="28"/>
        </w:rPr>
        <w:t>晚间宣布</w:t>
      </w:r>
      <w:proofErr w:type="gramEnd"/>
      <w:r w:rsidRPr="00C05C70">
        <w:rPr>
          <w:rFonts w:ascii="华文仿宋" w:eastAsia="华文仿宋" w:hAnsi="华文仿宋"/>
          <w:sz w:val="28"/>
          <w:szCs w:val="28"/>
        </w:rPr>
        <w:t>正在考虑将特斯拉以每股420美元的价格私有化，甚至还暗示他有的是融资渠道。但也有一些特斯拉的观察家怀疑该主张的真实性。</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Snap(12.23, -0.89, -6.78%)(SNAP)</w:t>
      </w:r>
      <w:proofErr w:type="gramStart"/>
      <w:r w:rsidRPr="00C05C70">
        <w:rPr>
          <w:rFonts w:ascii="华文仿宋" w:eastAsia="华文仿宋" w:hAnsi="华文仿宋"/>
          <w:sz w:val="28"/>
          <w:szCs w:val="28"/>
        </w:rPr>
        <w:t>收跌</w:t>
      </w:r>
      <w:proofErr w:type="gramEnd"/>
      <w:r w:rsidRPr="00C05C70">
        <w:rPr>
          <w:rFonts w:ascii="华文仿宋" w:eastAsia="华文仿宋" w:hAnsi="华文仿宋"/>
          <w:sz w:val="28"/>
          <w:szCs w:val="28"/>
        </w:rPr>
        <w:t>6.78%。该公司公布了首个季度业绩指引，同时宣布其用户数量下降。</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lastRenderedPageBreak/>
        <w:t xml:space="preserve">　　Salesforce(145.17, 0.73,0.51%).com(CRM)收高0.51%。该公司周二晚间出人意料的宣布提升COO Keith Block为联席CEO。该公司的另一名现任CEO是公司创始人Marc Benioff。</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迪斯尼(DIS)</w:t>
      </w:r>
      <w:proofErr w:type="gramStart"/>
      <w:r w:rsidRPr="00C05C70">
        <w:rPr>
          <w:rFonts w:ascii="华文仿宋" w:eastAsia="华文仿宋" w:hAnsi="华文仿宋"/>
          <w:sz w:val="28"/>
          <w:szCs w:val="28"/>
        </w:rPr>
        <w:t>收跌</w:t>
      </w:r>
      <w:proofErr w:type="gramEnd"/>
      <w:r w:rsidRPr="00C05C70">
        <w:rPr>
          <w:rFonts w:ascii="华文仿宋" w:eastAsia="华文仿宋" w:hAnsi="华文仿宋"/>
          <w:sz w:val="28"/>
          <w:szCs w:val="28"/>
        </w:rPr>
        <w:t>2.21%。该公司周二宣布业绩低于预期。</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其他市场表现如何?</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周三上证综合</w:t>
      </w:r>
      <w:proofErr w:type="gramStart"/>
      <w:r w:rsidRPr="00C05C70">
        <w:rPr>
          <w:rFonts w:ascii="华文仿宋" w:eastAsia="华文仿宋" w:hAnsi="华文仿宋"/>
          <w:sz w:val="28"/>
          <w:szCs w:val="28"/>
        </w:rPr>
        <w:t>指数收跌</w:t>
      </w:r>
      <w:proofErr w:type="gramEnd"/>
      <w:r w:rsidRPr="00C05C70">
        <w:rPr>
          <w:rFonts w:ascii="华文仿宋" w:eastAsia="华文仿宋" w:hAnsi="华文仿宋"/>
          <w:sz w:val="28"/>
          <w:szCs w:val="28"/>
        </w:rPr>
        <w:t>1.3%。深圳A股指</w:t>
      </w:r>
      <w:proofErr w:type="gramStart"/>
      <w:r w:rsidRPr="00C05C70">
        <w:rPr>
          <w:rFonts w:ascii="华文仿宋" w:eastAsia="华文仿宋" w:hAnsi="华文仿宋"/>
          <w:sz w:val="28"/>
          <w:szCs w:val="28"/>
        </w:rPr>
        <w:t>数收跌</w:t>
      </w:r>
      <w:proofErr w:type="gramEnd"/>
      <w:r w:rsidRPr="00C05C70">
        <w:rPr>
          <w:rFonts w:ascii="华文仿宋" w:eastAsia="华文仿宋" w:hAnsi="华文仿宋"/>
          <w:sz w:val="28"/>
          <w:szCs w:val="28"/>
        </w:rPr>
        <w:t>1.9%。欧洲股市方面，欧洲泛欧绩优300</w:t>
      </w:r>
      <w:proofErr w:type="gramStart"/>
      <w:r w:rsidRPr="00C05C70">
        <w:rPr>
          <w:rFonts w:ascii="华文仿宋" w:eastAsia="华文仿宋" w:hAnsi="华文仿宋"/>
          <w:sz w:val="28"/>
          <w:szCs w:val="28"/>
        </w:rPr>
        <w:t>指数收跌</w:t>
      </w:r>
      <w:proofErr w:type="gramEnd"/>
      <w:r w:rsidRPr="00C05C70">
        <w:rPr>
          <w:rFonts w:ascii="华文仿宋" w:eastAsia="华文仿宋" w:hAnsi="华文仿宋"/>
          <w:sz w:val="28"/>
          <w:szCs w:val="28"/>
        </w:rPr>
        <w:t>0.24%;英国富时100指数收涨0.7%;德国DAX</w:t>
      </w:r>
      <w:proofErr w:type="gramStart"/>
      <w:r w:rsidRPr="00C05C70">
        <w:rPr>
          <w:rFonts w:ascii="华文仿宋" w:eastAsia="华文仿宋" w:hAnsi="华文仿宋"/>
          <w:sz w:val="28"/>
          <w:szCs w:val="28"/>
        </w:rPr>
        <w:t>指数收跌</w:t>
      </w:r>
      <w:proofErr w:type="gramEnd"/>
      <w:r w:rsidRPr="00C05C70">
        <w:rPr>
          <w:rFonts w:ascii="华文仿宋" w:eastAsia="华文仿宋" w:hAnsi="华文仿宋"/>
          <w:sz w:val="28"/>
          <w:szCs w:val="28"/>
        </w:rPr>
        <w:t>0.2%;法国CAC</w:t>
      </w:r>
      <w:proofErr w:type="gramStart"/>
      <w:r w:rsidRPr="00C05C70">
        <w:rPr>
          <w:rFonts w:ascii="华文仿宋" w:eastAsia="华文仿宋" w:hAnsi="华文仿宋"/>
          <w:sz w:val="28"/>
          <w:szCs w:val="28"/>
        </w:rPr>
        <w:t>指数收跌</w:t>
      </w:r>
      <w:proofErr w:type="gramEnd"/>
      <w:r w:rsidRPr="00C05C70">
        <w:rPr>
          <w:rFonts w:ascii="华文仿宋" w:eastAsia="华文仿宋" w:hAnsi="华文仿宋"/>
          <w:sz w:val="28"/>
          <w:szCs w:val="28"/>
        </w:rPr>
        <w:t>0.4%;西班牙IBEX</w:t>
      </w:r>
      <w:proofErr w:type="gramStart"/>
      <w:r w:rsidRPr="00C05C70">
        <w:rPr>
          <w:rFonts w:ascii="华文仿宋" w:eastAsia="华文仿宋" w:hAnsi="华文仿宋"/>
          <w:sz w:val="28"/>
          <w:szCs w:val="28"/>
        </w:rPr>
        <w:t>指数收跌</w:t>
      </w:r>
      <w:proofErr w:type="gramEnd"/>
      <w:r w:rsidRPr="00C05C70">
        <w:rPr>
          <w:rFonts w:ascii="华文仿宋" w:eastAsia="华文仿宋" w:hAnsi="华文仿宋"/>
          <w:sz w:val="28"/>
          <w:szCs w:val="28"/>
        </w:rPr>
        <w:t>0.3%。</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纽约商品交易所12月交割的黄金期货价格上涨2.70美元，涨幅0.2%，收于1221美元/盎司。这是金价连续第二个交易日上涨，并且是7月25日以来的最长连续上涨时间。不过，目前黄金期货价格仍处在接近于今年迄今最低的水平。</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9月份交割的白银期货价格上涨5.9美分，涨幅0.4%，收于15.432美元/盎司。</w:t>
      </w:r>
    </w:p>
    <w:p w:rsidR="00150B7B" w:rsidRPr="00C05C70" w:rsidRDefault="00150B7B" w:rsidP="00150B7B">
      <w:pPr>
        <w:pStyle w:val="aa"/>
        <w:rPr>
          <w:rFonts w:ascii="华文仿宋" w:eastAsia="华文仿宋" w:hAnsi="华文仿宋"/>
          <w:sz w:val="28"/>
          <w:szCs w:val="28"/>
        </w:rPr>
      </w:pPr>
      <w:r w:rsidRPr="00C05C70">
        <w:rPr>
          <w:rFonts w:ascii="华文仿宋" w:eastAsia="华文仿宋" w:hAnsi="华文仿宋"/>
          <w:sz w:val="28"/>
          <w:szCs w:val="28"/>
        </w:rPr>
        <w:t xml:space="preserve">　　美国9月交割的西德州中质原油(WTI)期货</w:t>
      </w:r>
      <w:proofErr w:type="gramStart"/>
      <w:r w:rsidRPr="00C05C70">
        <w:rPr>
          <w:rFonts w:ascii="华文仿宋" w:eastAsia="华文仿宋" w:hAnsi="华文仿宋"/>
          <w:sz w:val="28"/>
          <w:szCs w:val="28"/>
        </w:rPr>
        <w:t>价格收跌</w:t>
      </w:r>
      <w:proofErr w:type="gramEnd"/>
      <w:r w:rsidRPr="00C05C70">
        <w:rPr>
          <w:rFonts w:ascii="华文仿宋" w:eastAsia="华文仿宋" w:hAnsi="华文仿宋"/>
          <w:sz w:val="28"/>
          <w:szCs w:val="28"/>
        </w:rPr>
        <w:t>2.23美元，跌幅3.2%，收于66.94美元/桶，为近7周以来的最低收盘价。</w:t>
      </w:r>
    </w:p>
    <w:p w:rsidR="00150B7B" w:rsidRPr="00C05C70" w:rsidRDefault="00150B7B" w:rsidP="00150B7B">
      <w:pPr>
        <w:pStyle w:val="aa"/>
        <w:ind w:firstLineChars="200" w:firstLine="560"/>
        <w:rPr>
          <w:rFonts w:ascii="华文仿宋" w:eastAsia="华文仿宋" w:hAnsi="华文仿宋"/>
          <w:sz w:val="28"/>
          <w:szCs w:val="28"/>
        </w:rPr>
      </w:pPr>
    </w:p>
    <w:p w:rsidR="00150B7B" w:rsidRDefault="00150B7B" w:rsidP="00150B7B">
      <w:pPr>
        <w:pStyle w:val="aa"/>
        <w:ind w:firstLineChars="200" w:firstLine="560"/>
        <w:rPr>
          <w:rFonts w:ascii="华文仿宋" w:eastAsia="华文仿宋" w:hAnsi="华文仿宋"/>
          <w:sz w:val="28"/>
          <w:szCs w:val="28"/>
        </w:rPr>
      </w:pPr>
    </w:p>
    <w:p w:rsidR="00150B7B" w:rsidRDefault="00150B7B" w:rsidP="00150B7B">
      <w:pPr>
        <w:pStyle w:val="aa"/>
        <w:ind w:firstLineChars="200" w:firstLine="560"/>
        <w:rPr>
          <w:rFonts w:ascii="华文仿宋" w:eastAsia="华文仿宋" w:hAnsi="华文仿宋"/>
          <w:sz w:val="28"/>
          <w:szCs w:val="28"/>
        </w:rPr>
      </w:pPr>
    </w:p>
    <w:p w:rsidR="00150B7B" w:rsidRDefault="00150B7B" w:rsidP="00150B7B">
      <w:pPr>
        <w:pStyle w:val="aa"/>
        <w:ind w:firstLineChars="100" w:firstLine="281"/>
        <w:outlineLvl w:val="1"/>
        <w:rPr>
          <w:rFonts w:ascii="黑体" w:eastAsia="黑体"/>
          <w:b/>
          <w:sz w:val="28"/>
          <w:szCs w:val="28"/>
        </w:rPr>
      </w:pPr>
      <w:bookmarkStart w:id="20" w:name="_Toc504051941"/>
      <w:r>
        <w:rPr>
          <w:rFonts w:ascii="黑体" w:eastAsia="黑体" w:hint="eastAsia"/>
          <w:b/>
          <w:sz w:val="28"/>
          <w:szCs w:val="28"/>
        </w:rPr>
        <w:t>3、世界经济形势</w:t>
      </w:r>
      <w:bookmarkEnd w:id="20"/>
    </w:p>
    <w:p w:rsidR="00150B7B" w:rsidRDefault="00150B7B" w:rsidP="00150B7B">
      <w:pPr>
        <w:pStyle w:val="aa"/>
        <w:ind w:firstLineChars="200" w:firstLine="560"/>
        <w:rPr>
          <w:rFonts w:ascii="华文仿宋" w:eastAsia="华文仿宋" w:hAnsi="华文仿宋"/>
          <w:sz w:val="28"/>
          <w:szCs w:val="28"/>
        </w:rPr>
      </w:pPr>
      <w:r w:rsidRPr="007F75E2">
        <w:rPr>
          <w:rFonts w:ascii="华文仿宋" w:eastAsia="华文仿宋" w:hAnsi="华文仿宋" w:hint="eastAsia"/>
          <w:sz w:val="28"/>
          <w:szCs w:val="28"/>
        </w:rPr>
        <w:lastRenderedPageBreak/>
        <w:t>美国白宫8月6日发表声明，宣布美国将于7日</w:t>
      </w:r>
      <w:proofErr w:type="gramStart"/>
      <w:r w:rsidRPr="007F75E2">
        <w:rPr>
          <w:rFonts w:ascii="华文仿宋" w:eastAsia="华文仿宋" w:hAnsi="华文仿宋" w:hint="eastAsia"/>
          <w:sz w:val="28"/>
          <w:szCs w:val="28"/>
        </w:rPr>
        <w:t>重启对伊朗</w:t>
      </w:r>
      <w:proofErr w:type="gramEnd"/>
      <w:r w:rsidRPr="007F75E2">
        <w:rPr>
          <w:rFonts w:ascii="华文仿宋" w:eastAsia="华文仿宋" w:hAnsi="华文仿宋" w:hint="eastAsia"/>
          <w:sz w:val="28"/>
          <w:szCs w:val="28"/>
        </w:rPr>
        <w:t>金融、金属、矿产、汽车等一系列非能源领域制裁。</w:t>
      </w:r>
      <w:r w:rsidRPr="007F75E2">
        <w:rPr>
          <w:rFonts w:ascii="华文仿宋" w:eastAsia="华文仿宋" w:hAnsi="华文仿宋" w:hint="eastAsia"/>
          <w:sz w:val="28"/>
          <w:szCs w:val="28"/>
        </w:rPr>
        <w:br/>
        <w:t xml:space="preserve">　　分析人士指出，美国不顾各方</w:t>
      </w:r>
      <w:proofErr w:type="gramStart"/>
      <w:r w:rsidRPr="007F75E2">
        <w:rPr>
          <w:rFonts w:ascii="华文仿宋" w:eastAsia="华文仿宋" w:hAnsi="华文仿宋" w:hint="eastAsia"/>
          <w:sz w:val="28"/>
          <w:szCs w:val="28"/>
        </w:rPr>
        <w:t>反对重启对</w:t>
      </w:r>
      <w:proofErr w:type="gramEnd"/>
      <w:r w:rsidRPr="007F75E2">
        <w:rPr>
          <w:rFonts w:ascii="华文仿宋" w:eastAsia="华文仿宋" w:hAnsi="华文仿宋" w:hint="eastAsia"/>
          <w:sz w:val="28"/>
          <w:szCs w:val="28"/>
        </w:rPr>
        <w:t>伊制裁，不仅无助于伊核问题的解决，更将导致美伊关系进一步恶化，地区局势以及美国与欧洲盟友关系也将不可避免受到影响。</w:t>
      </w:r>
      <w:r w:rsidRPr="007F75E2">
        <w:rPr>
          <w:rFonts w:ascii="华文仿宋" w:eastAsia="华文仿宋" w:hAnsi="华文仿宋" w:hint="eastAsia"/>
          <w:sz w:val="28"/>
          <w:szCs w:val="28"/>
        </w:rPr>
        <w:br/>
        <w:t xml:space="preserve">　　</w:t>
      </w:r>
      <w:r w:rsidRPr="007F75E2">
        <w:rPr>
          <w:rFonts w:ascii="华文仿宋" w:eastAsia="华文仿宋" w:hAnsi="华文仿宋" w:hint="eastAsia"/>
          <w:bCs/>
          <w:sz w:val="28"/>
          <w:szCs w:val="28"/>
        </w:rPr>
        <w:t>意在“极限施压”</w:t>
      </w:r>
      <w:r w:rsidRPr="007F75E2">
        <w:rPr>
          <w:rFonts w:ascii="华文仿宋" w:eastAsia="华文仿宋" w:hAnsi="华文仿宋" w:hint="eastAsia"/>
          <w:sz w:val="28"/>
          <w:szCs w:val="28"/>
        </w:rPr>
        <w:br/>
        <w:t xml:space="preserve">　　根据白宫的声明，此次制裁将涉及伊朗政府购买美元，黄金等贵金属交易，工业用石墨、钢、铝、煤炭和软件，与伊朗货币相关交易，与伊朗政府发行主权债务相关活动，伊朗汽车行业。美国还将于11月5日</w:t>
      </w:r>
      <w:proofErr w:type="gramStart"/>
      <w:r w:rsidRPr="007F75E2">
        <w:rPr>
          <w:rFonts w:ascii="华文仿宋" w:eastAsia="华文仿宋" w:hAnsi="华文仿宋" w:hint="eastAsia"/>
          <w:sz w:val="28"/>
          <w:szCs w:val="28"/>
        </w:rPr>
        <w:t>重启对伊朗</w:t>
      </w:r>
      <w:proofErr w:type="gramEnd"/>
      <w:r w:rsidRPr="007F75E2">
        <w:rPr>
          <w:rFonts w:ascii="华文仿宋" w:eastAsia="华文仿宋" w:hAnsi="华文仿宋" w:hint="eastAsia"/>
          <w:sz w:val="28"/>
          <w:szCs w:val="28"/>
        </w:rPr>
        <w:t>的其他制裁，涉及伊朗港口运营商，能源、航运和造船行业，石油类交易，外国金融机构与伊朗央行交易。</w:t>
      </w:r>
      <w:r w:rsidRPr="007F75E2">
        <w:rPr>
          <w:rFonts w:ascii="华文仿宋" w:eastAsia="华文仿宋" w:hAnsi="华文仿宋" w:hint="eastAsia"/>
          <w:sz w:val="28"/>
          <w:szCs w:val="28"/>
        </w:rPr>
        <w:br/>
        <w:t xml:space="preserve">　　专家认为，美国在制裁领域的选择上是有讲究的。美国国务院前中东事务高级官员韦恩·怀特说，美国在之前威胁的制裁范围之外又追加了对伊朗金属、货币、主权债务等多个领域的制裁，其目的是在更广泛的范围内干扰伊朗的工业和金融体系。美国华盛顿近东政策研究所资深研究员戴维·波洛克指出，金融制裁是此次制裁中最重要的，伊朗将因此无法购买美元，从而很难在美元主导的世界贸易体系中进行国际贸易。</w:t>
      </w:r>
      <w:r w:rsidRPr="007F75E2">
        <w:rPr>
          <w:rFonts w:ascii="华文仿宋" w:eastAsia="华文仿宋" w:hAnsi="华文仿宋" w:hint="eastAsia"/>
          <w:sz w:val="28"/>
          <w:szCs w:val="28"/>
        </w:rPr>
        <w:br/>
        <w:t xml:space="preserve">　　不过值得注意的是，美国在重启制裁时分了两个阶段进行，对伊朗至关重要的能源领域被放在了第二阶段制裁里。同时，一名美政府高官6日在电话吹风会上对媒体表示，美国</w:t>
      </w:r>
      <w:proofErr w:type="gramStart"/>
      <w:r w:rsidRPr="007F75E2">
        <w:rPr>
          <w:rFonts w:ascii="华文仿宋" w:eastAsia="华文仿宋" w:hAnsi="华文仿宋" w:hint="eastAsia"/>
          <w:sz w:val="28"/>
          <w:szCs w:val="28"/>
        </w:rPr>
        <w:t>重启对伊</w:t>
      </w:r>
      <w:proofErr w:type="gramEnd"/>
      <w:r w:rsidRPr="007F75E2">
        <w:rPr>
          <w:rFonts w:ascii="华文仿宋" w:eastAsia="华文仿宋" w:hAnsi="华文仿宋" w:hint="eastAsia"/>
          <w:sz w:val="28"/>
          <w:szCs w:val="28"/>
        </w:rPr>
        <w:t>制裁并不谋求在伊朗推动政权更迭，只是希望改变伊朗政府的行为，特朗普总统准备“随时”同伊朗领导人见面，并最终签署新的伊核问题协议。</w:t>
      </w:r>
      <w:r w:rsidRPr="007F75E2">
        <w:rPr>
          <w:rFonts w:ascii="华文仿宋" w:eastAsia="华文仿宋" w:hAnsi="华文仿宋" w:hint="eastAsia"/>
          <w:sz w:val="28"/>
          <w:szCs w:val="28"/>
        </w:rPr>
        <w:br/>
      </w:r>
      <w:r w:rsidRPr="007F75E2">
        <w:rPr>
          <w:rFonts w:ascii="华文仿宋" w:eastAsia="华文仿宋" w:hAnsi="华文仿宋" w:hint="eastAsia"/>
          <w:sz w:val="28"/>
          <w:szCs w:val="28"/>
        </w:rPr>
        <w:lastRenderedPageBreak/>
        <w:t xml:space="preserve">　　分析人士指出，美国一方面重启大规模制裁措施，一方面又留下一定余地，还抛出愿意谈判的橄榄枝，这与特朗普政府此前在其他问题上采取的“极限施压”策略如出一辙，意在通过施压逼迫对手做出让步从而达到自身目的。</w:t>
      </w:r>
      <w:r w:rsidRPr="007F75E2">
        <w:rPr>
          <w:rFonts w:ascii="华文仿宋" w:eastAsia="华文仿宋" w:hAnsi="华文仿宋" w:hint="eastAsia"/>
          <w:sz w:val="28"/>
          <w:szCs w:val="28"/>
        </w:rPr>
        <w:br/>
        <w:t xml:space="preserve">　</w:t>
      </w:r>
      <w:r w:rsidRPr="007F75E2">
        <w:rPr>
          <w:rFonts w:ascii="华文仿宋" w:eastAsia="华文仿宋" w:hAnsi="华文仿宋" w:hint="eastAsia"/>
          <w:b/>
          <w:bCs/>
          <w:sz w:val="28"/>
          <w:szCs w:val="28"/>
        </w:rPr>
        <w:t xml:space="preserve">　</w:t>
      </w:r>
      <w:r w:rsidRPr="007F75E2">
        <w:rPr>
          <w:rFonts w:ascii="华文仿宋" w:eastAsia="华文仿宋" w:hAnsi="华文仿宋" w:hint="eastAsia"/>
          <w:bCs/>
          <w:sz w:val="28"/>
          <w:szCs w:val="28"/>
        </w:rPr>
        <w:t>威胁地区安全</w:t>
      </w:r>
      <w:r w:rsidRPr="007F75E2">
        <w:rPr>
          <w:rFonts w:ascii="华文仿宋" w:eastAsia="华文仿宋" w:hAnsi="华文仿宋" w:hint="eastAsia"/>
          <w:sz w:val="28"/>
          <w:szCs w:val="28"/>
        </w:rPr>
        <w:br/>
        <w:t xml:space="preserve">　　不过伊朗面对美国的施压并未就此屈服。伊朗总统鲁哈尼6日晚表示，美国应该停止威胁，如果要与伊朗谈判，就应拿出诚意。他说，伊朗人民团结一致，将挫败美国的制裁措施。美国无论过去、现在还是将来，都无法通过这种方式让伊朗人民屈服。</w:t>
      </w:r>
      <w:r w:rsidRPr="007F75E2">
        <w:rPr>
          <w:rFonts w:ascii="华文仿宋" w:eastAsia="华文仿宋" w:hAnsi="华文仿宋" w:hint="eastAsia"/>
          <w:sz w:val="28"/>
          <w:szCs w:val="28"/>
        </w:rPr>
        <w:br/>
        <w:t xml:space="preserve">　　同时，伊朗还在经济和军事等方面采取措施加以应对。伊朗官方媒体伊斯兰共和国通讯社6日发布消息称，伊朗央行将从7日起实施一系列放松外汇管制的措施。伊朗央行行长赫马蒂表示，央行将实行有管理的浮动汇率制度，以避免政府为支撑本币汇率稳定而动用过多的外汇储备。他说，新措施显现伊朗应对美国制裁的自信。</w:t>
      </w:r>
      <w:r w:rsidRPr="007F75E2">
        <w:rPr>
          <w:rFonts w:ascii="华文仿宋" w:eastAsia="华文仿宋" w:hAnsi="华文仿宋" w:hint="eastAsia"/>
          <w:sz w:val="28"/>
          <w:szCs w:val="28"/>
        </w:rPr>
        <w:br/>
        <w:t xml:space="preserve">　　伊朗媒体5日援引伊朗伊斯兰革命卫队发言人的话证实，革命卫队海军近期在波斯湾进行了军事演习。鲁哈尼此前也曾暗示，如果伊朗原油出口被封杀，伊朗有可能封锁霍尔木兹海峡。而这一海峡是海湾石油输出的咽喉通道。</w:t>
      </w:r>
      <w:r w:rsidRPr="007F75E2">
        <w:rPr>
          <w:rFonts w:ascii="华文仿宋" w:eastAsia="华文仿宋" w:hAnsi="华文仿宋" w:hint="eastAsia"/>
          <w:sz w:val="28"/>
          <w:szCs w:val="28"/>
        </w:rPr>
        <w:br/>
        <w:t xml:space="preserve">　　分析人士指出，以伊朗表现出的强硬姿态来看，美国的“极限施压”未必能压服伊朗。如果伊朗被迫采取封锁霍尔木兹海峡和退出伊核协议等激进措施，将给地区安全造成极大影响，并使伊核问题再生变故。</w:t>
      </w:r>
      <w:r w:rsidRPr="007F75E2">
        <w:rPr>
          <w:rFonts w:ascii="华文仿宋" w:eastAsia="华文仿宋" w:hAnsi="华文仿宋" w:hint="eastAsia"/>
          <w:sz w:val="28"/>
          <w:szCs w:val="28"/>
        </w:rPr>
        <w:br/>
        <w:t xml:space="preserve">　　</w:t>
      </w:r>
      <w:r w:rsidRPr="007F75E2">
        <w:rPr>
          <w:rFonts w:ascii="华文仿宋" w:eastAsia="华文仿宋" w:hAnsi="华文仿宋" w:hint="eastAsia"/>
          <w:bCs/>
          <w:sz w:val="28"/>
          <w:szCs w:val="28"/>
        </w:rPr>
        <w:t>遭到普遍反对</w:t>
      </w:r>
      <w:r w:rsidRPr="007F75E2">
        <w:rPr>
          <w:rFonts w:ascii="华文仿宋" w:eastAsia="华文仿宋" w:hAnsi="华文仿宋" w:hint="eastAsia"/>
          <w:sz w:val="28"/>
          <w:szCs w:val="28"/>
        </w:rPr>
        <w:br/>
        <w:t xml:space="preserve">　　事实上，美国退出伊核协议</w:t>
      </w:r>
      <w:proofErr w:type="gramStart"/>
      <w:r w:rsidRPr="007F75E2">
        <w:rPr>
          <w:rFonts w:ascii="华文仿宋" w:eastAsia="华文仿宋" w:hAnsi="华文仿宋" w:hint="eastAsia"/>
          <w:sz w:val="28"/>
          <w:szCs w:val="28"/>
        </w:rPr>
        <w:t>并重启对伊</w:t>
      </w:r>
      <w:proofErr w:type="gramEnd"/>
      <w:r w:rsidRPr="007F75E2">
        <w:rPr>
          <w:rFonts w:ascii="华文仿宋" w:eastAsia="华文仿宋" w:hAnsi="华文仿宋" w:hint="eastAsia"/>
          <w:sz w:val="28"/>
          <w:szCs w:val="28"/>
        </w:rPr>
        <w:t>制裁的行为遭到国际社会普遍反对。国际舆论认为，伊核协议化解了伊核危机，对维护国际核不扩散体系发挥了积极</w:t>
      </w:r>
      <w:r w:rsidRPr="007F75E2">
        <w:rPr>
          <w:rFonts w:ascii="华文仿宋" w:eastAsia="华文仿宋" w:hAnsi="华文仿宋" w:hint="eastAsia"/>
          <w:sz w:val="28"/>
          <w:szCs w:val="28"/>
        </w:rPr>
        <w:lastRenderedPageBreak/>
        <w:t>作用，各方没有理由不支持、不执行。就连许多美国专家也认为美国的举动有害无益。</w:t>
      </w:r>
      <w:r w:rsidRPr="007F75E2">
        <w:rPr>
          <w:rFonts w:ascii="华文仿宋" w:eastAsia="华文仿宋" w:hAnsi="华文仿宋" w:hint="eastAsia"/>
          <w:sz w:val="28"/>
          <w:szCs w:val="28"/>
        </w:rPr>
        <w:br/>
        <w:t xml:space="preserve">　　新美国安全中心兼职高级研究员彼得·哈雷尔认为，国际社会普遍反对美国退出伊核协议，没有多少国家会支持美国重启制裁。华盛顿将不会为自己的行为找到政治支持，重启单边制裁所付出的外交代价将可能远高于得益。</w:t>
      </w:r>
      <w:r w:rsidRPr="007F75E2">
        <w:rPr>
          <w:rFonts w:ascii="华文仿宋" w:eastAsia="华文仿宋" w:hAnsi="华文仿宋" w:hint="eastAsia"/>
          <w:sz w:val="28"/>
          <w:szCs w:val="28"/>
        </w:rPr>
        <w:br/>
        <w:t xml:space="preserve">　　值得注意的是，美国</w:t>
      </w:r>
      <w:proofErr w:type="gramStart"/>
      <w:r w:rsidRPr="007F75E2">
        <w:rPr>
          <w:rFonts w:ascii="华文仿宋" w:eastAsia="华文仿宋" w:hAnsi="华文仿宋" w:hint="eastAsia"/>
          <w:sz w:val="28"/>
          <w:szCs w:val="28"/>
        </w:rPr>
        <w:t>重启对伊</w:t>
      </w:r>
      <w:proofErr w:type="gramEnd"/>
      <w:r w:rsidRPr="007F75E2">
        <w:rPr>
          <w:rFonts w:ascii="华文仿宋" w:eastAsia="华文仿宋" w:hAnsi="华文仿宋" w:hint="eastAsia"/>
          <w:sz w:val="28"/>
          <w:szCs w:val="28"/>
        </w:rPr>
        <w:t>制裁也遭到了欧洲盟友的强烈反对。欧盟外交和安全政策高级代表莫盖里尼6日与英法德三国外长发表联合声明，对美国即将</w:t>
      </w:r>
      <w:proofErr w:type="gramStart"/>
      <w:r w:rsidRPr="007F75E2">
        <w:rPr>
          <w:rFonts w:ascii="华文仿宋" w:eastAsia="华文仿宋" w:hAnsi="华文仿宋" w:hint="eastAsia"/>
          <w:sz w:val="28"/>
          <w:szCs w:val="28"/>
        </w:rPr>
        <w:t>重启对伊</w:t>
      </w:r>
      <w:proofErr w:type="gramEnd"/>
      <w:r w:rsidRPr="007F75E2">
        <w:rPr>
          <w:rFonts w:ascii="华文仿宋" w:eastAsia="华文仿宋" w:hAnsi="华文仿宋" w:hint="eastAsia"/>
          <w:sz w:val="28"/>
          <w:szCs w:val="28"/>
        </w:rPr>
        <w:t>制裁深表遗憾，称欧盟将从7日起实施反制裁条例，以保护与伊朗开展</w:t>
      </w:r>
      <w:proofErr w:type="gramStart"/>
      <w:r w:rsidRPr="007F75E2">
        <w:rPr>
          <w:rFonts w:ascii="华文仿宋" w:eastAsia="华文仿宋" w:hAnsi="华文仿宋" w:hint="eastAsia"/>
          <w:sz w:val="28"/>
          <w:szCs w:val="28"/>
        </w:rPr>
        <w:t>合法业务</w:t>
      </w:r>
      <w:proofErr w:type="gramEnd"/>
      <w:r w:rsidRPr="007F75E2">
        <w:rPr>
          <w:rFonts w:ascii="华文仿宋" w:eastAsia="华文仿宋" w:hAnsi="华文仿宋" w:hint="eastAsia"/>
          <w:sz w:val="28"/>
          <w:szCs w:val="28"/>
        </w:rPr>
        <w:t>的欧洲公司免受美国域外制裁影响。声明说，伊核协议其余各方将与伊朗维系有效金融渠道，并继续保证伊朗石油和天然气出口。</w:t>
      </w:r>
      <w:r w:rsidRPr="007F75E2">
        <w:rPr>
          <w:rFonts w:ascii="华文仿宋" w:eastAsia="华文仿宋" w:hAnsi="华文仿宋" w:hint="eastAsia"/>
          <w:sz w:val="28"/>
          <w:szCs w:val="28"/>
        </w:rPr>
        <w:br/>
        <w:t xml:space="preserve">　　分析人士指出，欧洲的表态说明，美国重启対伊制裁已触及欧洲的实际利益，双方在伊核问题上的分歧将更加凸显。欧洲的反制裁条例如果得到有效实施，在保护欧洲企业在</w:t>
      </w:r>
      <w:proofErr w:type="gramStart"/>
      <w:r w:rsidRPr="007F75E2">
        <w:rPr>
          <w:rFonts w:ascii="华文仿宋" w:eastAsia="华文仿宋" w:hAnsi="华文仿宋" w:hint="eastAsia"/>
          <w:sz w:val="28"/>
          <w:szCs w:val="28"/>
        </w:rPr>
        <w:t>伊利益</w:t>
      </w:r>
      <w:proofErr w:type="gramEnd"/>
      <w:r w:rsidRPr="007F75E2">
        <w:rPr>
          <w:rFonts w:ascii="华文仿宋" w:eastAsia="华文仿宋" w:hAnsi="华文仿宋" w:hint="eastAsia"/>
          <w:sz w:val="28"/>
          <w:szCs w:val="28"/>
        </w:rPr>
        <w:t>的同时也将大大缓解伊朗受到的经济压力，使美国制裁的效果大打折扣。</w:t>
      </w:r>
    </w:p>
    <w:p w:rsidR="00150B7B" w:rsidRPr="00150B7B" w:rsidRDefault="00150B7B">
      <w:pPr>
        <w:pStyle w:val="aa"/>
        <w:ind w:firstLineChars="200" w:firstLine="560"/>
        <w:rPr>
          <w:rFonts w:ascii="华文仿宋" w:eastAsia="华文仿宋" w:hAnsi="华文仿宋"/>
          <w:sz w:val="28"/>
          <w:szCs w:val="28"/>
        </w:rPr>
      </w:pPr>
    </w:p>
    <w:p w:rsidR="00150B7B" w:rsidRDefault="00150B7B">
      <w:pPr>
        <w:outlineLvl w:val="1"/>
        <w:rPr>
          <w:rFonts w:ascii="宋体" w:hAnsi="宋体" w:cs="Arial"/>
          <w:b/>
          <w:bCs/>
          <w:kern w:val="0"/>
          <w:sz w:val="32"/>
          <w:szCs w:val="32"/>
        </w:rPr>
      </w:pPr>
      <w:r>
        <w:rPr>
          <w:rFonts w:ascii="宋体" w:hAnsi="宋体" w:cs="宋体" w:hint="eastAsia"/>
          <w:b/>
          <w:sz w:val="32"/>
          <w:szCs w:val="32"/>
        </w:rPr>
        <w:t>三</w:t>
      </w:r>
      <w:r>
        <w:rPr>
          <w:rFonts w:ascii="宋体" w:hAnsi="宋体" w:cs="Arial" w:hint="eastAsia"/>
          <w:b/>
          <w:bCs/>
          <w:kern w:val="0"/>
          <w:sz w:val="32"/>
          <w:szCs w:val="32"/>
        </w:rPr>
        <w:t>、2018年3月份全国原油进出口统计数据</w:t>
      </w:r>
      <w:bookmarkEnd w:id="18"/>
    </w:p>
    <w:p w:rsidR="00150B7B" w:rsidRDefault="00150B7B">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单位：千克，美元</w:t>
      </w:r>
    </w:p>
    <w:tbl>
      <w:tblPr>
        <w:tblW w:w="9776" w:type="dxa"/>
        <w:tblLayout w:type="fixed"/>
        <w:tblCellMar>
          <w:top w:w="15" w:type="dxa"/>
          <w:left w:w="15" w:type="dxa"/>
          <w:bottom w:w="15" w:type="dxa"/>
          <w:right w:w="15" w:type="dxa"/>
        </w:tblCellMar>
        <w:tblLook w:val="04A0"/>
      </w:tblPr>
      <w:tblGrid>
        <w:gridCol w:w="2817"/>
        <w:gridCol w:w="1917"/>
        <w:gridCol w:w="1751"/>
        <w:gridCol w:w="1705"/>
        <w:gridCol w:w="1586"/>
      </w:tblGrid>
      <w:tr w:rsidR="00150B7B">
        <w:trPr>
          <w:trHeight w:val="285"/>
        </w:trPr>
        <w:tc>
          <w:tcPr>
            <w:tcW w:w="28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917"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7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70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58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150B7B" w:rsidRDefault="00150B7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也门共和国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139671930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69119063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伊拉克</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54934951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25276930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伊朗</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440303947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199663370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俄罗斯联邦</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1125496577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529265485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刚果</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399235103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171863588</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利比亚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141476160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67854272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加拿大</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76290531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31718391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加纳</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132613900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67604302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加蓬</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88806062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40929256</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南苏丹共和国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86617693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38288189</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卡塔尔</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140308081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68680806</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印度尼西亚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24929000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9956375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厄瓜多尔</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98808670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44149393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台湾省</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哈萨克斯坦</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118464387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50847984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哥伦比亚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73119341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34614401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喀麦隆</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127234200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61054525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埃及</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82456238</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41579207</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墨西哥</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72940642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28952365</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委内瑞拉</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137333838</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52674864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安哥拉</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317024045</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142854940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巴西</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232662507</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114018194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111802311</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47612621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沙特阿拉伯</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393253610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182238617</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41459901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18538310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澳大利亚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78507300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28973271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科威特</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131271500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65493282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124388784</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64927951</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苏丹</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86057871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42347044</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英国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135125522</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69997762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蒙古</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3494580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1533530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赤道几内亚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270410190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132949102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越南</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37323920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19945663</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阿拉伯联合酋长国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132441043</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71192358</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阿曼</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130202825</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61214569</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244574704</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99332431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145169178</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65097431</w:t>
            </w:r>
          </w:p>
        </w:tc>
      </w:tr>
      <w:tr w:rsidR="00150B7B">
        <w:trPr>
          <w:trHeight w:val="285"/>
        </w:trPr>
        <w:tc>
          <w:tcPr>
            <w:tcW w:w="28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马来西亚</w:t>
            </w:r>
          </w:p>
        </w:tc>
        <w:tc>
          <w:tcPr>
            <w:tcW w:w="1917"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146548051</w:t>
            </w:r>
          </w:p>
        </w:tc>
        <w:tc>
          <w:tcPr>
            <w:tcW w:w="1751"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63398782</w:t>
            </w:r>
          </w:p>
        </w:tc>
        <w:tc>
          <w:tcPr>
            <w:tcW w:w="1705"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586" w:type="dxa"/>
            <w:tcBorders>
              <w:top w:val="single" w:sz="4" w:space="0" w:color="000000"/>
              <w:left w:val="single" w:sz="4" w:space="0" w:color="000000"/>
              <w:bottom w:val="single" w:sz="4" w:space="0" w:color="000000"/>
              <w:right w:val="single" w:sz="4" w:space="0" w:color="000000"/>
            </w:tcBorders>
            <w:vAlign w:val="center"/>
          </w:tcPr>
          <w:p w:rsidR="00150B7B" w:rsidRDefault="00150B7B">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bl>
    <w:p w:rsidR="00150B7B" w:rsidRDefault="00150B7B">
      <w:pPr>
        <w:widowControl/>
        <w:spacing w:line="260" w:lineRule="atLeast"/>
        <w:jc w:val="center"/>
        <w:rPr>
          <w:rFonts w:ascii="宋体" w:hAnsi="宋体" w:cs="宋体"/>
          <w:b/>
          <w:bCs/>
          <w:kern w:val="0"/>
          <w:szCs w:val="21"/>
        </w:rPr>
      </w:pPr>
    </w:p>
    <w:p w:rsidR="00150B7B" w:rsidRDefault="00150B7B">
      <w:pPr>
        <w:widowControl/>
        <w:spacing w:line="260" w:lineRule="atLeast"/>
        <w:jc w:val="center"/>
        <w:rPr>
          <w:rFonts w:ascii="宋体" w:hAnsi="宋体" w:cs="宋体"/>
          <w:b/>
          <w:bCs/>
          <w:kern w:val="0"/>
          <w:szCs w:val="21"/>
        </w:rPr>
      </w:pPr>
    </w:p>
    <w:p w:rsidR="00150B7B" w:rsidRDefault="00150B7B">
      <w:pPr>
        <w:tabs>
          <w:tab w:val="left" w:pos="798"/>
        </w:tabs>
        <w:outlineLvl w:val="1"/>
        <w:rPr>
          <w:rFonts w:ascii="仿宋_GB2312" w:eastAsia="仿宋_GB2312" w:hAnsi="宋体" w:cs="Arial"/>
          <w:b/>
          <w:bCs/>
          <w:kern w:val="0"/>
          <w:sz w:val="30"/>
          <w:szCs w:val="30"/>
        </w:rPr>
      </w:pPr>
      <w:bookmarkStart w:id="21" w:name="_Toc505350006"/>
    </w:p>
    <w:p w:rsidR="00150B7B" w:rsidRDefault="00150B7B">
      <w:pPr>
        <w:tabs>
          <w:tab w:val="left" w:pos="798"/>
        </w:tabs>
        <w:outlineLvl w:val="1"/>
        <w:rPr>
          <w:rFonts w:ascii="宋体" w:hAnsi="宋体" w:cs="宋体"/>
          <w:b/>
          <w:bCs/>
          <w:kern w:val="0"/>
          <w:sz w:val="32"/>
          <w:szCs w:val="32"/>
        </w:rPr>
      </w:pPr>
      <w:r>
        <w:rPr>
          <w:rFonts w:ascii="宋体" w:hAnsi="宋体" w:cs="宋体" w:hint="eastAsia"/>
          <w:b/>
          <w:bCs/>
          <w:kern w:val="0"/>
          <w:sz w:val="32"/>
          <w:szCs w:val="32"/>
        </w:rPr>
        <w:t>（四）、后市预测</w:t>
      </w:r>
      <w:bookmarkEnd w:id="21"/>
    </w:p>
    <w:p w:rsidR="00150B7B" w:rsidRPr="003E4341" w:rsidRDefault="00150B7B" w:rsidP="00150B7B">
      <w:pPr>
        <w:pStyle w:val="aa"/>
        <w:ind w:firstLineChars="200" w:firstLine="560"/>
        <w:rPr>
          <w:rFonts w:ascii="华文仿宋" w:eastAsia="华文仿宋" w:hAnsi="华文仿宋"/>
          <w:sz w:val="28"/>
          <w:szCs w:val="28"/>
        </w:rPr>
      </w:pPr>
      <w:r>
        <w:rPr>
          <w:rFonts w:ascii="华文仿宋" w:eastAsia="华文仿宋" w:hAnsi="华文仿宋" w:hint="eastAsia"/>
          <w:sz w:val="28"/>
          <w:szCs w:val="28"/>
        </w:rPr>
        <w:t>本周WTI原油价格在66.94-69.17美元/桶，布伦特原油价格在72.28-74.65美元/桶震荡。</w:t>
      </w:r>
      <w:r w:rsidRPr="003E4341">
        <w:rPr>
          <w:rFonts w:ascii="华文仿宋" w:eastAsia="华文仿宋" w:hAnsi="华文仿宋"/>
          <w:sz w:val="28"/>
          <w:szCs w:val="28"/>
        </w:rPr>
        <w:t>周内国际原油市场中受OPEC和俄罗斯等国增产计划稳步推进影响，加之美元强势反弹，中美贸易摩擦升温等利空因素的共同作用，国际原油价格呈</w:t>
      </w:r>
      <w:r w:rsidRPr="003E4341">
        <w:rPr>
          <w:rFonts w:ascii="华文仿宋" w:eastAsia="华文仿宋" w:hAnsi="华文仿宋"/>
          <w:sz w:val="28"/>
          <w:szCs w:val="28"/>
        </w:rPr>
        <w:lastRenderedPageBreak/>
        <w:t>现全面下跌的态势。周内前期，OEPC和俄罗斯增产计划正在稳步推进，这令原油多头忧虑增加，国际油价顺势走低，之后美国库欣地区原油库存继续下滑为油价带来有效支撑，美国原油及成品油库存与历史同期同比处于低位，正值北美夏季出行高峰使季节性需求增加，但供应增加的忧虑情绪仍在升温，同时美元强势反弹也令油价上涨空间受限;周内后期，受到中国需求可能放缓的忧虑拖累，因为中美贸易摩擦升级，中国方面减少了对美国原油的采购，此外，沙特产量稳步增长抵消美国钻井数下降影响、美元企稳反弹也令油价承压，国际油价双双下跌，随后，有消息指出沙特正在控制增产幅度，同时伊朗</w:t>
      </w:r>
      <w:proofErr w:type="gramStart"/>
      <w:r w:rsidRPr="003E4341">
        <w:rPr>
          <w:rFonts w:ascii="华文仿宋" w:eastAsia="华文仿宋" w:hAnsi="华文仿宋"/>
          <w:sz w:val="28"/>
          <w:szCs w:val="28"/>
        </w:rPr>
        <w:t>制裁重启带来</w:t>
      </w:r>
      <w:proofErr w:type="gramEnd"/>
      <w:r w:rsidRPr="003E4341">
        <w:rPr>
          <w:rFonts w:ascii="华文仿宋" w:eastAsia="华文仿宋" w:hAnsi="华文仿宋"/>
          <w:sz w:val="28"/>
          <w:szCs w:val="28"/>
        </w:rPr>
        <w:t>了原油供应面的担忧，这帮助油价适度上涨，不过上行空间依然受限于强势美元，加之EIA库存数据表现一般，原油价格扩大跌幅。此外，美国油服公司贝克休斯(Baker Hughes)周五(8月3日)公布数据显示，截至8月2日当周，美国石油活跃钻井数减少2座至859座，连续第二周录得下降。石油输出国组织(OPEC)公布的2018年6月月度原油市场报告显示，该组织6月原油产量增加17.34万桶/日至3232.7万桶/日。其中，沙特的产量大增405千桶/日至10420万桶/日，因应美国和其它消费国对填补供应缺口和为高企的油价降温的呼吁。整体看来，周内国际原油市场中利空消息占据主导地位，国际油价全面下跌。其中WTI期货本周均价68.51美元/桶，较上周下跌0.66%，较上月下跌3.07%;本周布伦特期货均价73.47美元/桶，较上周下跌0.84%，较上月下跌1.92%。后市预测：目前美国对伊朗的制裁逐步落实，伊朗原油供应下滑风险加大，市场原油供给</w:t>
      </w:r>
      <w:proofErr w:type="gramStart"/>
      <w:r w:rsidRPr="003E4341">
        <w:rPr>
          <w:rFonts w:ascii="华文仿宋" w:eastAsia="华文仿宋" w:hAnsi="华文仿宋"/>
          <w:sz w:val="28"/>
          <w:szCs w:val="28"/>
        </w:rPr>
        <w:t>端紧张</w:t>
      </w:r>
      <w:proofErr w:type="gramEnd"/>
      <w:r w:rsidRPr="003E4341">
        <w:rPr>
          <w:rFonts w:ascii="华文仿宋" w:eastAsia="华文仿宋" w:hAnsi="华文仿宋"/>
          <w:sz w:val="28"/>
          <w:szCs w:val="28"/>
        </w:rPr>
        <w:t>情绪重燃，印度等国或将寻求其他原油来源，眼下OPEC的富余产能也正在被快速消耗殆尽，即使其他OPEC国家全面增产来填补这一空额，也将以减少富余产能空间削弱抗御突发风险能力为代价，美国原油库存大幅下降，此外美国能源署报告预期其原油产量或</w:t>
      </w:r>
      <w:r w:rsidRPr="003E4341">
        <w:rPr>
          <w:rFonts w:ascii="华文仿宋" w:eastAsia="华文仿宋" w:hAnsi="华文仿宋"/>
          <w:sz w:val="28"/>
          <w:szCs w:val="28"/>
        </w:rPr>
        <w:lastRenderedPageBreak/>
        <w:t>将下滑，原油市场基本面数据似乎并没有那么理想，后期油价上涨空间仍然较大，综合而言，市场消息面若无重大利空出现，国际油价或将保持一段上行走势。预计近期WTI原油期货价格在69-72美元/桶之间浮动，布伦特原油期货均价在73-75美元/桶之间浮动。</w:t>
      </w:r>
    </w:p>
    <w:p w:rsidR="00150B7B" w:rsidRPr="00150B7B" w:rsidRDefault="00150B7B" w:rsidP="00FE2871">
      <w:pPr>
        <w:ind w:leftChars="99" w:left="208"/>
        <w:outlineLvl w:val="1"/>
        <w:rPr>
          <w:rFonts w:ascii="仿宋_GB2312" w:eastAsia="仿宋_GB2312" w:hAnsi="宋体" w:cs="Arial"/>
          <w:b/>
          <w:bCs/>
          <w:kern w:val="0"/>
          <w:sz w:val="30"/>
          <w:szCs w:val="30"/>
        </w:rPr>
      </w:pPr>
    </w:p>
    <w:p w:rsidR="00150B7B" w:rsidRDefault="00150B7B">
      <w:pPr>
        <w:spacing w:line="360" w:lineRule="auto"/>
        <w:outlineLvl w:val="0"/>
        <w:rPr>
          <w:rFonts w:ascii="黑体" w:eastAsia="黑体" w:hAnsi="宋体"/>
          <w:b/>
          <w:sz w:val="28"/>
          <w:szCs w:val="28"/>
        </w:rPr>
      </w:pPr>
      <w:bookmarkStart w:id="22" w:name="_Toc505350007"/>
      <w:r>
        <w:rPr>
          <w:rFonts w:ascii="黑体" w:eastAsia="黑体" w:hAnsi="宋体" w:hint="eastAsia"/>
          <w:b/>
          <w:sz w:val="28"/>
          <w:szCs w:val="28"/>
        </w:rPr>
        <w:t>二、 石脑油</w:t>
      </w:r>
      <w:bookmarkEnd w:id="22"/>
    </w:p>
    <w:p w:rsidR="00150B7B" w:rsidRDefault="00150B7B">
      <w:pPr>
        <w:spacing w:line="360" w:lineRule="auto"/>
        <w:outlineLvl w:val="0"/>
        <w:rPr>
          <w:rFonts w:ascii="黑体" w:eastAsia="黑体" w:hAnsi="宋体"/>
          <w:b/>
          <w:sz w:val="28"/>
          <w:szCs w:val="28"/>
        </w:rPr>
      </w:pPr>
    </w:p>
    <w:p w:rsidR="00150B7B" w:rsidRDefault="00150B7B">
      <w:pPr>
        <w:pStyle w:val="2"/>
        <w:spacing w:line="240" w:lineRule="auto"/>
        <w:rPr>
          <w:rFonts w:ascii="宋体" w:hAnsi="宋体" w:cs="Arial"/>
          <w:b w:val="0"/>
          <w:bCs w:val="0"/>
          <w:kern w:val="0"/>
          <w:szCs w:val="28"/>
        </w:rPr>
      </w:pPr>
      <w:bookmarkStart w:id="23" w:name="_Toc460250404"/>
      <w:bookmarkStart w:id="24" w:name="_Toc505350008"/>
      <w:r>
        <w:rPr>
          <w:rFonts w:hint="eastAsia"/>
        </w:rPr>
        <w:t>2. 1</w:t>
      </w:r>
      <w:r>
        <w:rPr>
          <w:rFonts w:hint="eastAsia"/>
          <w:kern w:val="0"/>
        </w:rPr>
        <w:t>国际石脑油市场价格</w:t>
      </w:r>
      <w:bookmarkEnd w:id="13"/>
      <w:bookmarkEnd w:id="14"/>
      <w:bookmarkEnd w:id="23"/>
      <w:bookmarkEnd w:id="24"/>
    </w:p>
    <w:p w:rsidR="00150B7B" w:rsidRDefault="00150B7B">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150B7B" w:rsidRDefault="00150B7B">
      <w:pPr>
        <w:widowControl/>
        <w:rPr>
          <w:rFonts w:ascii="宋体" w:hAnsi="宋体" w:cs="宋体"/>
          <w:sz w:val="20"/>
          <w:szCs w:val="20"/>
        </w:rPr>
      </w:pPr>
    </w:p>
    <w:tbl>
      <w:tblPr>
        <w:tblStyle w:val="af1"/>
        <w:tblW w:w="5000" w:type="pct"/>
        <w:tblLook w:val="04A0"/>
      </w:tblPr>
      <w:tblGrid>
        <w:gridCol w:w="1807"/>
        <w:gridCol w:w="2126"/>
        <w:gridCol w:w="1600"/>
        <w:gridCol w:w="2158"/>
        <w:gridCol w:w="2271"/>
      </w:tblGrid>
      <w:tr w:rsidR="00191D80" w:rsidRPr="00191D80" w:rsidTr="00191D80">
        <w:trPr>
          <w:trHeight w:val="675"/>
        </w:trPr>
        <w:tc>
          <w:tcPr>
            <w:tcW w:w="907" w:type="pct"/>
            <w:shd w:val="clear" w:color="auto" w:fill="00B0F0"/>
            <w:hideMark/>
          </w:tcPr>
          <w:p w:rsidR="00191D80" w:rsidRPr="00262D44" w:rsidRDefault="00191D80" w:rsidP="00191D80">
            <w:pPr>
              <w:widowControl/>
              <w:spacing w:line="390" w:lineRule="atLeast"/>
              <w:rPr>
                <w:rFonts w:ascii="华文仿宋" w:eastAsia="华文仿宋" w:hAnsi="华文仿宋" w:cs="宋体"/>
                <w:color w:val="000000"/>
                <w:kern w:val="0"/>
                <w:sz w:val="28"/>
                <w:szCs w:val="28"/>
              </w:rPr>
            </w:pPr>
            <w:bookmarkStart w:id="25" w:name="_Toc505350009"/>
            <w:bookmarkStart w:id="26" w:name="_Toc296600812"/>
            <w:bookmarkStart w:id="27" w:name="_Toc281568202"/>
            <w:bookmarkStart w:id="28" w:name="_Toc239847715"/>
            <w:bookmarkStart w:id="29" w:name="_Toc460250405"/>
            <w:r w:rsidRPr="00191D80">
              <w:rPr>
                <w:rFonts w:ascii="华文仿宋" w:eastAsia="华文仿宋" w:hAnsi="华文仿宋" w:cs="宋体" w:hint="eastAsia"/>
                <w:color w:val="000000"/>
                <w:kern w:val="0"/>
                <w:sz w:val="28"/>
                <w:szCs w:val="28"/>
              </w:rPr>
              <w:t>8月9日</w:t>
            </w:r>
          </w:p>
        </w:tc>
        <w:tc>
          <w:tcPr>
            <w:tcW w:w="1067" w:type="pct"/>
            <w:shd w:val="clear" w:color="auto" w:fill="00B0F0"/>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低端价（美元/吨）</w:t>
            </w:r>
          </w:p>
        </w:tc>
        <w:tc>
          <w:tcPr>
            <w:tcW w:w="803" w:type="pct"/>
            <w:shd w:val="clear" w:color="auto" w:fill="00B0F0"/>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高端价（美元/吨）</w:t>
            </w:r>
          </w:p>
        </w:tc>
        <w:tc>
          <w:tcPr>
            <w:tcW w:w="1083" w:type="pct"/>
            <w:shd w:val="clear" w:color="auto" w:fill="00B0F0"/>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均价涨跌幅</w:t>
            </w:r>
          </w:p>
        </w:tc>
        <w:tc>
          <w:tcPr>
            <w:tcW w:w="1140" w:type="pct"/>
            <w:shd w:val="clear" w:color="auto" w:fill="00B0F0"/>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美分/加仑</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新加坡</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日本</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阿拉伯海湾</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r>
      <w:tr w:rsidR="00191D80" w:rsidRPr="00191D80" w:rsidTr="00191D80">
        <w:trPr>
          <w:trHeight w:val="67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阿姆斯特丹、鹿特丹、安特卫普到岸价</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628.00</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628.50</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-1.500</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167.914-168.048</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鹿特丹船货价</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624.00</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624.50</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-1.500</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166.845-166.979</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地中海离岸</w:t>
            </w:r>
            <w:r w:rsidRPr="00262D44">
              <w:rPr>
                <w:rFonts w:ascii="华文仿宋" w:eastAsia="华文仿宋" w:hAnsi="华文仿宋" w:cs="宋体" w:hint="eastAsia"/>
                <w:color w:val="000000"/>
                <w:kern w:val="0"/>
                <w:sz w:val="28"/>
                <w:szCs w:val="28"/>
              </w:rPr>
              <w:lastRenderedPageBreak/>
              <w:t>价</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lastRenderedPageBreak/>
              <w:t>612.50</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613.00</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-1.500</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163.770-163.904</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lastRenderedPageBreak/>
              <w:t>热那亚到岸价</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621.25</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621.75</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-1.500</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166.110-166.243</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美国墨西哥湾</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646.93</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647.03</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0.140美分/加仑</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184.790-184.890</w:t>
            </w:r>
          </w:p>
        </w:tc>
      </w:tr>
      <w:tr w:rsidR="00191D80" w:rsidRPr="00191D80" w:rsidTr="00191D80">
        <w:trPr>
          <w:trHeight w:val="285"/>
        </w:trPr>
        <w:tc>
          <w:tcPr>
            <w:tcW w:w="90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加勒比海</w:t>
            </w:r>
          </w:p>
        </w:tc>
        <w:tc>
          <w:tcPr>
            <w:tcW w:w="1067"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80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083"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c>
          <w:tcPr>
            <w:tcW w:w="1140" w:type="pct"/>
            <w:hideMark/>
          </w:tcPr>
          <w:p w:rsidR="00191D80" w:rsidRPr="00262D44" w:rsidRDefault="00191D80" w:rsidP="00191D80">
            <w:pPr>
              <w:widowControl/>
              <w:spacing w:line="390" w:lineRule="atLeast"/>
              <w:jc w:val="center"/>
              <w:rPr>
                <w:rFonts w:ascii="华文仿宋" w:eastAsia="华文仿宋" w:hAnsi="华文仿宋" w:cs="宋体"/>
                <w:color w:val="000000"/>
                <w:kern w:val="0"/>
                <w:sz w:val="28"/>
                <w:szCs w:val="28"/>
              </w:rPr>
            </w:pPr>
            <w:r w:rsidRPr="00262D44">
              <w:rPr>
                <w:rFonts w:ascii="华文仿宋" w:eastAsia="华文仿宋" w:hAnsi="华文仿宋" w:cs="宋体" w:hint="eastAsia"/>
                <w:color w:val="000000"/>
                <w:kern w:val="0"/>
                <w:sz w:val="28"/>
                <w:szCs w:val="28"/>
              </w:rPr>
              <w:t>-</w:t>
            </w:r>
          </w:p>
        </w:tc>
      </w:tr>
    </w:tbl>
    <w:p w:rsidR="00150B7B" w:rsidRDefault="00150B7B">
      <w:pPr>
        <w:pStyle w:val="2"/>
        <w:spacing w:line="240" w:lineRule="auto"/>
        <w:rPr>
          <w:rFonts w:ascii="华文仿宋" w:eastAsia="华文仿宋" w:hAnsi="华文仿宋" w:cs="宋体"/>
          <w:b w:val="0"/>
          <w:bCs w:val="0"/>
          <w:kern w:val="0"/>
          <w:szCs w:val="28"/>
        </w:rPr>
      </w:pPr>
    </w:p>
    <w:p w:rsidR="00150B7B" w:rsidRDefault="00150B7B">
      <w:pPr>
        <w:rPr>
          <w:rFonts w:ascii="华文仿宋" w:eastAsia="华文仿宋" w:hAnsi="华文仿宋" w:cs="宋体"/>
          <w:kern w:val="0"/>
          <w:szCs w:val="28"/>
        </w:rPr>
      </w:pPr>
    </w:p>
    <w:p w:rsidR="00150B7B" w:rsidRDefault="00150B7B">
      <w:pPr>
        <w:rPr>
          <w:rFonts w:ascii="华文仿宋" w:eastAsia="华文仿宋" w:hAnsi="华文仿宋" w:cs="宋体"/>
          <w:kern w:val="0"/>
          <w:szCs w:val="28"/>
        </w:rPr>
      </w:pPr>
    </w:p>
    <w:p w:rsidR="006C7D15" w:rsidRDefault="00150B7B">
      <w:pPr>
        <w:pStyle w:val="2"/>
        <w:spacing w:line="240" w:lineRule="auto"/>
        <w:rPr>
          <w:rFonts w:asciiTheme="minorEastAsia" w:eastAsiaTheme="minorEastAsia" w:hAnsiTheme="minorEastAsia"/>
          <w:bCs w:val="0"/>
          <w:szCs w:val="28"/>
        </w:rPr>
      </w:pPr>
      <w:r>
        <w:rPr>
          <w:rFonts w:asciiTheme="minorEastAsia" w:eastAsiaTheme="minorEastAsia" w:hAnsiTheme="minorEastAsia" w:hint="eastAsia"/>
          <w:bCs w:val="0"/>
          <w:szCs w:val="28"/>
        </w:rPr>
        <w:t>2.2</w:t>
      </w:r>
      <w:proofErr w:type="gramStart"/>
      <w:r>
        <w:rPr>
          <w:rFonts w:asciiTheme="minorEastAsia" w:eastAsiaTheme="minorEastAsia" w:hAnsiTheme="minorEastAsia" w:hint="eastAsia"/>
          <w:bCs w:val="0"/>
          <w:szCs w:val="28"/>
        </w:rPr>
        <w:t>地炼石脑油</w:t>
      </w:r>
      <w:proofErr w:type="gramEnd"/>
      <w:r>
        <w:rPr>
          <w:rFonts w:asciiTheme="minorEastAsia" w:eastAsiaTheme="minorEastAsia" w:hAnsiTheme="minorEastAsia" w:hint="eastAsia"/>
          <w:bCs w:val="0"/>
          <w:szCs w:val="28"/>
        </w:rPr>
        <w:t>市场</w:t>
      </w:r>
      <w:bookmarkEnd w:id="15"/>
      <w:bookmarkEnd w:id="16"/>
      <w:bookmarkEnd w:id="25"/>
      <w:bookmarkEnd w:id="26"/>
      <w:bookmarkEnd w:id="27"/>
      <w:bookmarkEnd w:id="28"/>
      <w:bookmarkEnd w:id="29"/>
      <w:r w:rsidR="00FE2871">
        <w:rPr>
          <w:rFonts w:asciiTheme="minorEastAsia" w:eastAsiaTheme="minorEastAsia" w:hAnsiTheme="minorEastAsia" w:hint="eastAsia"/>
          <w:bCs w:val="0"/>
          <w:szCs w:val="28"/>
        </w:rPr>
        <w:t xml:space="preserve">   </w:t>
      </w:r>
    </w:p>
    <w:p w:rsidR="00F6621F" w:rsidRPr="00F6621F" w:rsidRDefault="00F6621F" w:rsidP="00F6621F">
      <w:pPr>
        <w:pStyle w:val="aa"/>
        <w:ind w:firstLineChars="200" w:firstLine="560"/>
        <w:rPr>
          <w:rFonts w:ascii="华文仿宋" w:eastAsia="华文仿宋" w:hAnsi="华文仿宋"/>
          <w:sz w:val="28"/>
          <w:szCs w:val="28"/>
        </w:rPr>
      </w:pPr>
      <w:r w:rsidRPr="00F6621F">
        <w:rPr>
          <w:rFonts w:ascii="华文仿宋" w:eastAsia="华文仿宋" w:hAnsi="华文仿宋" w:hint="eastAsia"/>
          <w:sz w:val="28"/>
          <w:szCs w:val="28"/>
        </w:rPr>
        <w:t>本周国内</w:t>
      </w:r>
      <w:r w:rsidR="00547B9C">
        <w:rPr>
          <w:rFonts w:ascii="华文仿宋" w:eastAsia="华文仿宋" w:hAnsi="华文仿宋" w:hint="eastAsia"/>
          <w:sz w:val="28"/>
          <w:szCs w:val="28"/>
        </w:rPr>
        <w:t>地炼</w:t>
      </w:r>
      <w:r w:rsidRPr="00F6621F">
        <w:rPr>
          <w:rFonts w:ascii="华文仿宋" w:eastAsia="华文仿宋" w:hAnsi="华文仿宋" w:hint="eastAsia"/>
          <w:sz w:val="28"/>
          <w:szCs w:val="28"/>
        </w:rPr>
        <w:t>石脑油短期低价区补涨为主，市场交投热络。原油期货价格</w:t>
      </w:r>
      <w:proofErr w:type="gramStart"/>
      <w:r w:rsidRPr="00F6621F">
        <w:rPr>
          <w:rFonts w:ascii="华文仿宋" w:eastAsia="华文仿宋" w:hAnsi="华文仿宋" w:hint="eastAsia"/>
          <w:sz w:val="28"/>
          <w:szCs w:val="28"/>
        </w:rPr>
        <w:t>宽幅收跌</w:t>
      </w:r>
      <w:proofErr w:type="gramEnd"/>
      <w:r w:rsidRPr="00F6621F">
        <w:rPr>
          <w:rFonts w:ascii="华文仿宋" w:eastAsia="华文仿宋" w:hAnsi="华文仿宋" w:hint="eastAsia"/>
          <w:sz w:val="28"/>
          <w:szCs w:val="28"/>
        </w:rPr>
        <w:t>，但国内石脑油市场价格极为坚挺，华东、山东再现补涨动作，仅</w:t>
      </w:r>
      <w:proofErr w:type="gramStart"/>
      <w:r w:rsidRPr="00F6621F">
        <w:rPr>
          <w:rFonts w:ascii="华文仿宋" w:eastAsia="华文仿宋" w:hAnsi="华文仿宋" w:hint="eastAsia"/>
          <w:sz w:val="28"/>
          <w:szCs w:val="28"/>
        </w:rPr>
        <w:t>个别直汽生产</w:t>
      </w:r>
      <w:proofErr w:type="gramEnd"/>
      <w:r w:rsidRPr="00F6621F">
        <w:rPr>
          <w:rFonts w:ascii="华文仿宋" w:eastAsia="华文仿宋" w:hAnsi="华文仿宋" w:hint="eastAsia"/>
          <w:sz w:val="28"/>
          <w:szCs w:val="28"/>
        </w:rPr>
        <w:t>企业微幅下修沥青</w:t>
      </w:r>
      <w:proofErr w:type="gramStart"/>
      <w:r w:rsidRPr="00F6621F">
        <w:rPr>
          <w:rFonts w:ascii="华文仿宋" w:eastAsia="华文仿宋" w:hAnsi="华文仿宋" w:hint="eastAsia"/>
          <w:sz w:val="28"/>
          <w:szCs w:val="28"/>
        </w:rPr>
        <w:t>票资源</w:t>
      </w:r>
      <w:proofErr w:type="gramEnd"/>
      <w:r w:rsidRPr="00F6621F">
        <w:rPr>
          <w:rFonts w:ascii="华文仿宋" w:eastAsia="华文仿宋" w:hAnsi="华文仿宋" w:hint="eastAsia"/>
          <w:sz w:val="28"/>
          <w:szCs w:val="28"/>
        </w:rPr>
        <w:t>报价，场内交投迅速，华锦集团资源到山东</w:t>
      </w:r>
      <w:proofErr w:type="gramStart"/>
      <w:r w:rsidRPr="00F6621F">
        <w:rPr>
          <w:rFonts w:ascii="华文仿宋" w:eastAsia="华文仿宋" w:hAnsi="华文仿宋" w:hint="eastAsia"/>
          <w:sz w:val="28"/>
          <w:szCs w:val="28"/>
        </w:rPr>
        <w:t>东</w:t>
      </w:r>
      <w:proofErr w:type="gramEnd"/>
      <w:r w:rsidRPr="00F6621F">
        <w:rPr>
          <w:rFonts w:ascii="华文仿宋" w:eastAsia="华文仿宋" w:hAnsi="华文仿宋" w:hint="eastAsia"/>
          <w:sz w:val="28"/>
          <w:szCs w:val="28"/>
        </w:rPr>
        <w:t>营地区加运费成交在4780元/吨附近，这相较山东资源有较大优势，占据了较大市场份额。山东完税资源交投稳健，山东淄博地区炼厂重整石脑油完税报盘攀升至7350元/吨，其他地区也不遑多让，判断</w:t>
      </w:r>
      <w:proofErr w:type="gramStart"/>
      <w:r w:rsidRPr="00F6621F">
        <w:rPr>
          <w:rFonts w:ascii="华文仿宋" w:eastAsia="华文仿宋" w:hAnsi="华文仿宋" w:hint="eastAsia"/>
          <w:sz w:val="28"/>
          <w:szCs w:val="28"/>
        </w:rPr>
        <w:t>近期地炼石脑油</w:t>
      </w:r>
      <w:proofErr w:type="gramEnd"/>
      <w:r w:rsidRPr="00F6621F">
        <w:rPr>
          <w:rFonts w:ascii="华文仿宋" w:eastAsia="华文仿宋" w:hAnsi="华文仿宋" w:hint="eastAsia"/>
          <w:sz w:val="28"/>
          <w:szCs w:val="28"/>
        </w:rPr>
        <w:t>售价将以稳健为主，不过近日伊泰、</w:t>
      </w:r>
      <w:proofErr w:type="gramStart"/>
      <w:r w:rsidRPr="00F6621F">
        <w:rPr>
          <w:rFonts w:ascii="华文仿宋" w:eastAsia="华文仿宋" w:hAnsi="华文仿宋" w:hint="eastAsia"/>
          <w:sz w:val="28"/>
          <w:szCs w:val="28"/>
        </w:rPr>
        <w:t>潞</w:t>
      </w:r>
      <w:proofErr w:type="gramEnd"/>
      <w:r w:rsidRPr="00F6621F">
        <w:rPr>
          <w:rFonts w:ascii="华文仿宋" w:eastAsia="华文仿宋" w:hAnsi="华文仿宋" w:hint="eastAsia"/>
          <w:sz w:val="28"/>
          <w:szCs w:val="28"/>
        </w:rPr>
        <w:t>安放量，将缓解市场资源紧张情况。</w:t>
      </w:r>
    </w:p>
    <w:p w:rsidR="006C7D15" w:rsidRPr="00F6621F" w:rsidRDefault="006C7D15"/>
    <w:p w:rsidR="006C7D15" w:rsidRDefault="006C7D15"/>
    <w:p w:rsidR="006C7D15" w:rsidRDefault="006C7D15"/>
    <w:p w:rsidR="006C7D15" w:rsidRDefault="006C7D15"/>
    <w:p w:rsidR="006C7D15" w:rsidRDefault="00FE2871">
      <w:pPr>
        <w:outlineLvl w:val="1"/>
        <w:rPr>
          <w:rFonts w:asciiTheme="minorEastAsia" w:eastAsiaTheme="minorEastAsia" w:hAnsiTheme="minorEastAsia"/>
          <w:b/>
          <w:sz w:val="28"/>
          <w:szCs w:val="28"/>
        </w:rPr>
      </w:pPr>
      <w:bookmarkStart w:id="30" w:name="_Toc296600813"/>
      <w:bookmarkStart w:id="31" w:name="_Toc460250406"/>
      <w:bookmarkStart w:id="32" w:name="_Toc281568203"/>
      <w:bookmarkStart w:id="33" w:name="_Toc505350010"/>
      <w:r>
        <w:rPr>
          <w:rFonts w:asciiTheme="minorEastAsia" w:eastAsiaTheme="minorEastAsia" w:hAnsiTheme="minorEastAsia" w:hint="eastAsia"/>
          <w:b/>
          <w:sz w:val="28"/>
          <w:szCs w:val="28"/>
        </w:rPr>
        <w:t>2.3本周国内石脑油价格汇总</w:t>
      </w:r>
      <w:bookmarkEnd w:id="30"/>
      <w:bookmarkEnd w:id="31"/>
      <w:bookmarkEnd w:id="32"/>
      <w:bookmarkEnd w:id="33"/>
      <w:r>
        <w:rPr>
          <w:rFonts w:asciiTheme="minorEastAsia" w:eastAsiaTheme="minorEastAsia" w:hAnsiTheme="minorEastAsia" w:hint="eastAsia"/>
          <w:b/>
          <w:sz w:val="28"/>
          <w:szCs w:val="28"/>
        </w:rPr>
        <w:t xml:space="preserve"> </w:t>
      </w:r>
    </w:p>
    <w:p w:rsidR="006C7D15" w:rsidRDefault="006C7D15">
      <w:pPr>
        <w:rPr>
          <w:rFonts w:ascii="宋体" w:hAnsi="宋体" w:cs="Arial"/>
          <w:kern w:val="0"/>
          <w:sz w:val="20"/>
          <w:szCs w:val="20"/>
        </w:rPr>
      </w:pPr>
    </w:p>
    <w:p w:rsidR="006C7D15" w:rsidRDefault="006C7D15">
      <w:pPr>
        <w:rPr>
          <w:rFonts w:ascii="宋体" w:hAnsi="宋体" w:cs="Arial"/>
          <w:kern w:val="0"/>
          <w:sz w:val="20"/>
          <w:szCs w:val="20"/>
        </w:rPr>
      </w:pPr>
    </w:p>
    <w:p w:rsidR="006C7D15" w:rsidRDefault="00FE2871">
      <w:pPr>
        <w:tabs>
          <w:tab w:val="left" w:pos="810"/>
          <w:tab w:val="center" w:pos="4851"/>
        </w:tabs>
        <w:autoSpaceDE w:val="0"/>
        <w:autoSpaceDN w:val="0"/>
        <w:adjustRightInd w:val="0"/>
        <w:rPr>
          <w:rFonts w:ascii="黑体" w:eastAsia="黑体" w:hAnsi="宋体" w:cs="Arial"/>
          <w:kern w:val="0"/>
          <w:sz w:val="24"/>
          <w:szCs w:val="24"/>
        </w:rPr>
      </w:pPr>
      <w:proofErr w:type="gramStart"/>
      <w:r>
        <w:rPr>
          <w:rFonts w:ascii="黑体" w:eastAsia="黑体" w:hAnsi="宋体" w:cs="Arial" w:hint="eastAsia"/>
          <w:kern w:val="0"/>
          <w:sz w:val="24"/>
          <w:szCs w:val="24"/>
        </w:rPr>
        <w:lastRenderedPageBreak/>
        <w:t>山东地炼石脑油</w:t>
      </w:r>
      <w:proofErr w:type="gramEnd"/>
      <w:r>
        <w:rPr>
          <w:rFonts w:ascii="黑体" w:eastAsia="黑体" w:hAnsi="宋体" w:cs="Arial" w:hint="eastAsia"/>
          <w:kern w:val="0"/>
          <w:sz w:val="24"/>
          <w:szCs w:val="24"/>
        </w:rPr>
        <w:t>价格汇总</w:t>
      </w:r>
    </w:p>
    <w:p w:rsidR="006C7D15" w:rsidRDefault="006C7D15">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6C7D15" w:rsidRDefault="006C7D15">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6C7D15" w:rsidRDefault="00FE2871">
      <w:pPr>
        <w:rPr>
          <w:rFonts w:ascii="宋体" w:hAnsi="宋体" w:cs="Arial"/>
          <w:kern w:val="0"/>
          <w:sz w:val="20"/>
          <w:szCs w:val="20"/>
        </w:rPr>
      </w:pPr>
      <w:r>
        <w:rPr>
          <w:rFonts w:ascii="宋体" w:hAnsi="宋体" w:cs="Arial" w:hint="eastAsia"/>
          <w:kern w:val="0"/>
          <w:sz w:val="20"/>
          <w:szCs w:val="20"/>
        </w:rPr>
        <w:t xml:space="preserve"> 单位：元/吨</w:t>
      </w:r>
    </w:p>
    <w:p w:rsidR="00FE2871" w:rsidRDefault="00FE2871">
      <w:pPr>
        <w:rPr>
          <w:rFonts w:ascii="宋体" w:hAnsi="宋体" w:cs="Arial"/>
          <w:kern w:val="0"/>
          <w:sz w:val="20"/>
          <w:szCs w:val="20"/>
        </w:rPr>
      </w:pPr>
    </w:p>
    <w:tbl>
      <w:tblPr>
        <w:tblW w:w="5000" w:type="pct"/>
        <w:tblLook w:val="04A0"/>
      </w:tblPr>
      <w:tblGrid>
        <w:gridCol w:w="1366"/>
        <w:gridCol w:w="1365"/>
        <w:gridCol w:w="1365"/>
        <w:gridCol w:w="1365"/>
        <w:gridCol w:w="1365"/>
        <w:gridCol w:w="1568"/>
        <w:gridCol w:w="1568"/>
      </w:tblGrid>
      <w:tr w:rsidR="00F6621F" w:rsidRPr="00F6621F" w:rsidTr="00F6621F">
        <w:trPr>
          <w:trHeight w:val="285"/>
        </w:trPr>
        <w:tc>
          <w:tcPr>
            <w:tcW w:w="685"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地区</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生产厂家</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2018/8/10</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2018/8/3</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金城石化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恒源石化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120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5050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4930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东明石化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中海石化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弘润石化</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华星石化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海科石化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广饶石化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鑫</w:t>
            </w:r>
            <w:proofErr w:type="gramEnd"/>
            <w:r w:rsidRPr="00F6621F">
              <w:rPr>
                <w:rFonts w:ascii="华文仿宋" w:eastAsia="华文仿宋" w:hAnsi="华文仿宋" w:cs="宋体" w:hint="eastAsia"/>
                <w:kern w:val="0"/>
                <w:sz w:val="28"/>
                <w:szCs w:val="28"/>
              </w:rPr>
              <w:t>泰石化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6800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6800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利津石化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胜华石化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长城石化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安邦石化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日照源丰</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富海石化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5010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5010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京博石化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6204</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6204</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昌邑石化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6350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6350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垦利石化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5200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5200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寿光石化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神驰石化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-4870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4870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汇丰石化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5730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5730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宝塔石化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滨化石化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480"/>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高青宏远石化</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河口实业</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87"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bl>
    <w:p w:rsidR="006C7D15" w:rsidRDefault="006C7D15">
      <w:pPr>
        <w:rPr>
          <w:rFonts w:ascii="宋体" w:hAnsi="宋体" w:cs="Arial"/>
          <w:kern w:val="0"/>
          <w:sz w:val="20"/>
          <w:szCs w:val="20"/>
        </w:rPr>
      </w:pPr>
    </w:p>
    <w:p w:rsidR="006C7D15" w:rsidRDefault="00FE2871">
      <w:pPr>
        <w:pStyle w:val="2"/>
        <w:spacing w:line="240" w:lineRule="auto"/>
        <w:jc w:val="left"/>
        <w:rPr>
          <w:rFonts w:asciiTheme="minorEastAsia" w:eastAsiaTheme="minorEastAsia" w:hAnsiTheme="minorEastAsia"/>
        </w:rPr>
      </w:pPr>
      <w:bookmarkStart w:id="34" w:name="_Toc505350011"/>
      <w:bookmarkStart w:id="35" w:name="_Toc460250407"/>
      <w:bookmarkStart w:id="36" w:name="_Toc296600814"/>
      <w:bookmarkStart w:id="37" w:name="_Toc281568204"/>
      <w:bookmarkStart w:id="38" w:name="_Toc158203132"/>
      <w:bookmarkStart w:id="39" w:name="_Toc239847719"/>
      <w:r>
        <w:rPr>
          <w:rFonts w:asciiTheme="minorEastAsia" w:eastAsiaTheme="minorEastAsia" w:hAnsiTheme="minorEastAsia" w:hint="eastAsia"/>
          <w:szCs w:val="28"/>
        </w:rPr>
        <w:t>2.</w:t>
      </w:r>
      <w:r>
        <w:rPr>
          <w:rFonts w:asciiTheme="minorEastAsia" w:eastAsiaTheme="minorEastAsia" w:hAnsiTheme="minorEastAsia" w:hint="eastAsia"/>
          <w:bCs w:val="0"/>
          <w:szCs w:val="28"/>
        </w:rPr>
        <w:t xml:space="preserve"> </w:t>
      </w:r>
      <w:r>
        <w:rPr>
          <w:rFonts w:asciiTheme="minorEastAsia" w:eastAsiaTheme="minorEastAsia" w:hAnsiTheme="minorEastAsia" w:hint="eastAsia"/>
          <w:szCs w:val="28"/>
        </w:rPr>
        <w:t>4</w:t>
      </w:r>
      <w:proofErr w:type="gramStart"/>
      <w:r>
        <w:rPr>
          <w:rFonts w:asciiTheme="minorEastAsia" w:eastAsiaTheme="minorEastAsia" w:hAnsiTheme="minorEastAsia" w:hint="eastAsia"/>
          <w:szCs w:val="28"/>
        </w:rPr>
        <w:t>山东地炼石脑油</w:t>
      </w:r>
      <w:proofErr w:type="gramEnd"/>
      <w:r>
        <w:rPr>
          <w:rFonts w:asciiTheme="minorEastAsia" w:eastAsiaTheme="minorEastAsia" w:hAnsiTheme="minorEastAsia" w:hint="eastAsia"/>
          <w:szCs w:val="28"/>
        </w:rPr>
        <w:t>价格走势图</w:t>
      </w:r>
      <w:bookmarkEnd w:id="34"/>
      <w:bookmarkEnd w:id="35"/>
      <w:bookmarkEnd w:id="36"/>
      <w:bookmarkEnd w:id="37"/>
    </w:p>
    <w:p w:rsidR="006C7D15" w:rsidRDefault="006C7D15">
      <w:pPr>
        <w:widowControl/>
        <w:jc w:val="left"/>
        <w:rPr>
          <w:rFonts w:ascii="宋体" w:hAnsi="宋体" w:cs="宋体"/>
          <w:kern w:val="0"/>
          <w:sz w:val="24"/>
          <w:szCs w:val="24"/>
        </w:rPr>
      </w:pPr>
    </w:p>
    <w:p w:rsidR="006C7D15" w:rsidRDefault="00F6621F">
      <w:pPr>
        <w:rPr>
          <w:sz w:val="20"/>
          <w:szCs w:val="20"/>
        </w:rPr>
      </w:pPr>
      <w:r w:rsidRPr="00F6621F">
        <w:rPr>
          <w:noProof/>
          <w:sz w:val="20"/>
          <w:szCs w:val="20"/>
        </w:rPr>
        <w:lastRenderedPageBreak/>
        <w:drawing>
          <wp:inline distT="0" distB="0" distL="0" distR="0">
            <wp:extent cx="5486400" cy="5369560"/>
            <wp:effectExtent l="0" t="0" r="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D15" w:rsidRDefault="006C7D15">
      <w:pPr>
        <w:rPr>
          <w:sz w:val="20"/>
          <w:szCs w:val="20"/>
        </w:rPr>
      </w:pPr>
    </w:p>
    <w:p w:rsidR="006C7D15" w:rsidRDefault="00FE2871">
      <w:pPr>
        <w:outlineLvl w:val="0"/>
        <w:rPr>
          <w:rFonts w:ascii="黑体" w:eastAsia="黑体"/>
          <w:b/>
          <w:sz w:val="28"/>
          <w:szCs w:val="28"/>
        </w:rPr>
      </w:pPr>
      <w:bookmarkStart w:id="40" w:name="_Toc505350012"/>
      <w:bookmarkStart w:id="41" w:name="_Toc460250408"/>
      <w:bookmarkStart w:id="42" w:name="_Toc281568206"/>
      <w:bookmarkStart w:id="43" w:name="_Toc237428455"/>
      <w:bookmarkStart w:id="44" w:name="_Toc296600816"/>
      <w:bookmarkEnd w:id="38"/>
      <w:bookmarkEnd w:id="39"/>
      <w:r>
        <w:rPr>
          <w:rFonts w:ascii="黑体" w:eastAsia="黑体" w:hint="eastAsia"/>
          <w:b/>
          <w:sz w:val="28"/>
          <w:szCs w:val="28"/>
        </w:rPr>
        <w:t>三、本周国内油品市场分析及预测</w:t>
      </w:r>
      <w:bookmarkStart w:id="45" w:name="_Toc296600817"/>
      <w:bookmarkStart w:id="46" w:name="_Toc281568207"/>
      <w:bookmarkStart w:id="47" w:name="_Toc460250409"/>
      <w:bookmarkStart w:id="48" w:name="_Toc176571903"/>
      <w:bookmarkStart w:id="49" w:name="_Toc237428456"/>
      <w:bookmarkEnd w:id="40"/>
      <w:bookmarkEnd w:id="41"/>
      <w:bookmarkEnd w:id="42"/>
      <w:bookmarkEnd w:id="43"/>
      <w:bookmarkEnd w:id="44"/>
    </w:p>
    <w:p w:rsidR="006C7D15" w:rsidRDefault="00FE2871">
      <w:pPr>
        <w:pStyle w:val="1"/>
        <w:spacing w:line="360" w:lineRule="auto"/>
        <w:rPr>
          <w:rFonts w:ascii="华文仿宋" w:eastAsia="华文仿宋" w:hAnsi="华文仿宋" w:cs="华文仿宋"/>
          <w:b w:val="0"/>
          <w:bCs w:val="0"/>
          <w:kern w:val="0"/>
          <w:sz w:val="28"/>
          <w:szCs w:val="28"/>
        </w:rPr>
      </w:pPr>
      <w:bookmarkStart w:id="50" w:name="_Toc505350013"/>
      <w:r>
        <w:rPr>
          <w:rFonts w:asciiTheme="minorEastAsia" w:eastAsiaTheme="minorEastAsia" w:hAnsiTheme="minorEastAsia" w:hint="eastAsia"/>
          <w:kern w:val="2"/>
          <w:sz w:val="28"/>
          <w:szCs w:val="28"/>
        </w:rPr>
        <w:t>3．1  成品油市场动态</w:t>
      </w:r>
      <w:bookmarkEnd w:id="45"/>
      <w:bookmarkEnd w:id="46"/>
      <w:bookmarkEnd w:id="47"/>
      <w:bookmarkEnd w:id="50"/>
    </w:p>
    <w:p w:rsidR="00F6621F" w:rsidRPr="00F6621F" w:rsidRDefault="00F6621F" w:rsidP="00F6621F">
      <w:pPr>
        <w:pStyle w:val="aa"/>
        <w:ind w:firstLineChars="200" w:firstLine="560"/>
        <w:rPr>
          <w:rFonts w:ascii="华文仿宋" w:eastAsia="华文仿宋" w:hAnsi="华文仿宋" w:cs="华文仿宋"/>
          <w:sz w:val="28"/>
          <w:szCs w:val="28"/>
        </w:rPr>
      </w:pPr>
      <w:bookmarkStart w:id="51" w:name="_Toc505350014"/>
      <w:bookmarkStart w:id="52" w:name="_Toc369858747"/>
      <w:bookmarkStart w:id="53" w:name="_Toc180485827"/>
      <w:bookmarkStart w:id="54" w:name="_Toc460250410"/>
      <w:bookmarkStart w:id="55" w:name="_Toc296600818"/>
      <w:bookmarkStart w:id="56" w:name="_Toc281568208"/>
      <w:bookmarkStart w:id="57" w:name="_Toc281568211"/>
      <w:bookmarkStart w:id="58" w:name="_Toc296600819"/>
      <w:bookmarkEnd w:id="48"/>
      <w:bookmarkEnd w:id="49"/>
      <w:r w:rsidRPr="00F6621F">
        <w:rPr>
          <w:rFonts w:ascii="华文仿宋" w:eastAsia="华文仿宋" w:hAnsi="华文仿宋" w:cs="华文仿宋"/>
          <w:sz w:val="28"/>
          <w:szCs w:val="28"/>
        </w:rPr>
        <w:t>本周，国际原油期价震荡走跌，国内成品油市场行情整体上行，各地主营单位汽柴油价格上调。与此同时，山东地区成品</w:t>
      </w:r>
      <w:proofErr w:type="gramStart"/>
      <w:r w:rsidRPr="00F6621F">
        <w:rPr>
          <w:rFonts w:ascii="华文仿宋" w:eastAsia="华文仿宋" w:hAnsi="华文仿宋" w:cs="华文仿宋"/>
          <w:sz w:val="28"/>
          <w:szCs w:val="28"/>
        </w:rPr>
        <w:t>油行情涨势</w:t>
      </w:r>
      <w:proofErr w:type="gramEnd"/>
      <w:r w:rsidRPr="00F6621F">
        <w:rPr>
          <w:rFonts w:ascii="华文仿宋" w:eastAsia="华文仿宋" w:hAnsi="华文仿宋" w:cs="华文仿宋"/>
          <w:sz w:val="28"/>
          <w:szCs w:val="28"/>
        </w:rPr>
        <w:t>不止，各炼厂报价频频走高，但成交仍保持100元/吨左右优惠。具体来看出货方面：周初，受原油续涨提振，区内油市看涨气氛浓厚，买卖双方积极操作。临近周末，外盘油价大跌</w:t>
      </w:r>
      <w:r w:rsidRPr="00F6621F">
        <w:rPr>
          <w:rFonts w:ascii="华文仿宋" w:eastAsia="华文仿宋" w:hAnsi="华文仿宋" w:cs="华文仿宋"/>
          <w:sz w:val="28"/>
          <w:szCs w:val="28"/>
        </w:rPr>
        <w:lastRenderedPageBreak/>
        <w:t>利空油市，中下游商家购进操作减少，市场交投气氛转淡。进入下周，在缺少基本面需求支撑下，山东地区成品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难以维持上涨势头，中下游买家购进操作十分谨慎，而</w:t>
      </w:r>
      <w:proofErr w:type="gramStart"/>
      <w:r w:rsidRPr="00F6621F">
        <w:rPr>
          <w:rFonts w:ascii="华文仿宋" w:eastAsia="华文仿宋" w:hAnsi="华文仿宋" w:cs="华文仿宋"/>
          <w:sz w:val="28"/>
          <w:szCs w:val="28"/>
        </w:rPr>
        <w:t>地炼方面</w:t>
      </w:r>
      <w:proofErr w:type="gramEnd"/>
      <w:r w:rsidRPr="00F6621F">
        <w:rPr>
          <w:rFonts w:ascii="华文仿宋" w:eastAsia="华文仿宋" w:hAnsi="华文仿宋" w:cs="华文仿宋"/>
          <w:sz w:val="28"/>
          <w:szCs w:val="28"/>
        </w:rPr>
        <w:t>则以</w:t>
      </w:r>
      <w:proofErr w:type="gramStart"/>
      <w:r w:rsidRPr="00F6621F">
        <w:rPr>
          <w:rFonts w:ascii="华文仿宋" w:eastAsia="华文仿宋" w:hAnsi="华文仿宋" w:cs="华文仿宋"/>
          <w:sz w:val="28"/>
          <w:szCs w:val="28"/>
        </w:rPr>
        <w:t>出货走量</w:t>
      </w:r>
      <w:proofErr w:type="gramEnd"/>
      <w:r w:rsidRPr="00F6621F">
        <w:rPr>
          <w:rFonts w:ascii="华文仿宋" w:eastAsia="华文仿宋" w:hAnsi="华文仿宋" w:cs="华文仿宋"/>
          <w:sz w:val="28"/>
          <w:szCs w:val="28"/>
        </w:rPr>
        <w:t>为主。综上所述，预计下周山东</w:t>
      </w:r>
      <w:proofErr w:type="gramStart"/>
      <w:r w:rsidRPr="00F6621F">
        <w:rPr>
          <w:rFonts w:ascii="华文仿宋" w:eastAsia="华文仿宋" w:hAnsi="华文仿宋" w:cs="华文仿宋"/>
          <w:sz w:val="28"/>
          <w:szCs w:val="28"/>
        </w:rPr>
        <w:t>地炼汽</w:t>
      </w:r>
      <w:proofErr w:type="gramEnd"/>
      <w:r w:rsidRPr="00F6621F">
        <w:rPr>
          <w:rFonts w:ascii="华文仿宋" w:eastAsia="华文仿宋" w:hAnsi="华文仿宋" w:cs="华文仿宋"/>
          <w:sz w:val="28"/>
          <w:szCs w:val="28"/>
        </w:rPr>
        <w:t>柴油价格恐将高位回调。</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华北地区主营成品</w:t>
      </w:r>
      <w:proofErr w:type="gramStart"/>
      <w:r w:rsidRPr="00F6621F">
        <w:rPr>
          <w:rFonts w:ascii="华文仿宋" w:eastAsia="华文仿宋" w:hAnsi="华文仿宋" w:cs="华文仿宋"/>
          <w:sz w:val="28"/>
          <w:szCs w:val="28"/>
        </w:rPr>
        <w:t>油行情宽幅</w:t>
      </w:r>
      <w:proofErr w:type="gramEnd"/>
      <w:r w:rsidRPr="00F6621F">
        <w:rPr>
          <w:rFonts w:ascii="华文仿宋" w:eastAsia="华文仿宋" w:hAnsi="华文仿宋" w:cs="华文仿宋"/>
          <w:sz w:val="28"/>
          <w:szCs w:val="28"/>
        </w:rPr>
        <w:t>走高，购销氛围淡稳。分析来看，本周前期国际原油震荡小涨，消息面略有利好指引。与此同时，山东</w:t>
      </w:r>
      <w:proofErr w:type="gramStart"/>
      <w:r w:rsidRPr="00F6621F">
        <w:rPr>
          <w:rFonts w:ascii="华文仿宋" w:eastAsia="华文仿宋" w:hAnsi="华文仿宋" w:cs="华文仿宋"/>
          <w:sz w:val="28"/>
          <w:szCs w:val="28"/>
        </w:rPr>
        <w:t>地炼汽</w:t>
      </w:r>
      <w:proofErr w:type="gramEnd"/>
      <w:r w:rsidRPr="00F6621F">
        <w:rPr>
          <w:rFonts w:ascii="华文仿宋" w:eastAsia="华文仿宋" w:hAnsi="华文仿宋" w:cs="华文仿宋"/>
          <w:sz w:val="28"/>
          <w:szCs w:val="28"/>
        </w:rPr>
        <w:t>柴油价格大幅度走高，从而令主营外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继续上升，且外采难度加大，导致部分主营汽油资源供应趋向紧张，继而支撑区内主营汽柴油价格大涨，周内涨幅集中在200-300元/吨。尽管周四原油收盘暴跌令市场谨慎情绪加重，但在一系列利好因素影响下，区内油市仍保持坚挺局面。因行情持续处于上行通道，受买涨心态影响，场内业者多按需进行补货，据悉汽油成交情况相对较好。另外，由于部分区域汽油资源偏紧，出现限量销售现象。后市而言，国际油价或窄幅波动，消息面指引有限，</w:t>
      </w:r>
      <w:proofErr w:type="gramStart"/>
      <w:r w:rsidRPr="00F6621F">
        <w:rPr>
          <w:rFonts w:ascii="华文仿宋" w:eastAsia="华文仿宋" w:hAnsi="华文仿宋" w:cs="华文仿宋"/>
          <w:sz w:val="28"/>
          <w:szCs w:val="28"/>
        </w:rPr>
        <w:t>地炼成品油行情</w:t>
      </w:r>
      <w:proofErr w:type="gramEnd"/>
      <w:r w:rsidRPr="00F6621F">
        <w:rPr>
          <w:rFonts w:ascii="华文仿宋" w:eastAsia="华文仿宋" w:hAnsi="华文仿宋" w:cs="华文仿宋"/>
          <w:sz w:val="28"/>
          <w:szCs w:val="28"/>
        </w:rPr>
        <w:t>或趋于高位整理，故预计下周华北地区汽柴行情保持坚挺为主。</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华南地区成品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大幅上扬，市场交投气氛维持清淡。具体来看，上半周，国际原油期货一度连续上涨，消息方面给予有力支撑。且山东</w:t>
      </w:r>
      <w:proofErr w:type="gramStart"/>
      <w:r w:rsidRPr="00F6621F">
        <w:rPr>
          <w:rFonts w:ascii="华文仿宋" w:eastAsia="华文仿宋" w:hAnsi="华文仿宋" w:cs="华文仿宋"/>
          <w:sz w:val="28"/>
          <w:szCs w:val="28"/>
        </w:rPr>
        <w:t>地炼及</w:t>
      </w:r>
      <w:proofErr w:type="gramEnd"/>
      <w:r w:rsidRPr="00F6621F">
        <w:rPr>
          <w:rFonts w:ascii="华文仿宋" w:eastAsia="华文仿宋" w:hAnsi="华文仿宋" w:cs="华文仿宋"/>
          <w:sz w:val="28"/>
          <w:szCs w:val="28"/>
        </w:rPr>
        <w:t>周边行情不断攀升，区内主营单位汽柴油价格不断推涨。业者</w:t>
      </w:r>
      <w:proofErr w:type="gramStart"/>
      <w:r w:rsidRPr="00F6621F">
        <w:rPr>
          <w:rFonts w:ascii="华文仿宋" w:eastAsia="华文仿宋" w:hAnsi="华文仿宋" w:cs="华文仿宋"/>
          <w:sz w:val="28"/>
          <w:szCs w:val="28"/>
        </w:rPr>
        <w:t>消库之余刚需</w:t>
      </w:r>
      <w:proofErr w:type="gramEnd"/>
      <w:r w:rsidRPr="00F6621F">
        <w:rPr>
          <w:rFonts w:ascii="华文仿宋" w:eastAsia="华文仿宋" w:hAnsi="华文仿宋" w:cs="华文仿宋"/>
          <w:sz w:val="28"/>
          <w:szCs w:val="28"/>
        </w:rPr>
        <w:t>购进为主，市场交投气氛不佳。随着原油收盘大幅下挫，消息</w:t>
      </w:r>
      <w:proofErr w:type="gramStart"/>
      <w:r w:rsidRPr="00F6621F">
        <w:rPr>
          <w:rFonts w:ascii="华文仿宋" w:eastAsia="华文仿宋" w:hAnsi="华文仿宋" w:cs="华文仿宋"/>
          <w:sz w:val="28"/>
          <w:szCs w:val="28"/>
        </w:rPr>
        <w:t>面提振力度</w:t>
      </w:r>
      <w:proofErr w:type="gramEnd"/>
      <w:r w:rsidRPr="00F6621F">
        <w:rPr>
          <w:rFonts w:ascii="华文仿宋" w:eastAsia="华文仿宋" w:hAnsi="华文仿宋" w:cs="华文仿宋"/>
          <w:sz w:val="28"/>
          <w:szCs w:val="28"/>
        </w:rPr>
        <w:t>降低，主营单位汽柴油价格趋于稳定。业者观望心态加重，市场交投气氛清淡不已。后市来看，国际原油期货区间震荡为主，本轮零售价调整变数增大，消息面影响有限。步入中旬，主营单位销售压力渐增，预计近期华南汽柴油行情涨势放缓，交投气氛维持平淡。</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lastRenderedPageBreak/>
        <w:t xml:space="preserve">　　华中地区成品</w:t>
      </w:r>
      <w:proofErr w:type="gramStart"/>
      <w:r w:rsidRPr="00F6621F">
        <w:rPr>
          <w:rFonts w:ascii="华文仿宋" w:eastAsia="华文仿宋" w:hAnsi="华文仿宋" w:cs="华文仿宋"/>
          <w:sz w:val="28"/>
          <w:szCs w:val="28"/>
        </w:rPr>
        <w:t>油行情宽幅</w:t>
      </w:r>
      <w:proofErr w:type="gramEnd"/>
      <w:r w:rsidRPr="00F6621F">
        <w:rPr>
          <w:rFonts w:ascii="华文仿宋" w:eastAsia="华文仿宋" w:hAnsi="华文仿宋" w:cs="华文仿宋"/>
          <w:sz w:val="28"/>
          <w:szCs w:val="28"/>
        </w:rPr>
        <w:t>走高，市场整体购销氛围较为清淡。具体来看，周初，原油震荡走高，且本周一零售价兑现小涨。消息面形成一定支撑，</w:t>
      </w:r>
      <w:proofErr w:type="gramStart"/>
      <w:r w:rsidRPr="00F6621F">
        <w:rPr>
          <w:rFonts w:ascii="华文仿宋" w:eastAsia="华文仿宋" w:hAnsi="华文仿宋" w:cs="华文仿宋"/>
          <w:sz w:val="28"/>
          <w:szCs w:val="28"/>
        </w:rPr>
        <w:t>加之地炼成品</w:t>
      </w:r>
      <w:proofErr w:type="gramEnd"/>
      <w:r w:rsidRPr="00F6621F">
        <w:rPr>
          <w:rFonts w:ascii="华文仿宋" w:eastAsia="华文仿宋" w:hAnsi="华文仿宋" w:cs="华文仿宋"/>
          <w:sz w:val="28"/>
          <w:szCs w:val="28"/>
        </w:rPr>
        <w:t>油价格持续大涨，主营外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不断增加，故推价积极性高，成交重心接连上推。周四，原油虽大幅下挫，但因</w:t>
      </w:r>
      <w:proofErr w:type="gramStart"/>
      <w:r w:rsidRPr="00F6621F">
        <w:rPr>
          <w:rFonts w:ascii="华文仿宋" w:eastAsia="华文仿宋" w:hAnsi="华文仿宋" w:cs="华文仿宋"/>
          <w:sz w:val="28"/>
          <w:szCs w:val="28"/>
        </w:rPr>
        <w:t>地炼价格</w:t>
      </w:r>
      <w:proofErr w:type="gramEnd"/>
      <w:r w:rsidRPr="00F6621F">
        <w:rPr>
          <w:rFonts w:ascii="华文仿宋" w:eastAsia="华文仿宋" w:hAnsi="华文仿宋" w:cs="华文仿宋"/>
          <w:sz w:val="28"/>
          <w:szCs w:val="28"/>
        </w:rPr>
        <w:t>维持高位，故主营价格仍有走高。场内业者对高价渐生抵触，多退市观望消库，市场</w:t>
      </w:r>
      <w:proofErr w:type="gramStart"/>
      <w:r w:rsidRPr="00F6621F">
        <w:rPr>
          <w:rFonts w:ascii="华文仿宋" w:eastAsia="华文仿宋" w:hAnsi="华文仿宋" w:cs="华文仿宋"/>
          <w:sz w:val="28"/>
          <w:szCs w:val="28"/>
        </w:rPr>
        <w:t>成交难</w:t>
      </w:r>
      <w:proofErr w:type="gramEnd"/>
      <w:r w:rsidRPr="00F6621F">
        <w:rPr>
          <w:rFonts w:ascii="华文仿宋" w:eastAsia="华文仿宋" w:hAnsi="华文仿宋" w:cs="华文仿宋"/>
          <w:sz w:val="28"/>
          <w:szCs w:val="28"/>
        </w:rPr>
        <w:t>见大单。后市来看，国际原油或偏弱震荡，本轮零售价搁浅与小幅上调概率并存，消息面较为震荡，预计近期内华中地区成品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或逐渐趋于横盘整理阶段，市场</w:t>
      </w:r>
      <w:proofErr w:type="gramStart"/>
      <w:r w:rsidRPr="00F6621F">
        <w:rPr>
          <w:rFonts w:ascii="华文仿宋" w:eastAsia="华文仿宋" w:hAnsi="华文仿宋" w:cs="华文仿宋"/>
          <w:sz w:val="28"/>
          <w:szCs w:val="28"/>
        </w:rPr>
        <w:t>购销淡稳运行</w:t>
      </w:r>
      <w:proofErr w:type="gramEnd"/>
      <w:r w:rsidRPr="00F6621F">
        <w:rPr>
          <w:rFonts w:ascii="华文仿宋" w:eastAsia="华文仿宋" w:hAnsi="华文仿宋" w:cs="华文仿宋"/>
          <w:sz w:val="28"/>
          <w:szCs w:val="28"/>
        </w:rPr>
        <w:t>。</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华东地区成品</w:t>
      </w:r>
      <w:proofErr w:type="gramStart"/>
      <w:r w:rsidRPr="00F6621F">
        <w:rPr>
          <w:rFonts w:ascii="华文仿宋" w:eastAsia="华文仿宋" w:hAnsi="华文仿宋" w:cs="华文仿宋"/>
          <w:sz w:val="28"/>
          <w:szCs w:val="28"/>
        </w:rPr>
        <w:t>油行情</w:t>
      </w:r>
      <w:proofErr w:type="gramEnd"/>
      <w:r w:rsidRPr="00F6621F">
        <w:rPr>
          <w:rFonts w:ascii="华文仿宋" w:eastAsia="华文仿宋" w:hAnsi="华文仿宋" w:cs="华文仿宋"/>
          <w:sz w:val="28"/>
          <w:szCs w:val="28"/>
        </w:rPr>
        <w:t>继续推涨，市场交投气氛稍有好转。具体来看，周初零售价兑现上调，且原油价格连涨，消息面对市场有所支撑。此外，由于地方炼厂利润大幅萎缩，故近期频频</w:t>
      </w:r>
      <w:proofErr w:type="gramStart"/>
      <w:r w:rsidRPr="00F6621F">
        <w:rPr>
          <w:rFonts w:ascii="华文仿宋" w:eastAsia="华文仿宋" w:hAnsi="华文仿宋" w:cs="华文仿宋"/>
          <w:sz w:val="28"/>
          <w:szCs w:val="28"/>
        </w:rPr>
        <w:t>推涨汽</w:t>
      </w:r>
      <w:proofErr w:type="gramEnd"/>
      <w:r w:rsidRPr="00F6621F">
        <w:rPr>
          <w:rFonts w:ascii="华文仿宋" w:eastAsia="华文仿宋" w:hAnsi="华文仿宋" w:cs="华文仿宋"/>
          <w:sz w:val="28"/>
          <w:szCs w:val="28"/>
        </w:rPr>
        <w:t>柴油出厂价格，致使主营外</w:t>
      </w:r>
      <w:proofErr w:type="gramStart"/>
      <w:r w:rsidRPr="00F6621F">
        <w:rPr>
          <w:rFonts w:ascii="华文仿宋" w:eastAsia="华文仿宋" w:hAnsi="华文仿宋" w:cs="华文仿宋"/>
          <w:sz w:val="28"/>
          <w:szCs w:val="28"/>
        </w:rPr>
        <w:t>采成本持</w:t>
      </w:r>
      <w:proofErr w:type="gramEnd"/>
      <w:r w:rsidRPr="00F6621F">
        <w:rPr>
          <w:rFonts w:ascii="华文仿宋" w:eastAsia="华文仿宋" w:hAnsi="华文仿宋" w:cs="华文仿宋"/>
          <w:sz w:val="28"/>
          <w:szCs w:val="28"/>
        </w:rPr>
        <w:t>增，主营汽柴油报价大幅上调，汽柴价格上调350元/吨左右。周四隔夜原油收盘价格大幅下挫，但采购成本居高不下，部分单位价格仍有所推涨。当前汽柴行情高位运行，且由于山东</w:t>
      </w:r>
      <w:proofErr w:type="gramStart"/>
      <w:r w:rsidRPr="00F6621F">
        <w:rPr>
          <w:rFonts w:ascii="华文仿宋" w:eastAsia="华文仿宋" w:hAnsi="华文仿宋" w:cs="华文仿宋"/>
          <w:sz w:val="28"/>
          <w:szCs w:val="28"/>
        </w:rPr>
        <w:t>地炼不带票资源</w:t>
      </w:r>
      <w:proofErr w:type="gramEnd"/>
      <w:r w:rsidRPr="00F6621F">
        <w:rPr>
          <w:rFonts w:ascii="华文仿宋" w:eastAsia="华文仿宋" w:hAnsi="华文仿宋" w:cs="华文仿宋"/>
          <w:sz w:val="28"/>
          <w:szCs w:val="28"/>
        </w:rPr>
        <w:t>流入区内较多，对主营冲击较大，主营出货不畅。下游用户心态偏悲观，入市采购柴油有限，而汽油库存消耗进度较快，故近期仍有采购意向。后期来看，国际油价或仍维持高位区间震荡，消息面指向暂不明朗。由于华东主营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难以下跌，故下周汽柴行情或仍维持高位运行，不过随着月中临近，部分单位或适度放宽优惠追量，</w:t>
      </w:r>
      <w:proofErr w:type="gramStart"/>
      <w:r w:rsidRPr="00F6621F">
        <w:rPr>
          <w:rFonts w:ascii="华文仿宋" w:eastAsia="华文仿宋" w:hAnsi="华文仿宋" w:cs="华文仿宋"/>
          <w:sz w:val="28"/>
          <w:szCs w:val="28"/>
        </w:rPr>
        <w:t>下游对</w:t>
      </w:r>
      <w:proofErr w:type="gramEnd"/>
      <w:r w:rsidRPr="00F6621F">
        <w:rPr>
          <w:rFonts w:ascii="华文仿宋" w:eastAsia="华文仿宋" w:hAnsi="华文仿宋" w:cs="华文仿宋"/>
          <w:sz w:val="28"/>
          <w:szCs w:val="28"/>
        </w:rPr>
        <w:t>高价抵触逐渐升温，入市操作或难有明显改善。</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w:t>
      </w:r>
      <w:proofErr w:type="gramStart"/>
      <w:r w:rsidRPr="00F6621F">
        <w:rPr>
          <w:rFonts w:ascii="华文仿宋" w:eastAsia="华文仿宋" w:hAnsi="华文仿宋" w:cs="华文仿宋"/>
          <w:sz w:val="28"/>
          <w:szCs w:val="28"/>
        </w:rPr>
        <w:t>西北地炼柴油</w:t>
      </w:r>
      <w:proofErr w:type="gramEnd"/>
      <w:r w:rsidRPr="00F6621F">
        <w:rPr>
          <w:rFonts w:ascii="华文仿宋" w:eastAsia="华文仿宋" w:hAnsi="华文仿宋" w:cs="华文仿宋"/>
          <w:sz w:val="28"/>
          <w:szCs w:val="28"/>
        </w:rPr>
        <w:t>行情走高，汽油行情涨后小幅回调，市场成交略有提升。分析来看：周一，成品油零售价小幅上调，区内汽柴行情跟涨，尤其</w:t>
      </w:r>
      <w:proofErr w:type="gramStart"/>
      <w:r w:rsidRPr="00F6621F">
        <w:rPr>
          <w:rFonts w:ascii="华文仿宋" w:eastAsia="华文仿宋" w:hAnsi="华文仿宋" w:cs="华文仿宋"/>
          <w:sz w:val="28"/>
          <w:szCs w:val="28"/>
        </w:rPr>
        <w:t>汽油涨幅</w:t>
      </w:r>
      <w:proofErr w:type="gramEnd"/>
      <w:r w:rsidRPr="00F6621F">
        <w:rPr>
          <w:rFonts w:ascii="华文仿宋" w:eastAsia="华文仿宋" w:hAnsi="华文仿宋" w:cs="华文仿宋"/>
          <w:sz w:val="28"/>
          <w:szCs w:val="28"/>
        </w:rPr>
        <w:t>较大。周初，国际原油连涨，新一轮计价周期，上调预期初步显现，消息面对市场仍有</w:t>
      </w:r>
      <w:r w:rsidRPr="00F6621F">
        <w:rPr>
          <w:rFonts w:ascii="华文仿宋" w:eastAsia="华文仿宋" w:hAnsi="华文仿宋" w:cs="华文仿宋"/>
          <w:sz w:val="28"/>
          <w:szCs w:val="28"/>
        </w:rPr>
        <w:lastRenderedPageBreak/>
        <w:t>支撑。同时，山东</w:t>
      </w:r>
      <w:proofErr w:type="gramStart"/>
      <w:r w:rsidRPr="00F6621F">
        <w:rPr>
          <w:rFonts w:ascii="华文仿宋" w:eastAsia="华文仿宋" w:hAnsi="华文仿宋" w:cs="华文仿宋"/>
          <w:sz w:val="28"/>
          <w:szCs w:val="28"/>
        </w:rPr>
        <w:t>地炼及</w:t>
      </w:r>
      <w:proofErr w:type="gramEnd"/>
      <w:r w:rsidRPr="00F6621F">
        <w:rPr>
          <w:rFonts w:ascii="华文仿宋" w:eastAsia="华文仿宋" w:hAnsi="华文仿宋" w:cs="华文仿宋"/>
          <w:sz w:val="28"/>
          <w:szCs w:val="28"/>
        </w:rPr>
        <w:t>主营价格不断走高，区内价格优势再度增加。夏季汽油需求旺盛，柴油需求平淡，但“买涨”情绪下，业者补货均有所增多，市场成交氛围改善。周四，国际油价宽幅下挫，市场不稳定因素增加，加之，业者多已备货到位，陆续退市消库，汽油出货再度转淡，成交价格小幅回落。进入下周，国际油价高位震荡为主，本轮</w:t>
      </w:r>
      <w:proofErr w:type="gramStart"/>
      <w:r w:rsidRPr="00F6621F">
        <w:rPr>
          <w:rFonts w:ascii="华文仿宋" w:eastAsia="华文仿宋" w:hAnsi="华文仿宋" w:cs="华文仿宋"/>
          <w:sz w:val="28"/>
          <w:szCs w:val="28"/>
        </w:rPr>
        <w:t>调价仍</w:t>
      </w:r>
      <w:proofErr w:type="gramEnd"/>
      <w:r w:rsidRPr="00F6621F">
        <w:rPr>
          <w:rFonts w:ascii="华文仿宋" w:eastAsia="华文仿宋" w:hAnsi="华文仿宋" w:cs="华文仿宋"/>
          <w:sz w:val="28"/>
          <w:szCs w:val="28"/>
        </w:rPr>
        <w:t>存变数，消息面指引有限。业者操作心态趋于谨慎，</w:t>
      </w:r>
      <w:proofErr w:type="gramStart"/>
      <w:r w:rsidRPr="00F6621F">
        <w:rPr>
          <w:rFonts w:ascii="华文仿宋" w:eastAsia="华文仿宋" w:hAnsi="华文仿宋" w:cs="华文仿宋"/>
          <w:sz w:val="28"/>
          <w:szCs w:val="28"/>
        </w:rPr>
        <w:t>消库之余</w:t>
      </w:r>
      <w:proofErr w:type="gramEnd"/>
      <w:r w:rsidRPr="00F6621F">
        <w:rPr>
          <w:rFonts w:ascii="华文仿宋" w:eastAsia="华文仿宋" w:hAnsi="华文仿宋" w:cs="华文仿宋"/>
          <w:sz w:val="28"/>
          <w:szCs w:val="28"/>
        </w:rPr>
        <w:t>适量补货为主，市场成交难以持续向好。预计短期内</w:t>
      </w:r>
      <w:proofErr w:type="gramStart"/>
      <w:r w:rsidRPr="00F6621F">
        <w:rPr>
          <w:rFonts w:ascii="华文仿宋" w:eastAsia="华文仿宋" w:hAnsi="华文仿宋" w:cs="华文仿宋"/>
          <w:sz w:val="28"/>
          <w:szCs w:val="28"/>
        </w:rPr>
        <w:t>西北地炼汽柴</w:t>
      </w:r>
      <w:proofErr w:type="gramEnd"/>
      <w:r w:rsidRPr="00F6621F">
        <w:rPr>
          <w:rFonts w:ascii="华文仿宋" w:eastAsia="华文仿宋" w:hAnsi="华文仿宋" w:cs="华文仿宋"/>
          <w:sz w:val="28"/>
          <w:szCs w:val="28"/>
        </w:rPr>
        <w:t>行情走稳为主。</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西南地区汽柴行情涨势不止，市场成交提升有限。分析来看：周一，成品油零售价兑现上调，且周初原油价格连续收涨，上调预期显现，消息面对市场有所支撑。同时，山东</w:t>
      </w:r>
      <w:proofErr w:type="gramStart"/>
      <w:r w:rsidRPr="00F6621F">
        <w:rPr>
          <w:rFonts w:ascii="华文仿宋" w:eastAsia="华文仿宋" w:hAnsi="华文仿宋" w:cs="华文仿宋"/>
          <w:sz w:val="28"/>
          <w:szCs w:val="28"/>
        </w:rPr>
        <w:t>地炼价格</w:t>
      </w:r>
      <w:proofErr w:type="gramEnd"/>
      <w:r w:rsidRPr="00F6621F">
        <w:rPr>
          <w:rFonts w:ascii="华文仿宋" w:eastAsia="华文仿宋" w:hAnsi="华文仿宋" w:cs="华文仿宋"/>
          <w:sz w:val="28"/>
          <w:szCs w:val="28"/>
        </w:rPr>
        <w:t>不断推高，外</w:t>
      </w:r>
      <w:proofErr w:type="gramStart"/>
      <w:r w:rsidRPr="00F6621F">
        <w:rPr>
          <w:rFonts w:ascii="华文仿宋" w:eastAsia="华文仿宋" w:hAnsi="华文仿宋" w:cs="华文仿宋"/>
          <w:sz w:val="28"/>
          <w:szCs w:val="28"/>
        </w:rPr>
        <w:t>采成本</w:t>
      </w:r>
      <w:proofErr w:type="gramEnd"/>
      <w:r w:rsidRPr="00F6621F">
        <w:rPr>
          <w:rFonts w:ascii="华文仿宋" w:eastAsia="华文仿宋" w:hAnsi="华文仿宋" w:cs="华文仿宋"/>
          <w:sz w:val="28"/>
          <w:szCs w:val="28"/>
        </w:rPr>
        <w:t>持续增长，主营采购困难，汽柴价格亦大幅上推，汽柴价格上调300元/吨左右。周四，隔夜原油收盘价格宽幅下挫，但主营成本价格居高不下，部分地区资源收紧，汽柴行情继续走高。不过，当前汽柴行情较前期大幅提升，且下游需求难改平淡，业者操作心态谨慎，</w:t>
      </w:r>
      <w:proofErr w:type="gramStart"/>
      <w:r w:rsidRPr="00F6621F">
        <w:rPr>
          <w:rFonts w:ascii="华文仿宋" w:eastAsia="华文仿宋" w:hAnsi="华文仿宋" w:cs="华文仿宋"/>
          <w:sz w:val="28"/>
          <w:szCs w:val="28"/>
        </w:rPr>
        <w:t>消库之余</w:t>
      </w:r>
      <w:proofErr w:type="gramEnd"/>
      <w:r w:rsidRPr="00F6621F">
        <w:rPr>
          <w:rFonts w:ascii="华文仿宋" w:eastAsia="华文仿宋" w:hAnsi="华文仿宋" w:cs="华文仿宋"/>
          <w:sz w:val="28"/>
          <w:szCs w:val="28"/>
        </w:rPr>
        <w:t>适量补货为主，市场成交未见明显起色。进入下周，国际原油仍维持区间波动，本轮调价变数增加，消息面难有明确指引。</w:t>
      </w:r>
      <w:proofErr w:type="gramStart"/>
      <w:r w:rsidRPr="00F6621F">
        <w:rPr>
          <w:rFonts w:ascii="华文仿宋" w:eastAsia="华文仿宋" w:hAnsi="华文仿宋" w:cs="华文仿宋"/>
          <w:sz w:val="28"/>
          <w:szCs w:val="28"/>
        </w:rPr>
        <w:t>但地炼库存</w:t>
      </w:r>
      <w:proofErr w:type="gramEnd"/>
      <w:r w:rsidRPr="00F6621F">
        <w:rPr>
          <w:rFonts w:ascii="华文仿宋" w:eastAsia="华文仿宋" w:hAnsi="华文仿宋" w:cs="华文仿宋"/>
          <w:sz w:val="28"/>
          <w:szCs w:val="28"/>
        </w:rPr>
        <w:t>低位，汽柴价格维持高位，对主营价格仍有支撑，预计近期西南地区汽柴行情维持高位。业者观望之余适量补货，市场</w:t>
      </w:r>
      <w:proofErr w:type="gramStart"/>
      <w:r w:rsidRPr="00F6621F">
        <w:rPr>
          <w:rFonts w:ascii="华文仿宋" w:eastAsia="华文仿宋" w:hAnsi="华文仿宋" w:cs="华文仿宋"/>
          <w:sz w:val="28"/>
          <w:szCs w:val="28"/>
        </w:rPr>
        <w:t>成交难</w:t>
      </w:r>
      <w:proofErr w:type="gramEnd"/>
      <w:r w:rsidRPr="00F6621F">
        <w:rPr>
          <w:rFonts w:ascii="华文仿宋" w:eastAsia="华文仿宋" w:hAnsi="华文仿宋" w:cs="华文仿宋"/>
          <w:sz w:val="28"/>
          <w:szCs w:val="28"/>
        </w:rPr>
        <w:t>见活跃。</w:t>
      </w:r>
    </w:p>
    <w:p w:rsidR="00F6621F" w:rsidRPr="00F6621F" w:rsidRDefault="00F6621F" w:rsidP="00F6621F">
      <w:pPr>
        <w:pStyle w:val="aa"/>
        <w:rPr>
          <w:rFonts w:ascii="华文仿宋" w:eastAsia="华文仿宋" w:hAnsi="华文仿宋" w:cs="华文仿宋"/>
          <w:sz w:val="28"/>
          <w:szCs w:val="28"/>
        </w:rPr>
      </w:pPr>
      <w:r w:rsidRPr="00F6621F">
        <w:rPr>
          <w:rFonts w:ascii="华文仿宋" w:eastAsia="华文仿宋" w:hAnsi="华文仿宋" w:cs="华文仿宋"/>
          <w:sz w:val="28"/>
          <w:szCs w:val="28"/>
        </w:rPr>
        <w:t xml:space="preserve">　　步入下周，国际原油价格或维持高位震荡，本轮调价变数增加，消息面对市场难有明确指引。</w:t>
      </w:r>
      <w:proofErr w:type="gramStart"/>
      <w:r w:rsidRPr="00F6621F">
        <w:rPr>
          <w:rFonts w:ascii="华文仿宋" w:eastAsia="华文仿宋" w:hAnsi="华文仿宋" w:cs="华文仿宋"/>
          <w:sz w:val="28"/>
          <w:szCs w:val="28"/>
        </w:rPr>
        <w:t>地炼开工率</w:t>
      </w:r>
      <w:proofErr w:type="gramEnd"/>
      <w:r w:rsidRPr="00F6621F">
        <w:rPr>
          <w:rFonts w:ascii="华文仿宋" w:eastAsia="华文仿宋" w:hAnsi="华文仿宋" w:cs="华文仿宋"/>
          <w:sz w:val="28"/>
          <w:szCs w:val="28"/>
        </w:rPr>
        <w:t>小幅反弹，且缺少基本面需求支撑下，山东</w:t>
      </w:r>
      <w:proofErr w:type="gramStart"/>
      <w:r w:rsidRPr="00F6621F">
        <w:rPr>
          <w:rFonts w:ascii="华文仿宋" w:eastAsia="华文仿宋" w:hAnsi="华文仿宋" w:cs="华文仿宋"/>
          <w:sz w:val="28"/>
          <w:szCs w:val="28"/>
        </w:rPr>
        <w:t>地炼汽</w:t>
      </w:r>
      <w:proofErr w:type="gramEnd"/>
      <w:r w:rsidRPr="00F6621F">
        <w:rPr>
          <w:rFonts w:ascii="华文仿宋" w:eastAsia="华文仿宋" w:hAnsi="华文仿宋" w:cs="华文仿宋"/>
          <w:sz w:val="28"/>
          <w:szCs w:val="28"/>
        </w:rPr>
        <w:t>柴油价格恐将高位回调，但依然处于较高水平。受此影响，主营外</w:t>
      </w:r>
      <w:proofErr w:type="gramStart"/>
      <w:r w:rsidRPr="00F6621F">
        <w:rPr>
          <w:rFonts w:ascii="华文仿宋" w:eastAsia="华文仿宋" w:hAnsi="华文仿宋" w:cs="华文仿宋"/>
          <w:sz w:val="28"/>
          <w:szCs w:val="28"/>
        </w:rPr>
        <w:t>采成本难</w:t>
      </w:r>
      <w:proofErr w:type="gramEnd"/>
      <w:r w:rsidRPr="00F6621F">
        <w:rPr>
          <w:rFonts w:ascii="华文仿宋" w:eastAsia="华文仿宋" w:hAnsi="华文仿宋" w:cs="华文仿宋"/>
          <w:sz w:val="28"/>
          <w:szCs w:val="28"/>
        </w:rPr>
        <w:t>有明显回落，采购难度依然较大，部分地区资源供应偏紧，部分单位或继续推价。考</w:t>
      </w:r>
      <w:r w:rsidRPr="00F6621F">
        <w:rPr>
          <w:rFonts w:ascii="华文仿宋" w:eastAsia="华文仿宋" w:hAnsi="华文仿宋" w:cs="华文仿宋"/>
          <w:sz w:val="28"/>
          <w:szCs w:val="28"/>
        </w:rPr>
        <w:lastRenderedPageBreak/>
        <w:t>虑到目前高温多雨天气持续，户外工程基建等行业开工受限，柴油需求难改平淡。而汽油方面，夏季空调用油较多，整体需求旺盛。汽柴需求表现不一，汽油涨势或稍强于柴油。但国内汽柴行情已涨至高位，业者抵触情绪增加，加之，前期多已补货到位，市场成交将逐步转淡。综合而言，下周国内汽柴行情或仍有一定上行空间，但涨幅逐步收窄。同时，进入中旬，主营出货力度加大，优惠政策或将放宽。</w:t>
      </w:r>
    </w:p>
    <w:p w:rsidR="006C7D15" w:rsidRDefault="00FE2871">
      <w:pPr>
        <w:outlineLvl w:val="0"/>
        <w:rPr>
          <w:rFonts w:ascii="黑体"/>
          <w:b/>
          <w:bCs/>
          <w:sz w:val="28"/>
          <w:szCs w:val="28"/>
        </w:rPr>
      </w:pPr>
      <w:r>
        <w:rPr>
          <w:rFonts w:ascii="黑体" w:hint="eastAsia"/>
          <w:b/>
          <w:bCs/>
          <w:sz w:val="28"/>
          <w:szCs w:val="28"/>
        </w:rPr>
        <w:t>四、国内溶剂油市场综述</w:t>
      </w:r>
      <w:bookmarkEnd w:id="51"/>
    </w:p>
    <w:p w:rsidR="00515CF7" w:rsidRPr="00515CF7" w:rsidRDefault="00FE2871" w:rsidP="00515CF7">
      <w:pPr>
        <w:pStyle w:val="aa"/>
        <w:rPr>
          <w:rFonts w:ascii="华文仿宋" w:eastAsia="华文仿宋" w:hAnsi="华文仿宋" w:cs="华文仿宋"/>
          <w:sz w:val="28"/>
          <w:szCs w:val="28"/>
        </w:rPr>
      </w:pPr>
      <w:r>
        <w:rPr>
          <w:sz w:val="21"/>
          <w:szCs w:val="21"/>
        </w:rPr>
        <w:t xml:space="preserve">　</w:t>
      </w:r>
      <w:r>
        <w:rPr>
          <w:rFonts w:ascii="华文仿宋" w:eastAsia="华文仿宋" w:hAnsi="华文仿宋" w:cs="华文仿宋" w:hint="eastAsia"/>
          <w:sz w:val="28"/>
          <w:szCs w:val="28"/>
        </w:rPr>
        <w:t xml:space="preserve">   </w:t>
      </w:r>
      <w:r w:rsidR="00515CF7" w:rsidRPr="00515CF7">
        <w:rPr>
          <w:rFonts w:ascii="华文仿宋" w:eastAsia="华文仿宋" w:hAnsi="华文仿宋" w:cs="华文仿宋"/>
          <w:sz w:val="28"/>
          <w:szCs w:val="28"/>
        </w:rPr>
        <w:t>本周国内溶剂油市场稍有起色，非标溶剂</w:t>
      </w:r>
      <w:proofErr w:type="gramStart"/>
      <w:r w:rsidR="00515CF7" w:rsidRPr="00515CF7">
        <w:rPr>
          <w:rFonts w:ascii="华文仿宋" w:eastAsia="华文仿宋" w:hAnsi="华文仿宋" w:cs="华文仿宋"/>
          <w:sz w:val="28"/>
          <w:szCs w:val="28"/>
        </w:rPr>
        <w:t>油成交</w:t>
      </w:r>
      <w:proofErr w:type="gramEnd"/>
      <w:r w:rsidR="00515CF7" w:rsidRPr="00515CF7">
        <w:rPr>
          <w:rFonts w:ascii="华文仿宋" w:eastAsia="华文仿宋" w:hAnsi="华文仿宋" w:cs="华文仿宋"/>
          <w:sz w:val="28"/>
          <w:szCs w:val="28"/>
        </w:rPr>
        <w:t>重心上行，但随着溶剂油价格涨至高位，以及终端需求不足对市场制约效应仍在，溶剂油出货始终平淡。近期国际原油震荡，消息面对于溶剂油虽说仍存支撑，但业者仍消耗前期库存为主，</w:t>
      </w:r>
      <w:proofErr w:type="gramStart"/>
      <w:r w:rsidR="00515CF7" w:rsidRPr="00515CF7">
        <w:rPr>
          <w:rFonts w:ascii="华文仿宋" w:eastAsia="华文仿宋" w:hAnsi="华文仿宋" w:cs="华文仿宋"/>
          <w:sz w:val="28"/>
          <w:szCs w:val="28"/>
        </w:rPr>
        <w:t>实单成交</w:t>
      </w:r>
      <w:proofErr w:type="gramEnd"/>
      <w:r w:rsidR="00515CF7" w:rsidRPr="00515CF7">
        <w:rPr>
          <w:rFonts w:ascii="华文仿宋" w:eastAsia="华文仿宋" w:hAnsi="华文仿宋" w:cs="华文仿宋"/>
          <w:sz w:val="28"/>
          <w:szCs w:val="28"/>
        </w:rPr>
        <w:t>寥寥。后市预测：下周国际油价继续盘整的概率较大，对油品市场行情指引作用偏弱。随着溶剂油价格涨至高位，</w:t>
      </w:r>
      <w:proofErr w:type="gramStart"/>
      <w:r w:rsidR="00515CF7" w:rsidRPr="00515CF7">
        <w:rPr>
          <w:rFonts w:ascii="华文仿宋" w:eastAsia="华文仿宋" w:hAnsi="华文仿宋" w:cs="华文仿宋"/>
          <w:sz w:val="28"/>
          <w:szCs w:val="28"/>
        </w:rPr>
        <w:t>下游业</w:t>
      </w:r>
      <w:proofErr w:type="gramEnd"/>
      <w:r w:rsidR="00515CF7" w:rsidRPr="00515CF7">
        <w:rPr>
          <w:rFonts w:ascii="华文仿宋" w:eastAsia="华文仿宋" w:hAnsi="华文仿宋" w:cs="华文仿宋"/>
          <w:sz w:val="28"/>
          <w:szCs w:val="28"/>
        </w:rPr>
        <w:t>者进购积极性减弱，溶剂油</w:t>
      </w:r>
      <w:proofErr w:type="gramStart"/>
      <w:r w:rsidR="00515CF7" w:rsidRPr="00515CF7">
        <w:rPr>
          <w:rFonts w:ascii="华文仿宋" w:eastAsia="华文仿宋" w:hAnsi="华文仿宋" w:cs="华文仿宋"/>
          <w:sz w:val="28"/>
          <w:szCs w:val="28"/>
        </w:rPr>
        <w:t>出货转</w:t>
      </w:r>
      <w:proofErr w:type="gramEnd"/>
      <w:r w:rsidR="00515CF7" w:rsidRPr="00515CF7">
        <w:rPr>
          <w:rFonts w:ascii="华文仿宋" w:eastAsia="华文仿宋" w:hAnsi="华文仿宋" w:cs="华文仿宋"/>
          <w:sz w:val="28"/>
          <w:szCs w:val="28"/>
        </w:rPr>
        <w:t>淡，市场价格存在一定回落风险。故综合来看，溶剂油市场行情稳中下行的概率较大。</w:t>
      </w:r>
    </w:p>
    <w:p w:rsidR="006C7D15" w:rsidRPr="00515CF7" w:rsidRDefault="006C7D15">
      <w:pPr>
        <w:pStyle w:val="aa"/>
        <w:rPr>
          <w:rFonts w:ascii="华文仿宋" w:eastAsia="华文仿宋" w:hAnsi="华文仿宋" w:cs="华文仿宋"/>
          <w:sz w:val="28"/>
          <w:szCs w:val="28"/>
        </w:rPr>
      </w:pPr>
    </w:p>
    <w:p w:rsidR="006C7D15" w:rsidRDefault="00FE2871">
      <w:pPr>
        <w:pStyle w:val="1"/>
        <w:spacing w:line="360" w:lineRule="auto"/>
        <w:rPr>
          <w:rFonts w:ascii="Microsoft YaHei" w:hAnsi="Microsoft YaHei" w:cs="宋体" w:hint="eastAsia"/>
          <w:kern w:val="0"/>
          <w:sz w:val="23"/>
          <w:szCs w:val="23"/>
        </w:rPr>
      </w:pPr>
      <w:bookmarkStart w:id="59" w:name="_Toc460250411"/>
      <w:bookmarkStart w:id="60" w:name="_Toc505350015"/>
      <w:bookmarkEnd w:id="52"/>
      <w:bookmarkEnd w:id="53"/>
      <w:bookmarkEnd w:id="54"/>
      <w:bookmarkEnd w:id="55"/>
      <w:bookmarkEnd w:id="56"/>
      <w:r>
        <w:rPr>
          <w:rFonts w:ascii="黑体" w:hAnsi="宋体" w:hint="eastAsia"/>
          <w:sz w:val="28"/>
          <w:szCs w:val="28"/>
        </w:rPr>
        <w:t>五、本周国内炼厂溶剂油产品价格对比</w:t>
      </w:r>
      <w:bookmarkEnd w:id="57"/>
      <w:bookmarkEnd w:id="58"/>
      <w:bookmarkEnd w:id="59"/>
      <w:bookmarkEnd w:id="60"/>
    </w:p>
    <w:p w:rsidR="006C7D15" w:rsidRDefault="00FE2871">
      <w:pPr>
        <w:rPr>
          <w:rFonts w:ascii="宋体" w:hAnsi="宋体"/>
          <w:sz w:val="20"/>
          <w:szCs w:val="20"/>
        </w:rPr>
      </w:pPr>
      <w:r>
        <w:rPr>
          <w:rFonts w:ascii="宋体" w:hAnsi="宋体" w:hint="eastAsia"/>
          <w:sz w:val="20"/>
          <w:szCs w:val="20"/>
        </w:rPr>
        <w:t>单位：元/吨</w:t>
      </w:r>
    </w:p>
    <w:tbl>
      <w:tblPr>
        <w:tblW w:w="5000" w:type="pct"/>
        <w:tblLook w:val="04A0"/>
      </w:tblPr>
      <w:tblGrid>
        <w:gridCol w:w="1065"/>
        <w:gridCol w:w="1937"/>
        <w:gridCol w:w="1065"/>
        <w:gridCol w:w="1065"/>
        <w:gridCol w:w="1065"/>
        <w:gridCol w:w="1065"/>
        <w:gridCol w:w="1416"/>
        <w:gridCol w:w="1284"/>
      </w:tblGrid>
      <w:tr w:rsidR="00F6621F" w:rsidRPr="00F6621F" w:rsidTr="00F6621F">
        <w:trPr>
          <w:trHeight w:val="240"/>
        </w:trPr>
        <w:tc>
          <w:tcPr>
            <w:tcW w:w="550" w:type="pct"/>
            <w:tcBorders>
              <w:top w:val="single" w:sz="4" w:space="0" w:color="auto"/>
              <w:left w:val="single" w:sz="4" w:space="0" w:color="auto"/>
              <w:bottom w:val="single" w:sz="4" w:space="0" w:color="auto"/>
              <w:right w:val="single" w:sz="4" w:space="0" w:color="auto"/>
            </w:tcBorders>
            <w:shd w:val="clear" w:color="000000" w:fill="00B0F0"/>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地区</w:t>
            </w:r>
          </w:p>
        </w:tc>
        <w:tc>
          <w:tcPr>
            <w:tcW w:w="988" w:type="pct"/>
            <w:tcBorders>
              <w:top w:val="single" w:sz="4" w:space="0" w:color="auto"/>
              <w:left w:val="nil"/>
              <w:bottom w:val="single" w:sz="4" w:space="0" w:color="auto"/>
              <w:right w:val="single" w:sz="4" w:space="0" w:color="auto"/>
            </w:tcBorders>
            <w:shd w:val="clear" w:color="000000" w:fill="00B0F0"/>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生产厂家</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产品名称</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型号</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价格类型</w:t>
            </w:r>
          </w:p>
        </w:tc>
        <w:tc>
          <w:tcPr>
            <w:tcW w:w="550" w:type="pct"/>
            <w:tcBorders>
              <w:top w:val="single" w:sz="4" w:space="0" w:color="auto"/>
              <w:left w:val="nil"/>
              <w:bottom w:val="single" w:sz="4" w:space="0" w:color="auto"/>
              <w:right w:val="single" w:sz="4" w:space="0" w:color="auto"/>
            </w:tcBorders>
            <w:shd w:val="clear" w:color="000000" w:fill="00B0F0"/>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涨跌</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2018/8/10</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2018/8/3</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锦州石化精细</w:t>
            </w:r>
            <w:r w:rsidRPr="00F6621F">
              <w:rPr>
                <w:rFonts w:ascii="华文仿宋" w:eastAsia="华文仿宋" w:hAnsi="华文仿宋" w:cs="宋体" w:hint="eastAsia"/>
                <w:kern w:val="0"/>
                <w:sz w:val="28"/>
                <w:szCs w:val="28"/>
              </w:rPr>
              <w:lastRenderedPageBreak/>
              <w:t>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4900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4900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4900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4900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-150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5400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5550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5600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5500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w:t>
            </w:r>
            <w:proofErr w:type="gramStart"/>
            <w:r w:rsidRPr="00F6621F">
              <w:rPr>
                <w:rFonts w:ascii="华文仿宋" w:eastAsia="华文仿宋" w:hAnsi="华文仿宋" w:cs="宋体" w:hint="eastAsia"/>
                <w:kern w:val="0"/>
                <w:sz w:val="28"/>
                <w:szCs w:val="28"/>
              </w:rPr>
              <w:t>庆</w:t>
            </w:r>
            <w:proofErr w:type="gramEnd"/>
            <w:r w:rsidRPr="00F6621F">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w:t>
            </w:r>
            <w:proofErr w:type="gramStart"/>
            <w:r w:rsidRPr="00F6621F">
              <w:rPr>
                <w:rFonts w:ascii="华文仿宋" w:eastAsia="华文仿宋" w:hAnsi="华文仿宋" w:cs="宋体" w:hint="eastAsia"/>
                <w:kern w:val="0"/>
                <w:sz w:val="28"/>
                <w:szCs w:val="28"/>
              </w:rPr>
              <w:t>庆</w:t>
            </w:r>
            <w:proofErr w:type="gramEnd"/>
            <w:r w:rsidRPr="00F6621F">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w:t>
            </w:r>
            <w:proofErr w:type="gramStart"/>
            <w:r w:rsidRPr="00F6621F">
              <w:rPr>
                <w:rFonts w:ascii="华文仿宋" w:eastAsia="华文仿宋" w:hAnsi="华文仿宋" w:cs="宋体" w:hint="eastAsia"/>
                <w:kern w:val="0"/>
                <w:sz w:val="28"/>
                <w:szCs w:val="28"/>
              </w:rPr>
              <w:t>庆</w:t>
            </w:r>
            <w:proofErr w:type="gramEnd"/>
            <w:r w:rsidRPr="00F6621F">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大庆</w:t>
            </w:r>
            <w:proofErr w:type="gramStart"/>
            <w:r w:rsidRPr="00F6621F">
              <w:rPr>
                <w:rFonts w:ascii="华文仿宋" w:eastAsia="华文仿宋" w:hAnsi="华文仿宋" w:cs="宋体" w:hint="eastAsia"/>
                <w:kern w:val="0"/>
                <w:sz w:val="28"/>
                <w:szCs w:val="28"/>
              </w:rPr>
              <w:t>庆</w:t>
            </w:r>
            <w:proofErr w:type="gramEnd"/>
            <w:r w:rsidRPr="00F6621F">
              <w:rPr>
                <w:rFonts w:ascii="华文仿宋" w:eastAsia="华文仿宋" w:hAnsi="华文仿宋" w:cs="宋体" w:hint="eastAsia"/>
                <w:kern w:val="0"/>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6000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140#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280#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150#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和利时</w:t>
            </w:r>
            <w:proofErr w:type="gramEnd"/>
            <w:r w:rsidRPr="00F6621F">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5550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5350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和利时</w:t>
            </w:r>
            <w:proofErr w:type="gramEnd"/>
            <w:r w:rsidRPr="00F6621F">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和利时</w:t>
            </w:r>
            <w:proofErr w:type="gramEnd"/>
            <w:r w:rsidRPr="00F6621F">
              <w:rPr>
                <w:rFonts w:ascii="华文仿宋" w:eastAsia="华文仿宋" w:hAnsi="华文仿宋" w:cs="宋体" w:hint="eastAsia"/>
                <w:kern w:val="0"/>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6000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w:t>
            </w:r>
            <w:proofErr w:type="gramStart"/>
            <w:r w:rsidRPr="00F6621F">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w:t>
            </w:r>
            <w:proofErr w:type="gramStart"/>
            <w:r w:rsidRPr="00F6621F">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w:t>
            </w:r>
            <w:proofErr w:type="gramStart"/>
            <w:r w:rsidRPr="00F6621F">
              <w:rPr>
                <w:rFonts w:ascii="华文仿宋" w:eastAsia="华文仿宋" w:hAnsi="华文仿宋" w:cs="宋体" w:hint="eastAsia"/>
                <w:kern w:val="0"/>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山东东营旭辰</w:t>
            </w:r>
            <w:r w:rsidRPr="00F6621F">
              <w:rPr>
                <w:rFonts w:ascii="华文仿宋" w:eastAsia="华文仿宋" w:hAnsi="华文仿宋" w:cs="宋体" w:hint="eastAsia"/>
                <w:kern w:val="0"/>
                <w:sz w:val="28"/>
                <w:szCs w:val="28"/>
              </w:rPr>
              <w:lastRenderedPageBreak/>
              <w:t>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5300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5200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5300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5200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6000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5900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4800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4800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5000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青岛石化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济南炼厂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东明石化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7150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7150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6700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6700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7250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7250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90#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杭州炼厂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泰州石化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金陵烷基苯厂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扬州石化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4400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4400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4400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4400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福建联合</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200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5540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5340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110#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300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6800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6500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南阳石化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新疆康佳投资</w:t>
            </w:r>
            <w:r w:rsidRPr="00F6621F">
              <w:rPr>
                <w:rFonts w:ascii="华文仿宋" w:eastAsia="华文仿宋" w:hAnsi="华文仿宋" w:cs="宋体" w:hint="eastAsia"/>
                <w:kern w:val="0"/>
                <w:sz w:val="28"/>
                <w:szCs w:val="28"/>
              </w:rPr>
              <w:lastRenderedPageBreak/>
              <w:t>(集团)</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南充炼厂</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50"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31"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bl>
    <w:p w:rsidR="006C7D15" w:rsidRDefault="006C7D15">
      <w:pPr>
        <w:rPr>
          <w:rFonts w:ascii="宋体" w:hAnsi="宋体"/>
          <w:sz w:val="20"/>
          <w:szCs w:val="20"/>
        </w:rPr>
      </w:pPr>
    </w:p>
    <w:p w:rsidR="006C7D15" w:rsidRDefault="006C7D15">
      <w:pPr>
        <w:widowControl/>
        <w:jc w:val="center"/>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1" w:name="_Toc296600821"/>
      <w:bookmarkStart w:id="62" w:name="_Toc460250412"/>
      <w:bookmarkStart w:id="63" w:name="_Toc281568213"/>
      <w:bookmarkStart w:id="64" w:name="_Toc505350016"/>
      <w:r>
        <w:rPr>
          <w:rFonts w:ascii="黑体" w:hAnsi="宋体" w:hint="eastAsia"/>
          <w:sz w:val="28"/>
          <w:szCs w:val="28"/>
        </w:rPr>
        <w:t>六、D系列特种溶剂油</w:t>
      </w:r>
      <w:bookmarkEnd w:id="61"/>
      <w:bookmarkEnd w:id="62"/>
      <w:bookmarkEnd w:id="63"/>
      <w:bookmarkEnd w:id="64"/>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5000" w:type="pct"/>
        <w:tblLook w:val="04A0"/>
      </w:tblPr>
      <w:tblGrid>
        <w:gridCol w:w="2211"/>
        <w:gridCol w:w="1230"/>
        <w:gridCol w:w="1230"/>
        <w:gridCol w:w="1231"/>
        <w:gridCol w:w="1231"/>
        <w:gridCol w:w="1416"/>
        <w:gridCol w:w="1413"/>
      </w:tblGrid>
      <w:tr w:rsidR="00F6621F" w:rsidRPr="00F6621F" w:rsidTr="00F6621F">
        <w:trPr>
          <w:trHeight w:val="285"/>
        </w:trPr>
        <w:tc>
          <w:tcPr>
            <w:tcW w:w="1110"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生产厂家</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产品名称</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型号</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价格类型</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涨跌</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2018/8/10</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2018/8/3</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D20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7545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7545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D75</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8045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8045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D105</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8145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8145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9145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8145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8145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D120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7745</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7745</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6100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6300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6300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7300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7300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7900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7900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8150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8150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8550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8550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7650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7650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8200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8200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D70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D65</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6900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7000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7000</w:t>
            </w:r>
          </w:p>
        </w:tc>
      </w:tr>
      <w:tr w:rsidR="00F6621F" w:rsidRPr="00F6621F" w:rsidTr="00F6621F">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61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709"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5" w:name="_Toc296600822"/>
      <w:bookmarkStart w:id="66" w:name="_Toc281568214"/>
      <w:bookmarkStart w:id="67" w:name="_Toc505350017"/>
      <w:bookmarkStart w:id="68" w:name="_Toc460250413"/>
      <w:r>
        <w:rPr>
          <w:rFonts w:ascii="华文仿宋" w:eastAsia="华文仿宋" w:hAnsi="华文仿宋" w:hint="eastAsia"/>
          <w:bCs w:val="0"/>
          <w:kern w:val="2"/>
          <w:sz w:val="28"/>
          <w:szCs w:val="28"/>
        </w:rPr>
        <w:lastRenderedPageBreak/>
        <w:t>七、重芳烃溶剂油</w:t>
      </w:r>
      <w:bookmarkEnd w:id="65"/>
      <w:bookmarkEnd w:id="66"/>
      <w:bookmarkEnd w:id="67"/>
      <w:bookmarkEnd w:id="68"/>
    </w:p>
    <w:p w:rsidR="006C7D15" w:rsidRDefault="00FE2871">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5000" w:type="pct"/>
        <w:tblLook w:val="04A0"/>
      </w:tblPr>
      <w:tblGrid>
        <w:gridCol w:w="1077"/>
        <w:gridCol w:w="1614"/>
        <w:gridCol w:w="1285"/>
        <w:gridCol w:w="1150"/>
        <w:gridCol w:w="1078"/>
        <w:gridCol w:w="1058"/>
        <w:gridCol w:w="1416"/>
        <w:gridCol w:w="1284"/>
      </w:tblGrid>
      <w:tr w:rsidR="00F6621F" w:rsidRPr="00F6621F" w:rsidTr="00F6621F">
        <w:trPr>
          <w:trHeight w:val="285"/>
        </w:trPr>
        <w:tc>
          <w:tcPr>
            <w:tcW w:w="559"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地区</w:t>
            </w:r>
          </w:p>
        </w:tc>
        <w:tc>
          <w:tcPr>
            <w:tcW w:w="828"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生产厂家</w:t>
            </w:r>
          </w:p>
        </w:tc>
        <w:tc>
          <w:tcPr>
            <w:tcW w:w="663"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产品名称</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型号</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价格类型</w:t>
            </w:r>
          </w:p>
        </w:tc>
        <w:tc>
          <w:tcPr>
            <w:tcW w:w="549"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涨跌</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2018/8/10</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2018/8/3</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5900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5900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5800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6000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6000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150#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混合芳烃</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淄博锐博</w:t>
            </w:r>
            <w:r w:rsidRPr="00F6621F">
              <w:rPr>
                <w:rFonts w:ascii="华文仿宋" w:eastAsia="华文仿宋" w:hAnsi="华文仿宋" w:cs="宋体" w:hint="eastAsia"/>
                <w:kern w:val="0"/>
                <w:sz w:val="28"/>
                <w:szCs w:val="28"/>
              </w:rPr>
              <w:lastRenderedPageBreak/>
              <w:t>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芳烃溶</w:t>
            </w:r>
            <w:r w:rsidRPr="00F6621F">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S100A</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淄博锐博化工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5900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5900</w:t>
            </w:r>
          </w:p>
        </w:tc>
      </w:tr>
      <w:tr w:rsidR="00F6621F" w:rsidRPr="00F6621F" w:rsidTr="00F6621F">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5700</w:t>
            </w:r>
          </w:p>
        </w:tc>
      </w:tr>
      <w:tr w:rsidR="00F6621F" w:rsidRPr="00F6621F" w:rsidTr="00F6621F">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4700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4700</w:t>
            </w:r>
          </w:p>
        </w:tc>
      </w:tr>
      <w:tr w:rsidR="00F6621F" w:rsidRPr="00F6621F" w:rsidTr="00F6621F">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丹阳</w:t>
            </w:r>
            <w:proofErr w:type="gramStart"/>
            <w:r w:rsidRPr="00F6621F">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混三甲苯</w:t>
            </w:r>
            <w:proofErr w:type="gramEnd"/>
            <w:r w:rsidRPr="00F6621F">
              <w:rPr>
                <w:rFonts w:ascii="华文仿宋" w:eastAsia="华文仿宋" w:hAnsi="华文仿宋" w:cs="宋体" w:hint="eastAsia"/>
                <w:kern w:val="0"/>
                <w:sz w:val="28"/>
                <w:szCs w:val="28"/>
              </w:rPr>
              <w:t>-1</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丹阳</w:t>
            </w:r>
            <w:proofErr w:type="gramStart"/>
            <w:r w:rsidRPr="00F6621F">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混三甲苯</w:t>
            </w:r>
            <w:proofErr w:type="gramEnd"/>
            <w:r w:rsidRPr="00F6621F">
              <w:rPr>
                <w:rFonts w:ascii="华文仿宋" w:eastAsia="华文仿宋" w:hAnsi="华文仿宋" w:cs="宋体" w:hint="eastAsia"/>
                <w:kern w:val="0"/>
                <w:sz w:val="28"/>
                <w:szCs w:val="28"/>
              </w:rPr>
              <w:t>-3</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丹阳</w:t>
            </w:r>
            <w:proofErr w:type="gramStart"/>
            <w:r w:rsidRPr="00F6621F">
              <w:rPr>
                <w:rFonts w:ascii="华文仿宋" w:eastAsia="华文仿宋" w:hAnsi="华文仿宋" w:cs="宋体" w:hint="eastAsia"/>
                <w:kern w:val="0"/>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混四甲苯</w:t>
            </w:r>
            <w:proofErr w:type="gramEnd"/>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云合化工</w:t>
            </w:r>
            <w:r w:rsidRPr="00F6621F">
              <w:rPr>
                <w:rFonts w:ascii="华文仿宋" w:eastAsia="华文仿宋" w:hAnsi="华文仿宋" w:cs="宋体" w:hint="eastAsia"/>
                <w:kern w:val="0"/>
                <w:sz w:val="28"/>
                <w:szCs w:val="28"/>
              </w:rPr>
              <w:lastRenderedPageBreak/>
              <w:t>厂</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芳烃溶</w:t>
            </w:r>
            <w:r w:rsidRPr="00F6621F">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S-1000#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S-1800#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S-2300#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800#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300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6800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6500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300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6600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6300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1800#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5600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5600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S1001#</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溧阳诚兴</w:t>
            </w:r>
            <w:r w:rsidRPr="00F6621F">
              <w:rPr>
                <w:rFonts w:ascii="华文仿宋" w:eastAsia="华文仿宋" w:hAnsi="华文仿宋" w:cs="宋体" w:hint="eastAsia"/>
                <w:kern w:val="0"/>
                <w:sz w:val="28"/>
                <w:szCs w:val="28"/>
              </w:rPr>
              <w:lastRenderedPageBreak/>
              <w:t>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芳烃溶</w:t>
            </w:r>
            <w:r w:rsidRPr="00F6621F">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S1501#</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S1800A</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S1800B</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S100#A</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S100#C</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7100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7200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7200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6800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6800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混合甲乙苯</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混合三甲苯</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w:t>
            </w:r>
            <w:r w:rsidRPr="00F6621F">
              <w:rPr>
                <w:rFonts w:ascii="华文仿宋" w:eastAsia="华文仿宋" w:hAnsi="华文仿宋" w:cs="宋体" w:hint="eastAsia"/>
                <w:kern w:val="0"/>
                <w:sz w:val="28"/>
                <w:szCs w:val="28"/>
              </w:rPr>
              <w:lastRenderedPageBreak/>
              <w:t>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S1000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4300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4300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lastRenderedPageBreak/>
              <w:t>华中</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4000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4000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proofErr w:type="gramStart"/>
            <w:r w:rsidRPr="00F6621F">
              <w:rPr>
                <w:rFonts w:ascii="华文仿宋" w:eastAsia="华文仿宋" w:hAnsi="华文仿宋" w:cs="宋体" w:hint="eastAsia"/>
                <w:kern w:val="0"/>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C10</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r w:rsidR="00F6621F" w:rsidRPr="00F6621F" w:rsidTr="00F6621F">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中海油惠州</w:t>
            </w:r>
          </w:p>
        </w:tc>
        <w:tc>
          <w:tcPr>
            <w:tcW w:w="663"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hint="eastAsia"/>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c>
          <w:tcPr>
            <w:tcW w:w="642" w:type="pct"/>
            <w:tcBorders>
              <w:top w:val="nil"/>
              <w:left w:val="nil"/>
              <w:bottom w:val="single" w:sz="4" w:space="0" w:color="auto"/>
              <w:right w:val="single" w:sz="4" w:space="0" w:color="auto"/>
            </w:tcBorders>
            <w:shd w:val="clear" w:color="000000" w:fill="FFFFFF"/>
            <w:noWrap/>
            <w:vAlign w:val="center"/>
            <w:hideMark/>
          </w:tcPr>
          <w:p w:rsidR="00F6621F" w:rsidRPr="00F6621F" w:rsidRDefault="00F6621F" w:rsidP="00F6621F">
            <w:pPr>
              <w:widowControl/>
              <w:jc w:val="center"/>
              <w:rPr>
                <w:rFonts w:ascii="华文仿宋" w:eastAsia="华文仿宋" w:hAnsi="华文仿宋" w:cs="宋体"/>
                <w:kern w:val="0"/>
                <w:sz w:val="28"/>
                <w:szCs w:val="28"/>
              </w:rPr>
            </w:pPr>
            <w:r w:rsidRPr="00F6621F">
              <w:rPr>
                <w:rFonts w:ascii="华文仿宋" w:eastAsia="华文仿宋" w:hAnsi="华文仿宋" w:cs="宋体"/>
                <w:kern w:val="0"/>
                <w:sz w:val="28"/>
                <w:szCs w:val="28"/>
              </w:rPr>
              <w:t>0</w:t>
            </w:r>
          </w:p>
        </w:tc>
      </w:tr>
    </w:tbl>
    <w:p w:rsidR="006C7D15" w:rsidRDefault="006C7D15">
      <w:pPr>
        <w:autoSpaceDE w:val="0"/>
        <w:autoSpaceDN w:val="0"/>
        <w:adjustRightInd w:val="0"/>
        <w:ind w:firstLineChars="50" w:firstLine="140"/>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6C7D15">
      <w:pPr>
        <w:widowControl/>
        <w:jc w:val="center"/>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9" w:name="_Toc296600823"/>
      <w:bookmarkStart w:id="70" w:name="_Toc180485835"/>
      <w:bookmarkStart w:id="71" w:name="_Toc460250414"/>
      <w:bookmarkStart w:id="72" w:name="_Toc281568215"/>
      <w:bookmarkStart w:id="73" w:name="_Toc505350018"/>
      <w:r>
        <w:rPr>
          <w:rFonts w:ascii="华文仿宋" w:eastAsia="华文仿宋" w:hAnsi="华文仿宋" w:hint="eastAsia"/>
          <w:bCs w:val="0"/>
          <w:kern w:val="2"/>
          <w:sz w:val="28"/>
          <w:szCs w:val="28"/>
        </w:rPr>
        <w:t>八、正己</w:t>
      </w:r>
      <w:proofErr w:type="gramStart"/>
      <w:r>
        <w:rPr>
          <w:rFonts w:ascii="华文仿宋" w:eastAsia="华文仿宋" w:hAnsi="华文仿宋" w:hint="eastAsia"/>
          <w:bCs w:val="0"/>
          <w:kern w:val="2"/>
          <w:sz w:val="28"/>
          <w:szCs w:val="28"/>
        </w:rPr>
        <w:t>烷</w:t>
      </w:r>
      <w:bookmarkEnd w:id="69"/>
      <w:bookmarkEnd w:id="70"/>
      <w:bookmarkEnd w:id="71"/>
      <w:bookmarkEnd w:id="72"/>
      <w:bookmarkEnd w:id="73"/>
      <w:proofErr w:type="gramEnd"/>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w:t>
      </w:r>
      <w:proofErr w:type="gramStart"/>
      <w:r>
        <w:rPr>
          <w:rFonts w:ascii="华文仿宋" w:eastAsia="华文仿宋" w:hAnsi="华文仿宋" w:hint="eastAsia"/>
          <w:sz w:val="28"/>
          <w:szCs w:val="28"/>
        </w:rPr>
        <w:t>烷</w:t>
      </w:r>
      <w:proofErr w:type="gramEnd"/>
      <w:r>
        <w:rPr>
          <w:rFonts w:ascii="华文仿宋" w:eastAsia="华文仿宋" w:hAnsi="华文仿宋" w:hint="eastAsia"/>
          <w:sz w:val="28"/>
          <w:szCs w:val="28"/>
        </w:rPr>
        <w:t>价格汇总</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tbl>
      <w:tblPr>
        <w:tblW w:w="5000" w:type="pct"/>
        <w:tblLook w:val="04A0"/>
      </w:tblPr>
      <w:tblGrid>
        <w:gridCol w:w="1880"/>
        <w:gridCol w:w="1881"/>
        <w:gridCol w:w="1881"/>
        <w:gridCol w:w="2160"/>
        <w:gridCol w:w="2160"/>
      </w:tblGrid>
      <w:tr w:rsidR="001546FC" w:rsidRPr="001546FC" w:rsidTr="001546FC">
        <w:trPr>
          <w:trHeight w:val="285"/>
        </w:trPr>
        <w:tc>
          <w:tcPr>
            <w:tcW w:w="944"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产品名称</w:t>
            </w:r>
          </w:p>
        </w:tc>
        <w:tc>
          <w:tcPr>
            <w:tcW w:w="944" w:type="pct"/>
            <w:tcBorders>
              <w:top w:val="single" w:sz="4" w:space="0" w:color="auto"/>
              <w:left w:val="nil"/>
              <w:bottom w:val="single" w:sz="4" w:space="0" w:color="auto"/>
              <w:right w:val="single" w:sz="4" w:space="0" w:color="auto"/>
            </w:tcBorders>
            <w:shd w:val="clear" w:color="000000" w:fill="99CCFF"/>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价格类型</w:t>
            </w:r>
          </w:p>
        </w:tc>
        <w:tc>
          <w:tcPr>
            <w:tcW w:w="944" w:type="pct"/>
            <w:tcBorders>
              <w:top w:val="single" w:sz="4" w:space="0" w:color="auto"/>
              <w:left w:val="nil"/>
              <w:bottom w:val="single" w:sz="4" w:space="0" w:color="auto"/>
              <w:right w:val="single" w:sz="4" w:space="0" w:color="auto"/>
            </w:tcBorders>
            <w:shd w:val="clear" w:color="000000" w:fill="99CCFF"/>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涨跌</w:t>
            </w:r>
          </w:p>
        </w:tc>
        <w:tc>
          <w:tcPr>
            <w:tcW w:w="1084" w:type="pct"/>
            <w:tcBorders>
              <w:top w:val="single" w:sz="4" w:space="0" w:color="auto"/>
              <w:left w:val="nil"/>
              <w:bottom w:val="single" w:sz="4" w:space="0" w:color="auto"/>
              <w:right w:val="single" w:sz="4" w:space="0" w:color="auto"/>
            </w:tcBorders>
            <w:shd w:val="clear" w:color="000000" w:fill="99CCFF"/>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2018/8/10</w:t>
            </w:r>
          </w:p>
        </w:tc>
        <w:tc>
          <w:tcPr>
            <w:tcW w:w="1084" w:type="pct"/>
            <w:tcBorders>
              <w:top w:val="single" w:sz="4" w:space="0" w:color="auto"/>
              <w:left w:val="nil"/>
              <w:bottom w:val="single" w:sz="4" w:space="0" w:color="auto"/>
              <w:right w:val="single" w:sz="4" w:space="0" w:color="auto"/>
            </w:tcBorders>
            <w:shd w:val="clear" w:color="000000" w:fill="99CCFF"/>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2018/8/3</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6000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6000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8000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8000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lastRenderedPageBreak/>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7100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7100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7050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7050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7500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7500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7000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7000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7400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7400</w:t>
            </w:r>
          </w:p>
        </w:tc>
      </w:tr>
      <w:tr w:rsidR="001546FC" w:rsidRPr="001546FC" w:rsidTr="001546FC">
        <w:trPr>
          <w:trHeight w:val="285"/>
        </w:trPr>
        <w:tc>
          <w:tcPr>
            <w:tcW w:w="944" w:type="pct"/>
            <w:tcBorders>
              <w:top w:val="nil"/>
              <w:left w:val="single" w:sz="4" w:space="0" w:color="auto"/>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正己烷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出厂价</w:t>
            </w:r>
          </w:p>
        </w:tc>
        <w:tc>
          <w:tcPr>
            <w:tcW w:w="944" w:type="pct"/>
            <w:tcBorders>
              <w:top w:val="nil"/>
              <w:left w:val="nil"/>
              <w:bottom w:val="single" w:sz="4" w:space="0" w:color="auto"/>
              <w:right w:val="single" w:sz="4" w:space="0" w:color="auto"/>
            </w:tcBorders>
            <w:shd w:val="clear" w:color="auto" w:fill="auto"/>
            <w:vAlign w:val="bottom"/>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hint="eastAsia"/>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c>
          <w:tcPr>
            <w:tcW w:w="1084" w:type="pct"/>
            <w:tcBorders>
              <w:top w:val="nil"/>
              <w:left w:val="nil"/>
              <w:bottom w:val="single" w:sz="4" w:space="0" w:color="auto"/>
              <w:right w:val="single" w:sz="4" w:space="0" w:color="auto"/>
            </w:tcBorders>
            <w:shd w:val="clear" w:color="000000" w:fill="FFFFFF"/>
            <w:noWrap/>
            <w:vAlign w:val="center"/>
            <w:hideMark/>
          </w:tcPr>
          <w:p w:rsidR="001546FC" w:rsidRPr="001546FC" w:rsidRDefault="001546FC" w:rsidP="001546FC">
            <w:pPr>
              <w:widowControl/>
              <w:jc w:val="center"/>
              <w:rPr>
                <w:rFonts w:ascii="华文仿宋" w:eastAsia="华文仿宋" w:hAnsi="华文仿宋" w:cs="宋体"/>
                <w:kern w:val="0"/>
                <w:sz w:val="28"/>
                <w:szCs w:val="28"/>
              </w:rPr>
            </w:pPr>
            <w:r w:rsidRPr="001546FC">
              <w:rPr>
                <w:rFonts w:ascii="华文仿宋" w:eastAsia="华文仿宋" w:hAnsi="华文仿宋" w:cs="宋体"/>
                <w:kern w:val="0"/>
                <w:sz w:val="28"/>
                <w:szCs w:val="28"/>
              </w:rPr>
              <w:t>0</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6C7D15" w:rsidRDefault="00FE287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 w:val="0"/>
          <w:bCs w:val="0"/>
          <w:kern w:val="2"/>
          <w:sz w:val="28"/>
          <w:szCs w:val="28"/>
        </w:rPr>
      </w:pPr>
      <w:bookmarkStart w:id="74" w:name="_Toc296600824"/>
      <w:bookmarkStart w:id="75" w:name="_Toc505350019"/>
      <w:bookmarkStart w:id="76" w:name="_Toc460250415"/>
      <w:bookmarkStart w:id="77" w:name="_Toc281568216"/>
      <w:r>
        <w:rPr>
          <w:rFonts w:ascii="华文仿宋" w:eastAsia="华文仿宋" w:hAnsi="华文仿宋" w:hint="eastAsia"/>
          <w:b w:val="0"/>
          <w:bCs w:val="0"/>
          <w:kern w:val="2"/>
          <w:sz w:val="28"/>
          <w:szCs w:val="28"/>
        </w:rPr>
        <w:t>九、2018年3月中国溶剂油石脑油进出口数据统计</w:t>
      </w:r>
      <w:bookmarkEnd w:id="74"/>
      <w:bookmarkEnd w:id="75"/>
      <w:bookmarkEnd w:id="76"/>
      <w:bookmarkEnd w:id="77"/>
    </w:p>
    <w:p w:rsidR="006C7D15" w:rsidRDefault="006C7D15"/>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bookmarkStart w:id="78" w:name="_Toc296600826"/>
      <w:bookmarkStart w:id="79" w:name="_Toc281568218"/>
      <w:r>
        <w:rPr>
          <w:rFonts w:ascii="华文仿宋" w:eastAsia="华文仿宋" w:hAnsi="华文仿宋" w:hint="eastAsia"/>
          <w:sz w:val="28"/>
          <w:szCs w:val="28"/>
        </w:rPr>
        <w:t>2018年3月中国</w:t>
      </w:r>
      <w:r>
        <w:rPr>
          <w:rFonts w:ascii="华文仿宋" w:eastAsia="华文仿宋" w:hAnsi="华文仿宋"/>
          <w:sz w:val="28"/>
          <w:szCs w:val="28"/>
        </w:rPr>
        <w:t>橡胶溶剂油、油漆溶剂油、抽提溶剂油</w:t>
      </w:r>
      <w:bookmarkEnd w:id="78"/>
      <w:bookmarkEnd w:id="79"/>
      <w:r>
        <w:rPr>
          <w:rFonts w:ascii="华文仿宋" w:eastAsia="华文仿宋" w:hAnsi="华文仿宋" w:hint="eastAsia"/>
          <w:sz w:val="28"/>
          <w:szCs w:val="28"/>
        </w:rPr>
        <w:t>进出口数据</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Pr>
          <w:rFonts w:ascii="华文仿宋" w:eastAsia="华文仿宋" w:hAnsi="华文仿宋" w:hint="eastAsia"/>
          <w:sz w:val="28"/>
          <w:szCs w:val="28"/>
        </w:rPr>
        <w:t>(数量单位：</w:t>
      </w:r>
      <w:proofErr w:type="gramStart"/>
      <w:r>
        <w:rPr>
          <w:rFonts w:ascii="华文仿宋" w:eastAsia="华文仿宋" w:hAnsi="华文仿宋" w:hint="eastAsia"/>
          <w:sz w:val="28"/>
          <w:szCs w:val="28"/>
        </w:rPr>
        <w:t>千克/</w:t>
      </w:r>
      <w:proofErr w:type="gramEnd"/>
      <w:r>
        <w:rPr>
          <w:rFonts w:ascii="华文仿宋" w:eastAsia="华文仿宋" w:hAnsi="华文仿宋" w:hint="eastAsia"/>
          <w:sz w:val="28"/>
          <w:szCs w:val="28"/>
        </w:rPr>
        <w:t>升 金额单位: 美元)</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76" w:type="dxa"/>
        <w:tblLayout w:type="fixed"/>
        <w:tblCellMar>
          <w:top w:w="15" w:type="dxa"/>
          <w:left w:w="15" w:type="dxa"/>
          <w:bottom w:w="15" w:type="dxa"/>
          <w:right w:w="15" w:type="dxa"/>
        </w:tblCellMar>
        <w:tblLook w:val="04A0"/>
      </w:tblPr>
      <w:tblGrid>
        <w:gridCol w:w="2880"/>
        <w:gridCol w:w="1790"/>
        <w:gridCol w:w="1621"/>
        <w:gridCol w:w="1743"/>
        <w:gridCol w:w="1742"/>
      </w:tblGrid>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79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62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743"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74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4964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台湾省</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10560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23654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986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785199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1096866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日本</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43468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92487</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朝鲜</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30020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42028</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比利时</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2559</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8202</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法国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12524</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628</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4506</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荷兰</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1216</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4139</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35760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53998</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24960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41434</w:t>
            </w:r>
          </w:p>
        </w:tc>
      </w:tr>
      <w:tr w:rsidR="006C7D15">
        <w:trPr>
          <w:trHeight w:val="285"/>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马来西亚</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32600</w:t>
            </w:r>
          </w:p>
        </w:tc>
        <w:tc>
          <w:tcPr>
            <w:tcW w:w="1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35244</w:t>
            </w:r>
          </w:p>
        </w:tc>
      </w:tr>
    </w:tbl>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6C7D15" w:rsidRDefault="00FE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Pr>
          <w:rFonts w:ascii="华文仿宋" w:eastAsia="华文仿宋" w:hAnsi="华文仿宋" w:hint="eastAsia"/>
          <w:sz w:val="28"/>
          <w:szCs w:val="28"/>
        </w:rPr>
        <w:t>2018年3月石脑油进出口数据(数量单位：</w:t>
      </w:r>
      <w:proofErr w:type="gramStart"/>
      <w:r>
        <w:rPr>
          <w:rFonts w:ascii="华文仿宋" w:eastAsia="华文仿宋" w:hAnsi="华文仿宋" w:hint="eastAsia"/>
          <w:sz w:val="28"/>
          <w:szCs w:val="28"/>
        </w:rPr>
        <w:t>千克/</w:t>
      </w:r>
      <w:proofErr w:type="gramEnd"/>
      <w:r>
        <w:rPr>
          <w:rFonts w:ascii="华文仿宋" w:eastAsia="华文仿宋" w:hAnsi="华文仿宋" w:hint="eastAsia"/>
          <w:sz w:val="28"/>
          <w:szCs w:val="28"/>
        </w:rPr>
        <w:t>升 金额单位: 美元)</w:t>
      </w:r>
    </w:p>
    <w:p w:rsidR="006C7D15" w:rsidRDefault="006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76" w:type="dxa"/>
        <w:tblLayout w:type="fixed"/>
        <w:tblCellMar>
          <w:top w:w="15" w:type="dxa"/>
          <w:left w:w="15" w:type="dxa"/>
          <w:bottom w:w="15" w:type="dxa"/>
          <w:right w:w="15" w:type="dxa"/>
        </w:tblCellMar>
        <w:tblLook w:val="04A0"/>
      </w:tblPr>
      <w:tblGrid>
        <w:gridCol w:w="1955"/>
        <w:gridCol w:w="1955"/>
        <w:gridCol w:w="1956"/>
        <w:gridCol w:w="1955"/>
        <w:gridCol w:w="1955"/>
      </w:tblGrid>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产销国</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进口数量</w:t>
            </w:r>
          </w:p>
        </w:tc>
        <w:tc>
          <w:tcPr>
            <w:tcW w:w="195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进口美元</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出口数量</w:t>
            </w:r>
          </w:p>
        </w:tc>
        <w:tc>
          <w:tcPr>
            <w:tcW w:w="195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6C7D15" w:rsidRDefault="00FE287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出口美元</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俄罗斯联邦</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60850458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32928505</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印度</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29972525</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17664699</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埃及</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36355897</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21572481</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86</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荷兰</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55866332</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32618531</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480"/>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阿拉伯联合酋</w:t>
            </w:r>
            <w:r>
              <w:rPr>
                <w:rFonts w:ascii="华文仿宋" w:eastAsia="华文仿宋" w:hAnsi="华文仿宋" w:cs="华文仿宋" w:hint="eastAsia"/>
                <w:color w:val="000000"/>
                <w:kern w:val="0"/>
                <w:sz w:val="28"/>
                <w:szCs w:val="28"/>
              </w:rPr>
              <w:lastRenderedPageBreak/>
              <w:t>长国</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55461759</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32868053</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6C7D15">
        <w:trPr>
          <w:trHeight w:val="285"/>
        </w:trPr>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韩国</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64861818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37385693</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D15" w:rsidRDefault="00FE2871">
            <w:pPr>
              <w:widowControl/>
              <w:jc w:val="center"/>
              <w:textAlignment w:val="center"/>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bl>
    <w:p w:rsidR="006C7D15" w:rsidRDefault="006C7D15">
      <w:pPr>
        <w:widowControl/>
        <w:jc w:val="center"/>
        <w:rPr>
          <w:rFonts w:ascii="华文仿宋" w:eastAsia="华文仿宋" w:hAnsi="华文仿宋"/>
          <w:sz w:val="28"/>
          <w:szCs w:val="28"/>
        </w:rPr>
      </w:pPr>
    </w:p>
    <w:sectPr w:rsidR="006C7D15" w:rsidSect="006C7D15">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BD" w:rsidRDefault="001C2EBD" w:rsidP="006C7D15">
      <w:r>
        <w:separator/>
      </w:r>
    </w:p>
  </w:endnote>
  <w:endnote w:type="continuationSeparator" w:id="0">
    <w:p w:rsidR="001C2EBD" w:rsidRDefault="001C2EBD" w:rsidP="006C7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Courier New"/>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1F" w:rsidRDefault="00F6621F">
    <w:pPr>
      <w:pStyle w:val="a7"/>
      <w:jc w:val="center"/>
    </w:pPr>
    <w:r>
      <w:rPr>
        <w:lang w:val="zh-CN"/>
      </w:rPr>
      <w:t xml:space="preserve"> </w:t>
    </w:r>
    <w:r w:rsidR="00754B00">
      <w:rPr>
        <w:b/>
        <w:bCs/>
        <w:sz w:val="24"/>
        <w:szCs w:val="24"/>
      </w:rPr>
      <w:fldChar w:fldCharType="begin"/>
    </w:r>
    <w:r>
      <w:rPr>
        <w:b/>
        <w:bCs/>
      </w:rPr>
      <w:instrText>PAGE</w:instrText>
    </w:r>
    <w:r w:rsidR="00754B00">
      <w:rPr>
        <w:b/>
        <w:bCs/>
        <w:sz w:val="24"/>
        <w:szCs w:val="24"/>
      </w:rPr>
      <w:fldChar w:fldCharType="separate"/>
    </w:r>
    <w:r w:rsidR="00AD1F63">
      <w:rPr>
        <w:b/>
        <w:bCs/>
        <w:noProof/>
      </w:rPr>
      <w:t>40</w:t>
    </w:r>
    <w:r w:rsidR="00754B00">
      <w:rPr>
        <w:b/>
        <w:bCs/>
        <w:sz w:val="24"/>
        <w:szCs w:val="24"/>
      </w:rPr>
      <w:fldChar w:fldCharType="end"/>
    </w:r>
    <w:r>
      <w:rPr>
        <w:lang w:val="zh-CN"/>
      </w:rPr>
      <w:t xml:space="preserve"> / </w:t>
    </w:r>
    <w:r w:rsidR="00754B00">
      <w:rPr>
        <w:b/>
        <w:bCs/>
        <w:sz w:val="24"/>
        <w:szCs w:val="24"/>
      </w:rPr>
      <w:fldChar w:fldCharType="begin"/>
    </w:r>
    <w:r>
      <w:rPr>
        <w:b/>
        <w:bCs/>
      </w:rPr>
      <w:instrText>NUMPAGES</w:instrText>
    </w:r>
    <w:r w:rsidR="00754B00">
      <w:rPr>
        <w:b/>
        <w:bCs/>
        <w:sz w:val="24"/>
        <w:szCs w:val="24"/>
      </w:rPr>
      <w:fldChar w:fldCharType="separate"/>
    </w:r>
    <w:r w:rsidR="00AD1F63">
      <w:rPr>
        <w:b/>
        <w:bCs/>
        <w:noProof/>
      </w:rPr>
      <w:t>40</w:t>
    </w:r>
    <w:r w:rsidR="00754B00">
      <w:rPr>
        <w:b/>
        <w:bCs/>
        <w:sz w:val="24"/>
        <w:szCs w:val="24"/>
      </w:rPr>
      <w:fldChar w:fldCharType="end"/>
    </w:r>
  </w:p>
  <w:p w:rsidR="00F6621F" w:rsidRDefault="00F6621F">
    <w:pPr>
      <w:pStyle w:val="a7"/>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BD" w:rsidRDefault="001C2EBD" w:rsidP="006C7D15">
      <w:r>
        <w:separator/>
      </w:r>
    </w:p>
  </w:footnote>
  <w:footnote w:type="continuationSeparator" w:id="0">
    <w:p w:rsidR="001C2EBD" w:rsidRDefault="001C2EBD" w:rsidP="006C7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21F" w:rsidRDefault="00F6621F">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F6621F" w:rsidRDefault="00F6621F">
    <w:pPr>
      <w:pStyle w:val="a8"/>
      <w:pBdr>
        <w:bottom w:val="none" w:sz="0" w:space="0" w:color="auto"/>
      </w:pBdr>
    </w:pPr>
  </w:p>
  <w:p w:rsidR="00F6621F" w:rsidRDefault="00F6621F">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BECC"/>
    <w:multiLevelType w:val="singleLevel"/>
    <w:tmpl w:val="2E66BECC"/>
    <w:lvl w:ilvl="0">
      <w:start w:val="1"/>
      <w:numFmt w:val="decimal"/>
      <w:suff w:val="nothing"/>
      <w:lvlText w:val="%1、"/>
      <w:lvlJc w:val="left"/>
    </w:lvl>
  </w:abstractNum>
  <w:abstractNum w:abstractNumId="1">
    <w:nsid w:val="37716F8E"/>
    <w:multiLevelType w:val="singleLevel"/>
    <w:tmpl w:val="37716F8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9218"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E6C5C"/>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B02F43"/>
    <w:rsid w:val="1CD92D71"/>
    <w:rsid w:val="1DA91524"/>
    <w:rsid w:val="1DBC2256"/>
    <w:rsid w:val="1F57560A"/>
    <w:rsid w:val="20DD1860"/>
    <w:rsid w:val="21416467"/>
    <w:rsid w:val="21467DDF"/>
    <w:rsid w:val="2258468B"/>
    <w:rsid w:val="24977CE4"/>
    <w:rsid w:val="250C493B"/>
    <w:rsid w:val="272712C8"/>
    <w:rsid w:val="29CF7033"/>
    <w:rsid w:val="2C672FEB"/>
    <w:rsid w:val="2D12102F"/>
    <w:rsid w:val="2F6F6534"/>
    <w:rsid w:val="2FB62CD5"/>
    <w:rsid w:val="3166404B"/>
    <w:rsid w:val="316E4BCF"/>
    <w:rsid w:val="32FB3069"/>
    <w:rsid w:val="359C2633"/>
    <w:rsid w:val="360A4426"/>
    <w:rsid w:val="37623BD0"/>
    <w:rsid w:val="378A2746"/>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5C42961"/>
    <w:rsid w:val="66AD6F06"/>
    <w:rsid w:val="67F355EF"/>
    <w:rsid w:val="68727AEB"/>
    <w:rsid w:val="68CB2404"/>
    <w:rsid w:val="6B353E8E"/>
    <w:rsid w:val="6B7A4196"/>
    <w:rsid w:val="6BC94628"/>
    <w:rsid w:val="6F514B5B"/>
    <w:rsid w:val="6FE46FB1"/>
    <w:rsid w:val="712C720C"/>
    <w:rsid w:val="74605603"/>
    <w:rsid w:val="74EA6BF5"/>
    <w:rsid w:val="75903C84"/>
    <w:rsid w:val="766E0138"/>
    <w:rsid w:val="76DA4E14"/>
    <w:rsid w:val="78C05101"/>
    <w:rsid w:val="7A0850E0"/>
    <w:rsid w:val="7C4A2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lsdException w:name="Normal Table" w:qFormat="1"/>
    <w:lsdException w:name="Balloon Text" w:semiHidden="0"/>
    <w:lsdException w:name="Table Grid" w:semiHidden="0" w:uiPriority="59" w:unhideWhenUsed="0"/>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15"/>
    <w:pPr>
      <w:widowControl w:val="0"/>
      <w:jc w:val="both"/>
    </w:pPr>
    <w:rPr>
      <w:kern w:val="2"/>
      <w:sz w:val="21"/>
      <w:szCs w:val="22"/>
    </w:rPr>
  </w:style>
  <w:style w:type="paragraph" w:styleId="1">
    <w:name w:val="heading 1"/>
    <w:basedOn w:val="a"/>
    <w:next w:val="a"/>
    <w:link w:val="1Char"/>
    <w:uiPriority w:val="9"/>
    <w:qFormat/>
    <w:rsid w:val="006C7D15"/>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6C7D15"/>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6C7D15"/>
    <w:pPr>
      <w:keepNext/>
      <w:keepLines/>
      <w:spacing w:before="260" w:after="260" w:line="416" w:lineRule="auto"/>
      <w:outlineLvl w:val="2"/>
    </w:pPr>
    <w:rPr>
      <w:bCs/>
      <w:sz w:val="24"/>
      <w:szCs w:val="32"/>
    </w:rPr>
  </w:style>
  <w:style w:type="paragraph" w:styleId="4">
    <w:name w:val="heading 4"/>
    <w:basedOn w:val="a"/>
    <w:next w:val="a"/>
    <w:qFormat/>
    <w:rsid w:val="006C7D1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6C7D15"/>
    <w:rPr>
      <w:rFonts w:ascii="宋体"/>
      <w:sz w:val="18"/>
      <w:szCs w:val="18"/>
    </w:rPr>
  </w:style>
  <w:style w:type="paragraph" w:styleId="a4">
    <w:name w:val="Body Text Indent"/>
    <w:basedOn w:val="a"/>
    <w:qFormat/>
    <w:rsid w:val="006C7D15"/>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6C7D15"/>
    <w:pPr>
      <w:ind w:leftChars="400" w:left="840"/>
    </w:pPr>
  </w:style>
  <w:style w:type="paragraph" w:styleId="a5">
    <w:name w:val="Date"/>
    <w:basedOn w:val="a"/>
    <w:next w:val="a"/>
    <w:qFormat/>
    <w:rsid w:val="006C7D15"/>
    <w:pPr>
      <w:ind w:leftChars="2500" w:left="100"/>
    </w:pPr>
    <w:rPr>
      <w:rFonts w:ascii="宋体"/>
      <w:kern w:val="0"/>
      <w:sz w:val="20"/>
      <w:szCs w:val="20"/>
      <w:lang w:val="zh-CN"/>
    </w:rPr>
  </w:style>
  <w:style w:type="paragraph" w:styleId="20">
    <w:name w:val="Body Text Indent 2"/>
    <w:basedOn w:val="a"/>
    <w:qFormat/>
    <w:rsid w:val="006C7D15"/>
    <w:pPr>
      <w:tabs>
        <w:tab w:val="left" w:pos="2520"/>
      </w:tabs>
      <w:ind w:firstLine="435"/>
    </w:pPr>
    <w:rPr>
      <w:szCs w:val="24"/>
    </w:rPr>
  </w:style>
  <w:style w:type="paragraph" w:styleId="a6">
    <w:name w:val="Balloon Text"/>
    <w:basedOn w:val="a"/>
    <w:link w:val="Char0"/>
    <w:uiPriority w:val="99"/>
    <w:unhideWhenUsed/>
    <w:rsid w:val="006C7D15"/>
    <w:rPr>
      <w:kern w:val="0"/>
      <w:sz w:val="18"/>
      <w:szCs w:val="18"/>
    </w:rPr>
  </w:style>
  <w:style w:type="paragraph" w:styleId="a7">
    <w:name w:val="footer"/>
    <w:basedOn w:val="a"/>
    <w:link w:val="Char1"/>
    <w:uiPriority w:val="99"/>
    <w:unhideWhenUsed/>
    <w:qFormat/>
    <w:rsid w:val="006C7D15"/>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6C7D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6C7D15"/>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6C7D15"/>
    <w:pPr>
      <w:spacing w:before="240" w:after="60" w:line="312" w:lineRule="auto"/>
      <w:jc w:val="center"/>
      <w:outlineLvl w:val="1"/>
    </w:pPr>
    <w:rPr>
      <w:rFonts w:ascii="Cambria" w:hAnsi="Cambria"/>
      <w:b/>
      <w:bCs/>
      <w:kern w:val="28"/>
      <w:sz w:val="32"/>
      <w:szCs w:val="32"/>
    </w:rPr>
  </w:style>
  <w:style w:type="paragraph" w:styleId="31">
    <w:name w:val="Body Text Indent 3"/>
    <w:basedOn w:val="a"/>
    <w:qFormat/>
    <w:rsid w:val="006C7D15"/>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6C7D15"/>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rsid w:val="006C7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uiPriority w:val="99"/>
    <w:qFormat/>
    <w:rsid w:val="006C7D15"/>
    <w:pPr>
      <w:widowControl/>
      <w:spacing w:before="100" w:beforeAutospacing="1" w:after="100" w:afterAutospacing="1"/>
      <w:jc w:val="left"/>
    </w:pPr>
    <w:rPr>
      <w:rFonts w:ascii="宋体" w:hAnsi="宋体" w:cs="宋体"/>
      <w:kern w:val="0"/>
      <w:sz w:val="24"/>
      <w:szCs w:val="24"/>
    </w:rPr>
  </w:style>
  <w:style w:type="character" w:styleId="ab">
    <w:name w:val="Strong"/>
    <w:qFormat/>
    <w:rsid w:val="006C7D15"/>
    <w:rPr>
      <w:b/>
      <w:bCs/>
    </w:rPr>
  </w:style>
  <w:style w:type="character" w:styleId="ac">
    <w:name w:val="page number"/>
    <w:basedOn w:val="a0"/>
    <w:qFormat/>
    <w:rsid w:val="006C7D15"/>
  </w:style>
  <w:style w:type="character" w:styleId="ad">
    <w:name w:val="FollowedHyperlink"/>
    <w:uiPriority w:val="99"/>
    <w:qFormat/>
    <w:rsid w:val="006C7D15"/>
    <w:rPr>
      <w:color w:val="800080"/>
      <w:u w:val="single"/>
    </w:rPr>
  </w:style>
  <w:style w:type="character" w:styleId="ae">
    <w:name w:val="Hyperlink"/>
    <w:uiPriority w:val="99"/>
    <w:qFormat/>
    <w:rsid w:val="006C7D15"/>
    <w:rPr>
      <w:color w:val="0000FF"/>
      <w:u w:val="single"/>
    </w:rPr>
  </w:style>
  <w:style w:type="table" w:styleId="af">
    <w:name w:val="Table Theme"/>
    <w:basedOn w:val="a1"/>
    <w:qFormat/>
    <w:rsid w:val="006C7D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6C7D15"/>
    <w:rPr>
      <w:rFonts w:eastAsia="宋体"/>
      <w:b/>
      <w:bCs/>
      <w:kern w:val="2"/>
      <w:sz w:val="32"/>
      <w:szCs w:val="32"/>
      <w:lang w:val="en-US" w:eastAsia="zh-CN" w:bidi="ar-SA"/>
    </w:rPr>
  </w:style>
  <w:style w:type="character" w:customStyle="1" w:styleId="Char2">
    <w:name w:val="页眉 Char"/>
    <w:link w:val="a8"/>
    <w:uiPriority w:val="99"/>
    <w:qFormat/>
    <w:rsid w:val="006C7D15"/>
    <w:rPr>
      <w:sz w:val="18"/>
      <w:szCs w:val="18"/>
    </w:rPr>
  </w:style>
  <w:style w:type="character" w:customStyle="1" w:styleId="showtext">
    <w:name w:val="showtext"/>
    <w:basedOn w:val="a0"/>
    <w:qFormat/>
    <w:rsid w:val="006C7D15"/>
  </w:style>
  <w:style w:type="character" w:customStyle="1" w:styleId="2Char1">
    <w:name w:val="标题 2 Char1"/>
    <w:link w:val="2"/>
    <w:uiPriority w:val="9"/>
    <w:qFormat/>
    <w:rsid w:val="006C7D15"/>
    <w:rPr>
      <w:rFonts w:ascii="Cambria" w:hAnsi="Cambria"/>
      <w:b/>
      <w:bCs/>
      <w:kern w:val="2"/>
      <w:sz w:val="28"/>
      <w:szCs w:val="32"/>
    </w:rPr>
  </w:style>
  <w:style w:type="character" w:customStyle="1" w:styleId="WebCharChar2">
    <w:name w:val="普通 (Web) Char Char2"/>
    <w:qFormat/>
    <w:locked/>
    <w:rsid w:val="006C7D15"/>
    <w:rPr>
      <w:rFonts w:ascii="宋体" w:eastAsia="宋体" w:hAnsi="宋体" w:cs="宋体"/>
      <w:sz w:val="24"/>
      <w:szCs w:val="24"/>
      <w:lang w:val="en-US" w:eastAsia="zh-CN" w:bidi="ar-SA"/>
    </w:rPr>
  </w:style>
  <w:style w:type="character" w:customStyle="1" w:styleId="apple-converted-space">
    <w:name w:val="apple-converted-space"/>
    <w:basedOn w:val="a0"/>
    <w:qFormat/>
    <w:rsid w:val="006C7D15"/>
  </w:style>
  <w:style w:type="character" w:customStyle="1" w:styleId="1Char">
    <w:name w:val="标题 1 Char"/>
    <w:link w:val="1"/>
    <w:uiPriority w:val="9"/>
    <w:qFormat/>
    <w:rsid w:val="006C7D15"/>
    <w:rPr>
      <w:rFonts w:eastAsia="黑体"/>
      <w:b/>
      <w:bCs/>
      <w:kern w:val="44"/>
      <w:sz w:val="32"/>
      <w:szCs w:val="44"/>
    </w:rPr>
  </w:style>
  <w:style w:type="character" w:customStyle="1" w:styleId="Char1">
    <w:name w:val="页脚 Char"/>
    <w:link w:val="a7"/>
    <w:uiPriority w:val="99"/>
    <w:qFormat/>
    <w:rsid w:val="006C7D15"/>
    <w:rPr>
      <w:sz w:val="18"/>
      <w:szCs w:val="18"/>
    </w:rPr>
  </w:style>
  <w:style w:type="character" w:customStyle="1" w:styleId="f21">
    <w:name w:val="f21"/>
    <w:rsid w:val="006C7D15"/>
    <w:rPr>
      <w:rFonts w:ascii="宋体" w:eastAsia="宋体" w:hAnsi="宋体" w:hint="eastAsia"/>
      <w:sz w:val="21"/>
      <w:szCs w:val="21"/>
    </w:rPr>
  </w:style>
  <w:style w:type="character" w:customStyle="1" w:styleId="Char0">
    <w:name w:val="批注框文本 Char"/>
    <w:link w:val="a6"/>
    <w:uiPriority w:val="99"/>
    <w:semiHidden/>
    <w:qFormat/>
    <w:rsid w:val="006C7D15"/>
    <w:rPr>
      <w:sz w:val="18"/>
      <w:szCs w:val="18"/>
    </w:rPr>
  </w:style>
  <w:style w:type="character" w:customStyle="1" w:styleId="style11">
    <w:name w:val="style11"/>
    <w:qFormat/>
    <w:rsid w:val="006C7D15"/>
    <w:rPr>
      <w:color w:val="999999"/>
      <w:sz w:val="18"/>
      <w:szCs w:val="18"/>
    </w:rPr>
  </w:style>
  <w:style w:type="character" w:customStyle="1" w:styleId="Char3">
    <w:name w:val="副标题 Char"/>
    <w:link w:val="a9"/>
    <w:uiPriority w:val="11"/>
    <w:qFormat/>
    <w:rsid w:val="006C7D15"/>
    <w:rPr>
      <w:rFonts w:ascii="Cambria" w:hAnsi="Cambria" w:cs="Times New Roman"/>
      <w:b/>
      <w:bCs/>
      <w:kern w:val="28"/>
      <w:sz w:val="32"/>
      <w:szCs w:val="32"/>
    </w:rPr>
  </w:style>
  <w:style w:type="character" w:customStyle="1" w:styleId="2Char">
    <w:name w:val="标题 2 Char"/>
    <w:qFormat/>
    <w:rsid w:val="006C7D15"/>
    <w:rPr>
      <w:rFonts w:ascii="Arial" w:eastAsia="黑体" w:hAnsi="Arial"/>
      <w:b/>
      <w:bCs/>
      <w:kern w:val="2"/>
      <w:sz w:val="32"/>
      <w:szCs w:val="32"/>
      <w:lang w:val="en-US" w:eastAsia="zh-CN" w:bidi="ar-SA"/>
    </w:rPr>
  </w:style>
  <w:style w:type="character" w:customStyle="1" w:styleId="style171">
    <w:name w:val="style171"/>
    <w:rsid w:val="006C7D15"/>
    <w:rPr>
      <w:sz w:val="21"/>
      <w:szCs w:val="21"/>
    </w:rPr>
  </w:style>
  <w:style w:type="character" w:customStyle="1" w:styleId="WebCharChar">
    <w:name w:val="普通 (Web) Char Char"/>
    <w:qFormat/>
    <w:locked/>
    <w:rsid w:val="006C7D15"/>
    <w:rPr>
      <w:rFonts w:ascii="宋体" w:eastAsia="宋体" w:hAnsi="宋体" w:cs="宋体"/>
      <w:sz w:val="24"/>
      <w:szCs w:val="24"/>
      <w:lang w:val="en-US" w:eastAsia="zh-CN" w:bidi="ar-SA"/>
    </w:rPr>
  </w:style>
  <w:style w:type="character" w:customStyle="1" w:styleId="style61">
    <w:name w:val="style61"/>
    <w:qFormat/>
    <w:rsid w:val="006C7D15"/>
    <w:rPr>
      <w:b/>
      <w:bCs/>
      <w:color w:val="3399FF"/>
      <w:sz w:val="24"/>
      <w:szCs w:val="24"/>
    </w:rPr>
  </w:style>
  <w:style w:type="character" w:customStyle="1" w:styleId="f41">
    <w:name w:val="f41"/>
    <w:rsid w:val="006C7D15"/>
    <w:rPr>
      <w:rFonts w:ascii="宋体" w:eastAsia="宋体" w:hAnsi="宋体" w:hint="eastAsia"/>
      <w:sz w:val="18"/>
      <w:szCs w:val="18"/>
    </w:rPr>
  </w:style>
  <w:style w:type="character" w:customStyle="1" w:styleId="3Char1">
    <w:name w:val="标题 3 Char1"/>
    <w:qFormat/>
    <w:rsid w:val="006C7D15"/>
    <w:rPr>
      <w:rFonts w:eastAsia="宋体"/>
      <w:b/>
      <w:bCs/>
      <w:kern w:val="2"/>
      <w:sz w:val="32"/>
      <w:szCs w:val="32"/>
      <w:lang w:val="en-US" w:eastAsia="zh-CN" w:bidi="ar-SA"/>
    </w:rPr>
  </w:style>
  <w:style w:type="character" w:customStyle="1" w:styleId="style161">
    <w:name w:val="style161"/>
    <w:qFormat/>
    <w:rsid w:val="006C7D15"/>
    <w:rPr>
      <w:sz w:val="24"/>
      <w:szCs w:val="24"/>
    </w:rPr>
  </w:style>
  <w:style w:type="character" w:customStyle="1" w:styleId="f31">
    <w:name w:val="f31"/>
    <w:rsid w:val="006C7D15"/>
    <w:rPr>
      <w:rFonts w:ascii="ˎ̥" w:hAnsi="ˎ̥" w:hint="default"/>
      <w:color w:val="999999"/>
      <w:sz w:val="16"/>
      <w:szCs w:val="16"/>
    </w:rPr>
  </w:style>
  <w:style w:type="paragraph" w:customStyle="1" w:styleId="xl91">
    <w:name w:val="xl9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rsid w:val="006C7D15"/>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6C7D15"/>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6C7D15"/>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6C7D15"/>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6C7D15"/>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6C7D15"/>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6C7D15"/>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6C7D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6C7D15"/>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6C7D15"/>
    <w:pPr>
      <w:adjustRightInd w:val="0"/>
      <w:spacing w:line="360" w:lineRule="atLeast"/>
      <w:jc w:val="left"/>
      <w:textAlignment w:val="baseline"/>
    </w:pPr>
    <w:rPr>
      <w:kern w:val="0"/>
      <w:sz w:val="24"/>
      <w:szCs w:val="20"/>
    </w:rPr>
  </w:style>
  <w:style w:type="paragraph" w:customStyle="1" w:styleId="xl39">
    <w:name w:val="xl39"/>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6C7D15"/>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6C7D15"/>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6C7D15"/>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6C7D15"/>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6C7D15"/>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6C7D15"/>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6C7D15"/>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6C7D15"/>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6C7D15"/>
    <w:pPr>
      <w:widowControl/>
      <w:spacing w:before="100" w:beforeAutospacing="1" w:after="100" w:afterAutospacing="1"/>
      <w:jc w:val="left"/>
    </w:pPr>
    <w:rPr>
      <w:kern w:val="0"/>
      <w:sz w:val="20"/>
      <w:szCs w:val="20"/>
    </w:rPr>
  </w:style>
  <w:style w:type="paragraph" w:customStyle="1" w:styleId="xl110">
    <w:name w:val="xl110"/>
    <w:basedOn w:val="a"/>
    <w:rsid w:val="006C7D15"/>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6C7D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6C7D15"/>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6C7D15"/>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6C7D15"/>
    <w:pPr>
      <w:widowControl/>
      <w:spacing w:line="330" w:lineRule="atLeast"/>
      <w:jc w:val="left"/>
    </w:pPr>
    <w:rPr>
      <w:rFonts w:ascii="宋体" w:hAnsi="宋体" w:cs="宋体"/>
      <w:kern w:val="0"/>
      <w:szCs w:val="21"/>
    </w:rPr>
  </w:style>
  <w:style w:type="paragraph" w:customStyle="1" w:styleId="f0">
    <w:name w:val="f0"/>
    <w:basedOn w:val="a"/>
    <w:qFormat/>
    <w:rsid w:val="006C7D15"/>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6C7D15"/>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6C7D15"/>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6C7D15"/>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6C7D15"/>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6C7D15"/>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6C7D15"/>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4">
    <w:name w:val="Char"/>
    <w:basedOn w:val="a"/>
    <w:qFormat/>
    <w:rsid w:val="006C7D15"/>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6C7D15"/>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6C7D15"/>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6C7D15"/>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6C7D15"/>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6C7D15"/>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6C7D15"/>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6C7D15"/>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6C7D15"/>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6C7D15"/>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6C7D15"/>
    <w:pPr>
      <w:widowControl/>
      <w:spacing w:before="100" w:beforeAutospacing="1" w:after="100" w:afterAutospacing="1"/>
      <w:jc w:val="left"/>
    </w:pPr>
    <w:rPr>
      <w:b/>
      <w:bCs/>
      <w:color w:val="FFFFFF"/>
      <w:kern w:val="0"/>
      <w:sz w:val="18"/>
      <w:szCs w:val="18"/>
    </w:rPr>
  </w:style>
  <w:style w:type="paragraph" w:customStyle="1" w:styleId="xl44">
    <w:name w:val="xl44"/>
    <w:basedOn w:val="a"/>
    <w:rsid w:val="006C7D15"/>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6C7D15"/>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6C7D15"/>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6C7D15"/>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6C7D15"/>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6C7D1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6C7D15"/>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6C7D15"/>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6C7D15"/>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6C7D15"/>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6C7D15"/>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6C7D15"/>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6C7D15"/>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6C7D15"/>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6C7D15"/>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6C7D15"/>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6C7D15"/>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6C7D15"/>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6C7D15"/>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6C7D1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6C7D15"/>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6C7D15"/>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6C7D15"/>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6C7D15"/>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6C7D15"/>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6C7D15"/>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6C7D15"/>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6C7D15"/>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6C7D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6C7D15"/>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6C7D15"/>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rsid w:val="006C7D15"/>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6C7D15"/>
    <w:pPr>
      <w:widowControl w:val="0"/>
      <w:autoSpaceDE w:val="0"/>
      <w:autoSpaceDN w:val="0"/>
      <w:adjustRightInd w:val="0"/>
    </w:pPr>
    <w:rPr>
      <w:rFonts w:ascii="Microsoft YaHei" w:hAnsi="Microsoft YaHei" w:cs="Microsoft YaHei"/>
      <w:color w:val="000000"/>
      <w:sz w:val="24"/>
      <w:szCs w:val="24"/>
    </w:rPr>
  </w:style>
  <w:style w:type="character" w:customStyle="1" w:styleId="Char">
    <w:name w:val="文档结构图 Char"/>
    <w:basedOn w:val="a0"/>
    <w:link w:val="a3"/>
    <w:uiPriority w:val="99"/>
    <w:semiHidden/>
    <w:rsid w:val="006C7D15"/>
    <w:rPr>
      <w:rFonts w:ascii="宋体"/>
      <w:kern w:val="2"/>
      <w:sz w:val="18"/>
      <w:szCs w:val="18"/>
    </w:rPr>
  </w:style>
  <w:style w:type="paragraph" w:styleId="af0">
    <w:name w:val="List Paragraph"/>
    <w:basedOn w:val="a"/>
    <w:uiPriority w:val="99"/>
    <w:qFormat/>
    <w:rsid w:val="006C7D15"/>
    <w:pPr>
      <w:ind w:firstLineChars="200" w:firstLine="420"/>
    </w:pPr>
  </w:style>
  <w:style w:type="table" w:styleId="af1">
    <w:name w:val="Table Grid"/>
    <w:basedOn w:val="a1"/>
    <w:uiPriority w:val="59"/>
    <w:rsid w:val="00191D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930795">
      <w:bodyDiv w:val="1"/>
      <w:marLeft w:val="0"/>
      <w:marRight w:val="0"/>
      <w:marTop w:val="0"/>
      <w:marBottom w:val="0"/>
      <w:divBdr>
        <w:top w:val="none" w:sz="0" w:space="0" w:color="auto"/>
        <w:left w:val="none" w:sz="0" w:space="0" w:color="auto"/>
        <w:bottom w:val="none" w:sz="0" w:space="0" w:color="auto"/>
        <w:right w:val="none" w:sz="0" w:space="0" w:color="auto"/>
      </w:divBdr>
    </w:div>
    <w:div w:id="396053014">
      <w:bodyDiv w:val="1"/>
      <w:marLeft w:val="0"/>
      <w:marRight w:val="0"/>
      <w:marTop w:val="0"/>
      <w:marBottom w:val="0"/>
      <w:divBdr>
        <w:top w:val="none" w:sz="0" w:space="0" w:color="auto"/>
        <w:left w:val="none" w:sz="0" w:space="0" w:color="auto"/>
        <w:bottom w:val="none" w:sz="0" w:space="0" w:color="auto"/>
        <w:right w:val="none" w:sz="0" w:space="0" w:color="auto"/>
      </w:divBdr>
    </w:div>
    <w:div w:id="629553177">
      <w:bodyDiv w:val="1"/>
      <w:marLeft w:val="0"/>
      <w:marRight w:val="0"/>
      <w:marTop w:val="0"/>
      <w:marBottom w:val="0"/>
      <w:divBdr>
        <w:top w:val="none" w:sz="0" w:space="0" w:color="auto"/>
        <w:left w:val="none" w:sz="0" w:space="0" w:color="auto"/>
        <w:bottom w:val="none" w:sz="0" w:space="0" w:color="auto"/>
        <w:right w:val="none" w:sz="0" w:space="0" w:color="auto"/>
      </w:divBdr>
    </w:div>
    <w:div w:id="669211787">
      <w:bodyDiv w:val="1"/>
      <w:marLeft w:val="0"/>
      <w:marRight w:val="0"/>
      <w:marTop w:val="0"/>
      <w:marBottom w:val="0"/>
      <w:divBdr>
        <w:top w:val="none" w:sz="0" w:space="0" w:color="auto"/>
        <w:left w:val="none" w:sz="0" w:space="0" w:color="auto"/>
        <w:bottom w:val="none" w:sz="0" w:space="0" w:color="auto"/>
        <w:right w:val="none" w:sz="0" w:space="0" w:color="auto"/>
      </w:divBdr>
    </w:div>
    <w:div w:id="715079222">
      <w:bodyDiv w:val="1"/>
      <w:marLeft w:val="0"/>
      <w:marRight w:val="0"/>
      <w:marTop w:val="0"/>
      <w:marBottom w:val="0"/>
      <w:divBdr>
        <w:top w:val="none" w:sz="0" w:space="0" w:color="auto"/>
        <w:left w:val="none" w:sz="0" w:space="0" w:color="auto"/>
        <w:bottom w:val="none" w:sz="0" w:space="0" w:color="auto"/>
        <w:right w:val="none" w:sz="0" w:space="0" w:color="auto"/>
      </w:divBdr>
    </w:div>
    <w:div w:id="809178303">
      <w:bodyDiv w:val="1"/>
      <w:marLeft w:val="0"/>
      <w:marRight w:val="0"/>
      <w:marTop w:val="0"/>
      <w:marBottom w:val="0"/>
      <w:divBdr>
        <w:top w:val="none" w:sz="0" w:space="0" w:color="auto"/>
        <w:left w:val="none" w:sz="0" w:space="0" w:color="auto"/>
        <w:bottom w:val="none" w:sz="0" w:space="0" w:color="auto"/>
        <w:right w:val="none" w:sz="0" w:space="0" w:color="auto"/>
      </w:divBdr>
    </w:div>
    <w:div w:id="811140835">
      <w:bodyDiv w:val="1"/>
      <w:marLeft w:val="0"/>
      <w:marRight w:val="0"/>
      <w:marTop w:val="0"/>
      <w:marBottom w:val="0"/>
      <w:divBdr>
        <w:top w:val="none" w:sz="0" w:space="0" w:color="auto"/>
        <w:left w:val="none" w:sz="0" w:space="0" w:color="auto"/>
        <w:bottom w:val="none" w:sz="0" w:space="0" w:color="auto"/>
        <w:right w:val="none" w:sz="0" w:space="0" w:color="auto"/>
      </w:divBdr>
    </w:div>
    <w:div w:id="851116062">
      <w:bodyDiv w:val="1"/>
      <w:marLeft w:val="0"/>
      <w:marRight w:val="0"/>
      <w:marTop w:val="0"/>
      <w:marBottom w:val="0"/>
      <w:divBdr>
        <w:top w:val="none" w:sz="0" w:space="0" w:color="auto"/>
        <w:left w:val="none" w:sz="0" w:space="0" w:color="auto"/>
        <w:bottom w:val="none" w:sz="0" w:space="0" w:color="auto"/>
        <w:right w:val="none" w:sz="0" w:space="0" w:color="auto"/>
      </w:divBdr>
    </w:div>
    <w:div w:id="851145448">
      <w:bodyDiv w:val="1"/>
      <w:marLeft w:val="0"/>
      <w:marRight w:val="0"/>
      <w:marTop w:val="0"/>
      <w:marBottom w:val="0"/>
      <w:divBdr>
        <w:top w:val="none" w:sz="0" w:space="0" w:color="auto"/>
        <w:left w:val="none" w:sz="0" w:space="0" w:color="auto"/>
        <w:bottom w:val="none" w:sz="0" w:space="0" w:color="auto"/>
        <w:right w:val="none" w:sz="0" w:space="0" w:color="auto"/>
      </w:divBdr>
    </w:div>
    <w:div w:id="1147552414">
      <w:bodyDiv w:val="1"/>
      <w:marLeft w:val="0"/>
      <w:marRight w:val="0"/>
      <w:marTop w:val="0"/>
      <w:marBottom w:val="0"/>
      <w:divBdr>
        <w:top w:val="none" w:sz="0" w:space="0" w:color="auto"/>
        <w:left w:val="none" w:sz="0" w:space="0" w:color="auto"/>
        <w:bottom w:val="none" w:sz="0" w:space="0" w:color="auto"/>
        <w:right w:val="none" w:sz="0" w:space="0" w:color="auto"/>
      </w:divBdr>
    </w:div>
    <w:div w:id="1261135737">
      <w:bodyDiv w:val="1"/>
      <w:marLeft w:val="0"/>
      <w:marRight w:val="0"/>
      <w:marTop w:val="0"/>
      <w:marBottom w:val="0"/>
      <w:divBdr>
        <w:top w:val="none" w:sz="0" w:space="0" w:color="auto"/>
        <w:left w:val="none" w:sz="0" w:space="0" w:color="auto"/>
        <w:bottom w:val="none" w:sz="0" w:space="0" w:color="auto"/>
        <w:right w:val="none" w:sz="0" w:space="0" w:color="auto"/>
      </w:divBdr>
    </w:div>
    <w:div w:id="1413546558">
      <w:bodyDiv w:val="1"/>
      <w:marLeft w:val="0"/>
      <w:marRight w:val="0"/>
      <w:marTop w:val="0"/>
      <w:marBottom w:val="0"/>
      <w:divBdr>
        <w:top w:val="none" w:sz="0" w:space="0" w:color="auto"/>
        <w:left w:val="none" w:sz="0" w:space="0" w:color="auto"/>
        <w:bottom w:val="none" w:sz="0" w:space="0" w:color="auto"/>
        <w:right w:val="none" w:sz="0" w:space="0" w:color="auto"/>
      </w:divBdr>
    </w:div>
    <w:div w:id="1530337954">
      <w:bodyDiv w:val="1"/>
      <w:marLeft w:val="0"/>
      <w:marRight w:val="0"/>
      <w:marTop w:val="0"/>
      <w:marBottom w:val="0"/>
      <w:divBdr>
        <w:top w:val="none" w:sz="0" w:space="0" w:color="auto"/>
        <w:left w:val="none" w:sz="0" w:space="0" w:color="auto"/>
        <w:bottom w:val="none" w:sz="0" w:space="0" w:color="auto"/>
        <w:right w:val="none" w:sz="0" w:space="0" w:color="auto"/>
      </w:divBdr>
    </w:div>
    <w:div w:id="1585072298">
      <w:bodyDiv w:val="1"/>
      <w:marLeft w:val="0"/>
      <w:marRight w:val="0"/>
      <w:marTop w:val="0"/>
      <w:marBottom w:val="0"/>
      <w:divBdr>
        <w:top w:val="none" w:sz="0" w:space="0" w:color="auto"/>
        <w:left w:val="none" w:sz="0" w:space="0" w:color="auto"/>
        <w:bottom w:val="none" w:sz="0" w:space="0" w:color="auto"/>
        <w:right w:val="none" w:sz="0" w:space="0" w:color="auto"/>
      </w:divBdr>
    </w:div>
    <w:div w:id="1762869210">
      <w:bodyDiv w:val="1"/>
      <w:marLeft w:val="0"/>
      <w:marRight w:val="0"/>
      <w:marTop w:val="0"/>
      <w:marBottom w:val="0"/>
      <w:divBdr>
        <w:top w:val="none" w:sz="0" w:space="0" w:color="auto"/>
        <w:left w:val="none" w:sz="0" w:space="0" w:color="auto"/>
        <w:bottom w:val="none" w:sz="0" w:space="0" w:color="auto"/>
        <w:right w:val="none" w:sz="0" w:space="0" w:color="auto"/>
      </w:divBdr>
    </w:div>
    <w:div w:id="179093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Desktop\&#21407;&#27833;\&#21608;&#25253;&#12289;&#26376;&#25253;\&#28342;&#21058;&#27833;&#65288;&#30707;&#33041;&#27833;&#65289;&#21608;&#25253;2-2.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1407;&#27833;\&#21608;&#25253;&#12289;&#26376;&#25253;\&#26368;&#26032;&#28342;&#21058;&#27833;&#21608;&#25253;&#65306;&#23665;&#19996;&#22320;&#28860;&#30707;&#33041;&#27833;&#20215;&#26684;&#36208;&#21183;&#2227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zh-CN" altLang="en-US"/>
              <a:t>山东地炼石脑油价格走势图</a:t>
            </a:r>
          </a:p>
        </c:rich>
      </c:tx>
      <c:layout>
        <c:manualLayout>
          <c:xMode val="edge"/>
          <c:yMode val="edge"/>
          <c:x val="0.35051187567071401"/>
          <c:y val="2.8848315101551929E-2"/>
        </c:manualLayout>
      </c:layout>
    </c:title>
    <c:plotArea>
      <c:layout>
        <c:manualLayout>
          <c:layoutTarget val="inner"/>
          <c:xMode val="edge"/>
          <c:yMode val="edge"/>
          <c:x val="8.2542082367633454E-2"/>
          <c:y val="0.14285721001292773"/>
          <c:w val="0.85834738617200679"/>
          <c:h val="0.59183732445524107"/>
        </c:manualLayout>
      </c:layout>
      <c:lineChart>
        <c:grouping val="standard"/>
        <c:ser>
          <c:idx val="8"/>
          <c:order val="0"/>
          <c:tx>
            <c:strRef>
              <c:f>'溶剂油周报-石脑油价格走势图表'!$D$178</c:f>
              <c:strCache>
                <c:ptCount val="1"/>
                <c:pt idx="0">
                  <c:v>鑫泰石化</c:v>
                </c:pt>
              </c:strCache>
            </c:strRef>
          </c:tx>
          <c:spPr>
            <a:ln w="38100">
              <a:solidFill>
                <a:srgbClr val="000000"/>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numCache>
            </c:numRef>
          </c:cat>
          <c:val>
            <c:numRef>
              <c:f>'溶剂油周报-石脑油价格走势图表'!$D$179:$D$336</c:f>
              <c:numCache>
                <c:formatCode>@</c:formatCode>
                <c:ptCount val="158"/>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formatCode="General">
                  <c:v>4000</c:v>
                </c:pt>
                <c:pt idx="54" formatCode="General">
                  <c:v>4000</c:v>
                </c:pt>
                <c:pt idx="55" formatCode="General">
                  <c:v>4100</c:v>
                </c:pt>
                <c:pt idx="56" formatCode="General">
                  <c:v>4100</c:v>
                </c:pt>
                <c:pt idx="57" formatCode="General">
                  <c:v>4100</c:v>
                </c:pt>
                <c:pt idx="58" formatCode="General">
                  <c:v>4100</c:v>
                </c:pt>
                <c:pt idx="59" formatCode="General">
                  <c:v>4100</c:v>
                </c:pt>
                <c:pt idx="60" formatCode="General">
                  <c:v>4150</c:v>
                </c:pt>
                <c:pt idx="61" formatCode="General">
                  <c:v>4150</c:v>
                </c:pt>
                <c:pt idx="62" formatCode="General">
                  <c:v>4150</c:v>
                </c:pt>
                <c:pt idx="63" formatCode="General">
                  <c:v>4500</c:v>
                </c:pt>
                <c:pt idx="64" formatCode="General">
                  <c:v>4500</c:v>
                </c:pt>
                <c:pt idx="65" formatCode="General">
                  <c:v>4500</c:v>
                </c:pt>
                <c:pt idx="66" formatCode="General">
                  <c:v>4500</c:v>
                </c:pt>
                <c:pt idx="67" formatCode="General">
                  <c:v>4500</c:v>
                </c:pt>
                <c:pt idx="68" formatCode="General">
                  <c:v>4500</c:v>
                </c:pt>
                <c:pt idx="69" formatCode="General">
                  <c:v>4500</c:v>
                </c:pt>
                <c:pt idx="70" formatCode="General">
                  <c:v>4500</c:v>
                </c:pt>
                <c:pt idx="71" formatCode="General">
                  <c:v>4500</c:v>
                </c:pt>
                <c:pt idx="72" formatCode="General">
                  <c:v>4500</c:v>
                </c:pt>
                <c:pt idx="73" formatCode="General">
                  <c:v>4500</c:v>
                </c:pt>
                <c:pt idx="74" formatCode="General">
                  <c:v>4500</c:v>
                </c:pt>
                <c:pt idx="75" formatCode="General">
                  <c:v>4500</c:v>
                </c:pt>
                <c:pt idx="76" formatCode="General">
                  <c:v>4500</c:v>
                </c:pt>
                <c:pt idx="77" formatCode="General">
                  <c:v>4500</c:v>
                </c:pt>
                <c:pt idx="78" formatCode="General">
                  <c:v>4500</c:v>
                </c:pt>
                <c:pt idx="79" formatCode="General">
                  <c:v>5000</c:v>
                </c:pt>
                <c:pt idx="80" formatCode="General">
                  <c:v>5000</c:v>
                </c:pt>
                <c:pt idx="81" formatCode="General">
                  <c:v>5000</c:v>
                </c:pt>
                <c:pt idx="82" formatCode="General">
                  <c:v>5000</c:v>
                </c:pt>
                <c:pt idx="83" formatCode="General">
                  <c:v>5000</c:v>
                </c:pt>
                <c:pt idx="84" formatCode="General">
                  <c:v>5400</c:v>
                </c:pt>
                <c:pt idx="85" formatCode="General">
                  <c:v>5400</c:v>
                </c:pt>
                <c:pt idx="86" formatCode="General">
                  <c:v>5400</c:v>
                </c:pt>
                <c:pt idx="87" formatCode="General">
                  <c:v>5400</c:v>
                </c:pt>
                <c:pt idx="88" formatCode="General">
                  <c:v>5400</c:v>
                </c:pt>
                <c:pt idx="89" formatCode="General">
                  <c:v>5400</c:v>
                </c:pt>
                <c:pt idx="90" formatCode="General">
                  <c:v>5400</c:v>
                </c:pt>
                <c:pt idx="91" formatCode="General">
                  <c:v>5400</c:v>
                </c:pt>
                <c:pt idx="92" formatCode="General">
                  <c:v>5400</c:v>
                </c:pt>
                <c:pt idx="93" formatCode="General">
                  <c:v>5400</c:v>
                </c:pt>
                <c:pt idx="94" formatCode="General">
                  <c:v>5400</c:v>
                </c:pt>
                <c:pt idx="95" formatCode="General">
                  <c:v>5400</c:v>
                </c:pt>
                <c:pt idx="96" formatCode="General">
                  <c:v>4900</c:v>
                </c:pt>
                <c:pt idx="97" formatCode="General">
                  <c:v>5000</c:v>
                </c:pt>
                <c:pt idx="98" formatCode="General">
                  <c:v>5000</c:v>
                </c:pt>
                <c:pt idx="99" formatCode="General">
                  <c:v>5000</c:v>
                </c:pt>
                <c:pt idx="100" formatCode="General">
                  <c:v>5000</c:v>
                </c:pt>
                <c:pt idx="103" formatCode="General">
                  <c:v>0</c:v>
                </c:pt>
                <c:pt idx="104" formatCode="General">
                  <c:v>5000</c:v>
                </c:pt>
                <c:pt idx="105" formatCode="General">
                  <c:v>5000</c:v>
                </c:pt>
                <c:pt idx="106" formatCode="General">
                  <c:v>5000</c:v>
                </c:pt>
                <c:pt idx="107" formatCode="General">
                  <c:v>5000</c:v>
                </c:pt>
                <c:pt idx="108" formatCode="General">
                  <c:v>5000</c:v>
                </c:pt>
                <c:pt idx="109" formatCode="General">
                  <c:v>5000</c:v>
                </c:pt>
                <c:pt idx="110" formatCode="General">
                  <c:v>5000</c:v>
                </c:pt>
                <c:pt idx="111" formatCode="General">
                  <c:v>5000</c:v>
                </c:pt>
                <c:pt idx="112" formatCode="General">
                  <c:v>5000</c:v>
                </c:pt>
                <c:pt idx="113" formatCode="General">
                  <c:v>5000</c:v>
                </c:pt>
                <c:pt idx="114" formatCode="General">
                  <c:v>5000</c:v>
                </c:pt>
                <c:pt idx="115" formatCode="General">
                  <c:v>6150</c:v>
                </c:pt>
                <c:pt idx="116" formatCode="General">
                  <c:v>6100</c:v>
                </c:pt>
                <c:pt idx="117" formatCode="General">
                  <c:v>5950</c:v>
                </c:pt>
                <c:pt idx="118" formatCode="General">
                  <c:v>6100</c:v>
                </c:pt>
                <c:pt idx="119" formatCode="General">
                  <c:v>6150</c:v>
                </c:pt>
                <c:pt idx="120" formatCode="General">
                  <c:v>6300</c:v>
                </c:pt>
                <c:pt idx="121" formatCode="General">
                  <c:v>6300</c:v>
                </c:pt>
                <c:pt idx="122" formatCode="General">
                  <c:v>6300</c:v>
                </c:pt>
                <c:pt idx="123" formatCode="General">
                  <c:v>6250</c:v>
                </c:pt>
                <c:pt idx="124" formatCode="General">
                  <c:v>6150</c:v>
                </c:pt>
                <c:pt idx="125" formatCode="General">
                  <c:v>6300</c:v>
                </c:pt>
                <c:pt idx="126" formatCode="General">
                  <c:v>6150</c:v>
                </c:pt>
                <c:pt idx="127" formatCode="General">
                  <c:v>6150</c:v>
                </c:pt>
                <c:pt idx="128" formatCode="General">
                  <c:v>6150</c:v>
                </c:pt>
                <c:pt idx="129" formatCode="General">
                  <c:v>6150</c:v>
                </c:pt>
                <c:pt idx="130" formatCode="General">
                  <c:v>6150</c:v>
                </c:pt>
                <c:pt idx="131" formatCode="General">
                  <c:v>6350</c:v>
                </c:pt>
                <c:pt idx="132" formatCode="General">
                  <c:v>6250</c:v>
                </c:pt>
                <c:pt idx="133" formatCode="General">
                  <c:v>6250</c:v>
                </c:pt>
                <c:pt idx="134" formatCode="General">
                  <c:v>6300</c:v>
                </c:pt>
                <c:pt idx="135" formatCode="General">
                  <c:v>6350</c:v>
                </c:pt>
                <c:pt idx="136" formatCode="General">
                  <c:v>6600</c:v>
                </c:pt>
                <c:pt idx="137" formatCode="General">
                  <c:v>6650</c:v>
                </c:pt>
                <c:pt idx="138" formatCode="General">
                  <c:v>6650</c:v>
                </c:pt>
                <c:pt idx="139" formatCode="General">
                  <c:v>6450</c:v>
                </c:pt>
                <c:pt idx="140" formatCode="General">
                  <c:v>6450</c:v>
                </c:pt>
                <c:pt idx="141" formatCode="General">
                  <c:v>6450</c:v>
                </c:pt>
                <c:pt idx="142" formatCode="General">
                  <c:v>6400</c:v>
                </c:pt>
                <c:pt idx="143" formatCode="General">
                  <c:v>6400</c:v>
                </c:pt>
                <c:pt idx="144" formatCode="General">
                  <c:v>6650</c:v>
                </c:pt>
                <c:pt idx="145" formatCode="General">
                  <c:v>6600</c:v>
                </c:pt>
                <c:pt idx="146" formatCode="General">
                  <c:v>6600</c:v>
                </c:pt>
                <c:pt idx="147" formatCode="General">
                  <c:v>6800</c:v>
                </c:pt>
                <c:pt idx="148" formatCode="General">
                  <c:v>6800</c:v>
                </c:pt>
              </c:numCache>
            </c:numRef>
          </c:val>
        </c:ser>
        <c:ser>
          <c:idx val="10"/>
          <c:order val="1"/>
          <c:tx>
            <c:strRef>
              <c:f>'溶剂油周报-石脑油价格走势图表'!$E$178</c:f>
              <c:strCache>
                <c:ptCount val="1"/>
                <c:pt idx="0">
                  <c:v>利津石化</c:v>
                </c:pt>
              </c:strCache>
            </c:strRef>
          </c:tx>
          <c:spPr>
            <a:ln w="38100" cap="rnd" cmpd="sng" algn="ctr">
              <a:solidFill>
                <a:srgbClr val="00B050"/>
              </a:solidFill>
              <a:prstDash val="solid"/>
              <a:roun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numCache>
            </c:numRef>
          </c:cat>
          <c:val>
            <c:numRef>
              <c:f>'溶剂油周报-石脑油价格走势图表'!$E$179:$E$336</c:f>
              <c:numCache>
                <c:formatCode>@</c:formatCode>
                <c:ptCount val="158"/>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formatCode="General">
                  <c:v>3450</c:v>
                </c:pt>
                <c:pt idx="52" formatCode="General">
                  <c:v>3450</c:v>
                </c:pt>
                <c:pt idx="53" formatCode="General">
                  <c:v>3450</c:v>
                </c:pt>
                <c:pt idx="54" formatCode="General">
                  <c:v>3450</c:v>
                </c:pt>
                <c:pt idx="55" formatCode="General">
                  <c:v>3800</c:v>
                </c:pt>
                <c:pt idx="56" formatCode="General">
                  <c:v>4000</c:v>
                </c:pt>
                <c:pt idx="57" formatCode="General">
                  <c:v>3900</c:v>
                </c:pt>
                <c:pt idx="58" formatCode="General">
                  <c:v>3650</c:v>
                </c:pt>
                <c:pt idx="59" formatCode="General">
                  <c:v>3900</c:v>
                </c:pt>
                <c:pt idx="60" formatCode="General">
                  <c:v>4000</c:v>
                </c:pt>
                <c:pt idx="61" formatCode="General">
                  <c:v>4050</c:v>
                </c:pt>
                <c:pt idx="62" formatCode="General">
                  <c:v>4000</c:v>
                </c:pt>
                <c:pt idx="63" formatCode="General">
                  <c:v>4150</c:v>
                </c:pt>
                <c:pt idx="64" formatCode="General">
                  <c:v>4450</c:v>
                </c:pt>
                <c:pt idx="65" formatCode="General">
                  <c:v>4350</c:v>
                </c:pt>
                <c:pt idx="66" formatCode="General">
                  <c:v>4000</c:v>
                </c:pt>
                <c:pt idx="67" formatCode="General">
                  <c:v>4150</c:v>
                </c:pt>
                <c:pt idx="68" formatCode="General">
                  <c:v>4200</c:v>
                </c:pt>
                <c:pt idx="69" formatCode="General">
                  <c:v>4250</c:v>
                </c:pt>
                <c:pt idx="70" formatCode="General">
                  <c:v>4250</c:v>
                </c:pt>
                <c:pt idx="71" formatCode="General">
                  <c:v>4200</c:v>
                </c:pt>
                <c:pt idx="72" formatCode="General">
                  <c:v>4500</c:v>
                </c:pt>
                <c:pt idx="73" formatCode="General">
                  <c:v>4450</c:v>
                </c:pt>
                <c:pt idx="74" formatCode="General">
                  <c:v>4250</c:v>
                </c:pt>
                <c:pt idx="75" formatCode="General">
                  <c:v>4100</c:v>
                </c:pt>
                <c:pt idx="76" formatCode="General">
                  <c:v>4250</c:v>
                </c:pt>
                <c:pt idx="77" formatCode="General">
                  <c:v>4150</c:v>
                </c:pt>
                <c:pt idx="78" formatCode="General">
                  <c:v>4100</c:v>
                </c:pt>
                <c:pt idx="79" formatCode="General">
                  <c:v>4400</c:v>
                </c:pt>
                <c:pt idx="80" formatCode="General">
                  <c:v>4200</c:v>
                </c:pt>
                <c:pt idx="81" formatCode="General">
                  <c:v>4230</c:v>
                </c:pt>
                <c:pt idx="82" formatCode="General">
                  <c:v>4230</c:v>
                </c:pt>
                <c:pt idx="83" formatCode="General">
                  <c:v>4230</c:v>
                </c:pt>
                <c:pt idx="84" formatCode="General">
                  <c:v>4230</c:v>
                </c:pt>
                <c:pt idx="85" formatCode="General">
                  <c:v>4230</c:v>
                </c:pt>
                <c:pt idx="86" formatCode="General">
                  <c:v>4230</c:v>
                </c:pt>
                <c:pt idx="87" formatCode="General">
                  <c:v>4230</c:v>
                </c:pt>
                <c:pt idx="88" formatCode="General">
                  <c:v>0</c:v>
                </c:pt>
                <c:pt idx="89" formatCode="General">
                  <c:v>0</c:v>
                </c:pt>
                <c:pt idx="90" formatCode="General">
                  <c:v>0</c:v>
                </c:pt>
                <c:pt idx="91" formatCode="General">
                  <c:v>0</c:v>
                </c:pt>
                <c:pt idx="92" formatCode="General">
                  <c:v>0</c:v>
                </c:pt>
                <c:pt idx="93" formatCode="General">
                  <c:v>0</c:v>
                </c:pt>
                <c:pt idx="94" formatCode="General">
                  <c:v>0</c:v>
                </c:pt>
                <c:pt idx="95" formatCode="General">
                  <c:v>0</c:v>
                </c:pt>
                <c:pt idx="96" formatCode="General">
                  <c:v>0</c:v>
                </c:pt>
                <c:pt idx="97" formatCode="General">
                  <c:v>0</c:v>
                </c:pt>
                <c:pt idx="98" formatCode="General">
                  <c:v>0</c:v>
                </c:pt>
                <c:pt idx="99" formatCode="General">
                  <c:v>0</c:v>
                </c:pt>
                <c:pt idx="100" formatCode="General">
                  <c:v>0</c:v>
                </c:pt>
                <c:pt idx="103" formatCode="General">
                  <c:v>0</c:v>
                </c:pt>
                <c:pt idx="104" formatCode="General">
                  <c:v>0</c:v>
                </c:pt>
                <c:pt idx="105" formatCode="General">
                  <c:v>0</c:v>
                </c:pt>
                <c:pt idx="106" formatCode="General">
                  <c:v>0</c:v>
                </c:pt>
                <c:pt idx="107" formatCode="General">
                  <c:v>0</c:v>
                </c:pt>
                <c:pt idx="108" formatCode="General">
                  <c:v>0</c:v>
                </c:pt>
                <c:pt idx="109" formatCode="General">
                  <c:v>0</c:v>
                </c:pt>
                <c:pt idx="110" formatCode="General">
                  <c:v>0</c:v>
                </c:pt>
                <c:pt idx="111" formatCode="General">
                  <c:v>0</c:v>
                </c:pt>
                <c:pt idx="112" formatCode="General">
                  <c:v>0</c:v>
                </c:pt>
                <c:pt idx="113" formatCode="General">
                  <c:v>0</c:v>
                </c:pt>
                <c:pt idx="114" formatCode="General">
                  <c:v>0</c:v>
                </c:pt>
                <c:pt idx="115" formatCode="General">
                  <c:v>0</c:v>
                </c:pt>
                <c:pt idx="116" formatCode="General">
                  <c:v>0</c:v>
                </c:pt>
                <c:pt idx="117" formatCode="General">
                  <c:v>0</c:v>
                </c:pt>
                <c:pt idx="118" formatCode="General">
                  <c:v>0</c:v>
                </c:pt>
                <c:pt idx="119" formatCode="General">
                  <c:v>0</c:v>
                </c:pt>
                <c:pt idx="120" formatCode="General">
                  <c:v>0</c:v>
                </c:pt>
                <c:pt idx="121" formatCode="General">
                  <c:v>0</c:v>
                </c:pt>
                <c:pt idx="122" formatCode="General">
                  <c:v>0</c:v>
                </c:pt>
                <c:pt idx="123" formatCode="General">
                  <c:v>0</c:v>
                </c:pt>
                <c:pt idx="124" formatCode="General">
                  <c:v>0</c:v>
                </c:pt>
                <c:pt idx="125" formatCode="General">
                  <c:v>0</c:v>
                </c:pt>
                <c:pt idx="126" formatCode="General">
                  <c:v>0</c:v>
                </c:pt>
                <c:pt idx="127" formatCode="General">
                  <c:v>0</c:v>
                </c:pt>
                <c:pt idx="128" formatCode="General">
                  <c:v>0</c:v>
                </c:pt>
                <c:pt idx="129" formatCode="General">
                  <c:v>0</c:v>
                </c:pt>
                <c:pt idx="130" formatCode="General">
                  <c:v>0</c:v>
                </c:pt>
                <c:pt idx="131" formatCode="General">
                  <c:v>0</c:v>
                </c:pt>
                <c:pt idx="132" formatCode="General">
                  <c:v>0</c:v>
                </c:pt>
                <c:pt idx="133" formatCode="General">
                  <c:v>0</c:v>
                </c:pt>
                <c:pt idx="134" formatCode="General">
                  <c:v>0</c:v>
                </c:pt>
                <c:pt idx="135" formatCode="General">
                  <c:v>0</c:v>
                </c:pt>
                <c:pt idx="136" formatCode="General">
                  <c:v>0</c:v>
                </c:pt>
                <c:pt idx="137" formatCode="General">
                  <c:v>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numCache>
            </c:numRef>
          </c:val>
        </c:ser>
        <c:ser>
          <c:idx val="1"/>
          <c:order val="2"/>
          <c:tx>
            <c:strRef>
              <c:f>'溶剂油周报-石脑油价格走势图表'!$F$178</c:f>
              <c:strCache>
                <c:ptCount val="1"/>
                <c:pt idx="0">
                  <c:v>安邦石化</c:v>
                </c:pt>
              </c:strCache>
            </c:strRef>
          </c:tx>
          <c:spPr>
            <a:ln w="38100">
              <a:solidFill>
                <a:srgbClr val="FF00FF"/>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numCache>
            </c:numRef>
          </c:cat>
          <c:val>
            <c:numRef>
              <c:f>'溶剂油周报-石脑油价格走势图表'!$F$179:$F$336</c:f>
              <c:numCache>
                <c:formatCode>@</c:formatCode>
                <c:ptCount val="158"/>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formatCode="General">
                  <c:v>3200</c:v>
                </c:pt>
                <c:pt idx="48" formatCode="General">
                  <c:v>3550</c:v>
                </c:pt>
                <c:pt idx="49" formatCode="General">
                  <c:v>3600</c:v>
                </c:pt>
                <c:pt idx="50" formatCode="General">
                  <c:v>3600</c:v>
                </c:pt>
                <c:pt idx="51" formatCode="General">
                  <c:v>3350</c:v>
                </c:pt>
                <c:pt idx="52" formatCode="General">
                  <c:v>3550</c:v>
                </c:pt>
                <c:pt idx="53" formatCode="General">
                  <c:v>3500</c:v>
                </c:pt>
                <c:pt idx="54" formatCode="General">
                  <c:v>3500</c:v>
                </c:pt>
                <c:pt idx="55" formatCode="General">
                  <c:v>3800</c:v>
                </c:pt>
                <c:pt idx="56" formatCode="General">
                  <c:v>4000</c:v>
                </c:pt>
                <c:pt idx="57" formatCode="General">
                  <c:v>4000</c:v>
                </c:pt>
                <c:pt idx="58" formatCode="General">
                  <c:v>3900</c:v>
                </c:pt>
                <c:pt idx="59" formatCode="General">
                  <c:v>3800</c:v>
                </c:pt>
                <c:pt idx="60" formatCode="General">
                  <c:v>3950</c:v>
                </c:pt>
                <c:pt idx="61" formatCode="General">
                  <c:v>4000</c:v>
                </c:pt>
                <c:pt idx="62" formatCode="General">
                  <c:v>4000</c:v>
                </c:pt>
                <c:pt idx="63" formatCode="General">
                  <c:v>4150</c:v>
                </c:pt>
                <c:pt idx="64" formatCode="General">
                  <c:v>4500</c:v>
                </c:pt>
                <c:pt idx="65" formatCode="General">
                  <c:v>4500</c:v>
                </c:pt>
                <c:pt idx="66" formatCode="General">
                  <c:v>4300</c:v>
                </c:pt>
                <c:pt idx="67" formatCode="General">
                  <c:v>4300</c:v>
                </c:pt>
                <c:pt idx="68" formatCode="General">
                  <c:v>4400</c:v>
                </c:pt>
                <c:pt idx="69" formatCode="General">
                  <c:v>4400</c:v>
                </c:pt>
                <c:pt idx="70" formatCode="General">
                  <c:v>4400</c:v>
                </c:pt>
                <c:pt idx="71" formatCode="General">
                  <c:v>4400</c:v>
                </c:pt>
                <c:pt idx="72" formatCode="General">
                  <c:v>4750</c:v>
                </c:pt>
                <c:pt idx="73" formatCode="General">
                  <c:v>4800</c:v>
                </c:pt>
                <c:pt idx="74" formatCode="General">
                  <c:v>4720</c:v>
                </c:pt>
                <c:pt idx="75" formatCode="General">
                  <c:v>4500</c:v>
                </c:pt>
                <c:pt idx="76" formatCode="General">
                  <c:v>4600</c:v>
                </c:pt>
                <c:pt idx="77" formatCode="General">
                  <c:v>4600</c:v>
                </c:pt>
                <c:pt idx="78" formatCode="General">
                  <c:v>4600</c:v>
                </c:pt>
                <c:pt idx="79" formatCode="General">
                  <c:v>4650</c:v>
                </c:pt>
                <c:pt idx="80" formatCode="General">
                  <c:v>4650</c:v>
                </c:pt>
                <c:pt idx="81" formatCode="General">
                  <c:v>4500</c:v>
                </c:pt>
                <c:pt idx="82" formatCode="General">
                  <c:v>4500</c:v>
                </c:pt>
                <c:pt idx="83" formatCode="General">
                  <c:v>4500</c:v>
                </c:pt>
                <c:pt idx="84" formatCode="General">
                  <c:v>4700</c:v>
                </c:pt>
                <c:pt idx="85" formatCode="General">
                  <c:v>4750</c:v>
                </c:pt>
                <c:pt idx="86" formatCode="General">
                  <c:v>4750</c:v>
                </c:pt>
                <c:pt idx="87" formatCode="General">
                  <c:v>4750</c:v>
                </c:pt>
                <c:pt idx="88" formatCode="General">
                  <c:v>4850</c:v>
                </c:pt>
                <c:pt idx="89" formatCode="General">
                  <c:v>4750</c:v>
                </c:pt>
                <c:pt idx="90" formatCode="General">
                  <c:v>4550</c:v>
                </c:pt>
                <c:pt idx="91" formatCode="General">
                  <c:v>4600</c:v>
                </c:pt>
                <c:pt idx="92" formatCode="General">
                  <c:v>4500</c:v>
                </c:pt>
                <c:pt idx="93" formatCode="General">
                  <c:v>4500</c:v>
                </c:pt>
                <c:pt idx="94" formatCode="General">
                  <c:v>4600</c:v>
                </c:pt>
                <c:pt idx="95" formatCode="General">
                  <c:v>4600</c:v>
                </c:pt>
                <c:pt idx="96" formatCode="General">
                  <c:v>4550</c:v>
                </c:pt>
                <c:pt idx="97" formatCode="General">
                  <c:v>4660</c:v>
                </c:pt>
                <c:pt idx="98" formatCode="General">
                  <c:v>4730</c:v>
                </c:pt>
                <c:pt idx="99" formatCode="General">
                  <c:v>4780</c:v>
                </c:pt>
                <c:pt idx="100" formatCode="General">
                  <c:v>4840</c:v>
                </c:pt>
                <c:pt idx="103" formatCode="General">
                  <c:v>0</c:v>
                </c:pt>
                <c:pt idx="104" formatCode="General">
                  <c:v>4900</c:v>
                </c:pt>
                <c:pt idx="105" formatCode="General">
                  <c:v>4980</c:v>
                </c:pt>
                <c:pt idx="106" formatCode="General">
                  <c:v>5050</c:v>
                </c:pt>
                <c:pt idx="107" formatCode="General">
                  <c:v>5160</c:v>
                </c:pt>
                <c:pt idx="108" formatCode="General">
                  <c:v>5240</c:v>
                </c:pt>
                <c:pt idx="109" formatCode="General">
                  <c:v>5300</c:v>
                </c:pt>
                <c:pt idx="110" formatCode="General">
                  <c:v>5530</c:v>
                </c:pt>
                <c:pt idx="111" formatCode="General">
                  <c:v>6200</c:v>
                </c:pt>
                <c:pt idx="112" formatCode="General">
                  <c:v>6050</c:v>
                </c:pt>
                <c:pt idx="113" formatCode="General">
                  <c:v>6150</c:v>
                </c:pt>
                <c:pt idx="114" formatCode="General">
                  <c:v>6180</c:v>
                </c:pt>
                <c:pt idx="115" formatCode="General">
                  <c:v>6180</c:v>
                </c:pt>
                <c:pt idx="116" formatCode="General">
                  <c:v>5900</c:v>
                </c:pt>
                <c:pt idx="117" formatCode="General">
                  <c:v>5830</c:v>
                </c:pt>
                <c:pt idx="118" formatCode="General">
                  <c:v>6000</c:v>
                </c:pt>
                <c:pt idx="119" formatCode="General">
                  <c:v>5960</c:v>
                </c:pt>
                <c:pt idx="120" formatCode="General">
                  <c:v>6400</c:v>
                </c:pt>
                <c:pt idx="121" formatCode="General">
                  <c:v>6250</c:v>
                </c:pt>
                <c:pt idx="122" formatCode="General">
                  <c:v>6200</c:v>
                </c:pt>
                <c:pt idx="123" formatCode="General">
                  <c:v>5990</c:v>
                </c:pt>
                <c:pt idx="124" formatCode="General">
                  <c:v>5840</c:v>
                </c:pt>
                <c:pt idx="125" formatCode="General">
                  <c:v>5950</c:v>
                </c:pt>
                <c:pt idx="126" formatCode="General">
                  <c:v>5950</c:v>
                </c:pt>
                <c:pt idx="127" formatCode="General">
                  <c:v>5900</c:v>
                </c:pt>
                <c:pt idx="128" formatCode="General">
                  <c:v>5920</c:v>
                </c:pt>
                <c:pt idx="129" formatCode="General">
                  <c:v>6000</c:v>
                </c:pt>
                <c:pt idx="130" formatCode="General">
                  <c:v>6080</c:v>
                </c:pt>
                <c:pt idx="131" formatCode="General">
                  <c:v>6130</c:v>
                </c:pt>
                <c:pt idx="132" formatCode="General">
                  <c:v>6150</c:v>
                </c:pt>
                <c:pt idx="133" formatCode="General">
                  <c:v>6250</c:v>
                </c:pt>
                <c:pt idx="134" formatCode="General">
                  <c:v>6150</c:v>
                </c:pt>
                <c:pt idx="135" formatCode="General">
                  <c:v>6450</c:v>
                </c:pt>
                <c:pt idx="136" formatCode="General">
                  <c:v>6600</c:v>
                </c:pt>
                <c:pt idx="137" formatCode="General">
                  <c:v>6650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numCache>
            </c:numRef>
          </c:val>
        </c:ser>
        <c:ser>
          <c:idx val="5"/>
          <c:order val="3"/>
          <c:tx>
            <c:strRef>
              <c:f>'溶剂油周报-石脑油价格走势图表'!$G$178</c:f>
              <c:strCache>
                <c:ptCount val="1"/>
                <c:pt idx="0">
                  <c:v>富海石化</c:v>
                </c:pt>
              </c:strCache>
            </c:strRef>
          </c:tx>
          <c:spPr>
            <a:ln w="38100">
              <a:solidFill>
                <a:srgbClr val="800000"/>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numCache>
            </c:numRef>
          </c:cat>
          <c:val>
            <c:numRef>
              <c:f>'溶剂油周报-石脑油价格走势图表'!$G$179:$G$336</c:f>
              <c:numCache>
                <c:formatCode>@</c:formatCode>
                <c:ptCount val="158"/>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formatCode="General">
                  <c:v>3430</c:v>
                </c:pt>
                <c:pt idx="49" formatCode="General">
                  <c:v>3460</c:v>
                </c:pt>
                <c:pt idx="50" formatCode="General">
                  <c:v>3350</c:v>
                </c:pt>
                <c:pt idx="51" formatCode="General">
                  <c:v>3520</c:v>
                </c:pt>
                <c:pt idx="52" formatCode="General">
                  <c:v>3520</c:v>
                </c:pt>
                <c:pt idx="53" formatCode="General">
                  <c:v>3500</c:v>
                </c:pt>
                <c:pt idx="54" formatCode="General">
                  <c:v>3500</c:v>
                </c:pt>
                <c:pt idx="55" formatCode="General">
                  <c:v>3850</c:v>
                </c:pt>
                <c:pt idx="56" formatCode="General">
                  <c:v>4080</c:v>
                </c:pt>
                <c:pt idx="57" formatCode="General">
                  <c:v>3930</c:v>
                </c:pt>
                <c:pt idx="58" formatCode="General">
                  <c:v>3900</c:v>
                </c:pt>
                <c:pt idx="59" formatCode="General">
                  <c:v>3750</c:v>
                </c:pt>
                <c:pt idx="60" formatCode="General">
                  <c:v>3900</c:v>
                </c:pt>
                <c:pt idx="61" formatCode="General">
                  <c:v>3930</c:v>
                </c:pt>
                <c:pt idx="62" formatCode="General">
                  <c:v>3900</c:v>
                </c:pt>
                <c:pt idx="63" formatCode="General">
                  <c:v>4100</c:v>
                </c:pt>
                <c:pt idx="64" formatCode="General">
                  <c:v>4500</c:v>
                </c:pt>
                <c:pt idx="65" formatCode="General">
                  <c:v>4500</c:v>
                </c:pt>
                <c:pt idx="66" formatCode="General">
                  <c:v>4250</c:v>
                </c:pt>
                <c:pt idx="67" formatCode="General">
                  <c:v>4180</c:v>
                </c:pt>
                <c:pt idx="68" formatCode="General">
                  <c:v>4260</c:v>
                </c:pt>
                <c:pt idx="69" formatCode="General">
                  <c:v>4280</c:v>
                </c:pt>
                <c:pt idx="70" formatCode="General">
                  <c:v>4280</c:v>
                </c:pt>
                <c:pt idx="71" formatCode="General">
                  <c:v>4300</c:v>
                </c:pt>
                <c:pt idx="72" formatCode="General">
                  <c:v>4520</c:v>
                </c:pt>
                <c:pt idx="73" formatCode="General">
                  <c:v>4520</c:v>
                </c:pt>
                <c:pt idx="74" formatCode="General">
                  <c:v>4370</c:v>
                </c:pt>
                <c:pt idx="75" formatCode="General">
                  <c:v>4150</c:v>
                </c:pt>
                <c:pt idx="76" formatCode="General">
                  <c:v>4330</c:v>
                </c:pt>
                <c:pt idx="77" formatCode="General">
                  <c:v>4280</c:v>
                </c:pt>
                <c:pt idx="78" formatCode="General">
                  <c:v>4250</c:v>
                </c:pt>
                <c:pt idx="79" formatCode="General">
                  <c:v>4480</c:v>
                </c:pt>
                <c:pt idx="80" formatCode="General">
                  <c:v>4500</c:v>
                </c:pt>
                <c:pt idx="81" formatCode="General">
                  <c:v>4350</c:v>
                </c:pt>
                <c:pt idx="82" formatCode="General">
                  <c:v>4250</c:v>
                </c:pt>
                <c:pt idx="83" formatCode="General">
                  <c:v>4250</c:v>
                </c:pt>
                <c:pt idx="84" formatCode="General">
                  <c:v>4250</c:v>
                </c:pt>
                <c:pt idx="85" formatCode="General">
                  <c:v>4250</c:v>
                </c:pt>
                <c:pt idx="86" formatCode="General">
                  <c:v>4250</c:v>
                </c:pt>
                <c:pt idx="87" formatCode="General">
                  <c:v>4250</c:v>
                </c:pt>
                <c:pt idx="88" formatCode="General">
                  <c:v>4250</c:v>
                </c:pt>
                <c:pt idx="89" formatCode="General">
                  <c:v>4180</c:v>
                </c:pt>
                <c:pt idx="90" formatCode="General">
                  <c:v>3970</c:v>
                </c:pt>
                <c:pt idx="91" formatCode="General">
                  <c:v>3970</c:v>
                </c:pt>
                <c:pt idx="92" formatCode="General">
                  <c:v>4000</c:v>
                </c:pt>
                <c:pt idx="93" formatCode="General">
                  <c:v>4030</c:v>
                </c:pt>
                <c:pt idx="94" formatCode="General">
                  <c:v>4100</c:v>
                </c:pt>
                <c:pt idx="95" formatCode="General">
                  <c:v>4100</c:v>
                </c:pt>
                <c:pt idx="96" formatCode="General">
                  <c:v>4230</c:v>
                </c:pt>
                <c:pt idx="97" formatCode="General">
                  <c:v>4370</c:v>
                </c:pt>
                <c:pt idx="98" formatCode="General">
                  <c:v>4370</c:v>
                </c:pt>
                <c:pt idx="99" formatCode="General">
                  <c:v>4310</c:v>
                </c:pt>
                <c:pt idx="100" formatCode="General">
                  <c:v>4310</c:v>
                </c:pt>
                <c:pt idx="103" formatCode="General">
                  <c:v>0</c:v>
                </c:pt>
                <c:pt idx="104" formatCode="General">
                  <c:v>4310</c:v>
                </c:pt>
                <c:pt idx="105" formatCode="General">
                  <c:v>4400</c:v>
                </c:pt>
                <c:pt idx="106" formatCode="General">
                  <c:v>4550</c:v>
                </c:pt>
                <c:pt idx="107" formatCode="General">
                  <c:v>4520</c:v>
                </c:pt>
                <c:pt idx="108" formatCode="General">
                  <c:v>4480</c:v>
                </c:pt>
                <c:pt idx="109" formatCode="General">
                  <c:v>4480</c:v>
                </c:pt>
                <c:pt idx="110" formatCode="General">
                  <c:v>4690</c:v>
                </c:pt>
                <c:pt idx="111" formatCode="General">
                  <c:v>5750</c:v>
                </c:pt>
                <c:pt idx="112" formatCode="General">
                  <c:v>5420</c:v>
                </c:pt>
                <c:pt idx="113" formatCode="General">
                  <c:v>5400</c:v>
                </c:pt>
                <c:pt idx="114" formatCode="General">
                  <c:v>5430</c:v>
                </c:pt>
                <c:pt idx="115" formatCode="General">
                  <c:v>5430</c:v>
                </c:pt>
                <c:pt idx="116" formatCode="General">
                  <c:v>5210</c:v>
                </c:pt>
                <c:pt idx="117" formatCode="General">
                  <c:v>5090</c:v>
                </c:pt>
                <c:pt idx="118" formatCode="General">
                  <c:v>5190</c:v>
                </c:pt>
                <c:pt idx="119" formatCode="General">
                  <c:v>5210</c:v>
                </c:pt>
                <c:pt idx="120" formatCode="General">
                  <c:v>5210</c:v>
                </c:pt>
                <c:pt idx="121" formatCode="General">
                  <c:v>5670</c:v>
                </c:pt>
                <c:pt idx="122" formatCode="General">
                  <c:v>5500</c:v>
                </c:pt>
                <c:pt idx="123" formatCode="General">
                  <c:v>5200</c:v>
                </c:pt>
                <c:pt idx="124" formatCode="General">
                  <c:v>5200</c:v>
                </c:pt>
                <c:pt idx="125" formatCode="General">
                  <c:v>5290</c:v>
                </c:pt>
                <c:pt idx="126" formatCode="General">
                  <c:v>5310</c:v>
                </c:pt>
                <c:pt idx="127" formatCode="General">
                  <c:v>5210</c:v>
                </c:pt>
                <c:pt idx="128" formatCode="General">
                  <c:v>5080</c:v>
                </c:pt>
                <c:pt idx="129" formatCode="General">
                  <c:v>4800</c:v>
                </c:pt>
                <c:pt idx="130" formatCode="General">
                  <c:v>4800</c:v>
                </c:pt>
                <c:pt idx="131" formatCode="General">
                  <c:v>4800</c:v>
                </c:pt>
                <c:pt idx="132" formatCode="General">
                  <c:v>4860</c:v>
                </c:pt>
                <c:pt idx="133" formatCode="General">
                  <c:v>4840</c:v>
                </c:pt>
                <c:pt idx="134" formatCode="General">
                  <c:v>4760</c:v>
                </c:pt>
                <c:pt idx="135" formatCode="General">
                  <c:v>4920</c:v>
                </c:pt>
                <c:pt idx="136" formatCode="General">
                  <c:v>5100</c:v>
                </c:pt>
                <c:pt idx="137" formatCode="General">
                  <c:v>5110</c:v>
                </c:pt>
                <c:pt idx="138" formatCode="General">
                  <c:v>4890</c:v>
                </c:pt>
                <c:pt idx="139" formatCode="General">
                  <c:v>4730</c:v>
                </c:pt>
                <c:pt idx="140" formatCode="General">
                  <c:v>4760</c:v>
                </c:pt>
                <c:pt idx="141" formatCode="General">
                  <c:v>4760</c:v>
                </c:pt>
                <c:pt idx="142" formatCode="General">
                  <c:v>4760</c:v>
                </c:pt>
                <c:pt idx="143" formatCode="General">
                  <c:v>4780</c:v>
                </c:pt>
                <c:pt idx="144" formatCode="General">
                  <c:v>4830</c:v>
                </c:pt>
                <c:pt idx="145" formatCode="General">
                  <c:v>5010</c:v>
                </c:pt>
                <c:pt idx="146" formatCode="General">
                  <c:v>5010</c:v>
                </c:pt>
                <c:pt idx="147" formatCode="General">
                  <c:v>5010</c:v>
                </c:pt>
                <c:pt idx="148" formatCode="General">
                  <c:v>5010</c:v>
                </c:pt>
              </c:numCache>
            </c:numRef>
          </c:val>
        </c:ser>
        <c:ser>
          <c:idx val="6"/>
          <c:order val="4"/>
          <c:tx>
            <c:strRef>
              <c:f>'溶剂油周报-石脑油价格走势图表'!$H$178</c:f>
              <c:strCache>
                <c:ptCount val="1"/>
                <c:pt idx="0">
                  <c:v>寿光石化</c:v>
                </c:pt>
              </c:strCache>
            </c:strRef>
          </c:tx>
          <c:spPr>
            <a:ln w="38100">
              <a:solidFill>
                <a:srgbClr val="0000FF"/>
              </a:solidFill>
              <a:prstDash val="solid"/>
            </a:ln>
          </c:spPr>
          <c:marker>
            <c:symbol val="none"/>
          </c:marker>
          <c:cat>
            <c:numRef>
              <c:f>'溶剂油周报-石脑油价格走势图表'!$A$179:$C$336</c:f>
              <c:numCache>
                <c:formatCode>yyyy/m/d</c:formatCode>
                <c:ptCount val="158"/>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numCache>
            </c:numRef>
          </c:cat>
          <c:val>
            <c:numRef>
              <c:f>'溶剂油周报-石脑油价格走势图表'!$H$179:$H$336</c:f>
              <c:numCache>
                <c:formatCode>General</c:formatCode>
                <c:ptCount val="158"/>
                <c:pt idx="17" formatCode="@">
                  <c:v>3650</c:v>
                </c:pt>
                <c:pt idx="18" formatCode="@">
                  <c:v>3650</c:v>
                </c:pt>
                <c:pt idx="19" formatCode="@">
                  <c:v>3650</c:v>
                </c:pt>
                <c:pt idx="20" formatCode="@">
                  <c:v>3650</c:v>
                </c:pt>
                <c:pt idx="21" formatCode="@">
                  <c:v>3650</c:v>
                </c:pt>
                <c:pt idx="22" formatCode="@">
                  <c:v>3650</c:v>
                </c:pt>
                <c:pt idx="23" formatCode="@">
                  <c:v>3650</c:v>
                </c:pt>
                <c:pt idx="24" formatCode="@">
                  <c:v>3650</c:v>
                </c:pt>
                <c:pt idx="25" formatCode="@">
                  <c:v>3650</c:v>
                </c:pt>
                <c:pt idx="26" formatCode="@">
                  <c:v>3650</c:v>
                </c:pt>
                <c:pt idx="27" formatCode="@">
                  <c:v>4000</c:v>
                </c:pt>
                <c:pt idx="28" formatCode="@">
                  <c:v>4000</c:v>
                </c:pt>
                <c:pt idx="29" formatCode="@">
                  <c:v>4000</c:v>
                </c:pt>
                <c:pt idx="30" formatCode="@">
                  <c:v>4000</c:v>
                </c:pt>
                <c:pt idx="31" formatCode="@">
                  <c:v>4000</c:v>
                </c:pt>
                <c:pt idx="32" formatCode="@">
                  <c:v>4000</c:v>
                </c:pt>
                <c:pt idx="33" formatCode="@">
                  <c:v>4000</c:v>
                </c:pt>
                <c:pt idx="34" formatCode="@">
                  <c:v>4000</c:v>
                </c:pt>
                <c:pt idx="35" formatCode="@">
                  <c:v>4000</c:v>
                </c:pt>
                <c:pt idx="36" formatCode="@">
                  <c:v>4000</c:v>
                </c:pt>
                <c:pt idx="37" formatCode="@">
                  <c:v>4000</c:v>
                </c:pt>
                <c:pt idx="38" formatCode="@">
                  <c:v>4000</c:v>
                </c:pt>
                <c:pt idx="39" formatCode="@">
                  <c:v>4000</c:v>
                </c:pt>
                <c:pt idx="40" formatCode="@">
                  <c:v>4000</c:v>
                </c:pt>
                <c:pt idx="41" formatCode="@">
                  <c:v>4000</c:v>
                </c:pt>
                <c:pt idx="42" formatCode="@">
                  <c:v>4000</c:v>
                </c:pt>
                <c:pt idx="43" formatCode="@">
                  <c:v>4000</c:v>
                </c:pt>
                <c:pt idx="44" formatCode="@">
                  <c:v>4000</c:v>
                </c:pt>
                <c:pt idx="45" formatCode="@">
                  <c:v>4000</c:v>
                </c:pt>
                <c:pt idx="46" formatCode="@">
                  <c:v>4000</c:v>
                </c:pt>
                <c:pt idx="47" formatCode="@">
                  <c:v>4000</c:v>
                </c:pt>
                <c:pt idx="48" formatCode="@">
                  <c:v>4000</c:v>
                </c:pt>
                <c:pt idx="49" formatCode="@">
                  <c:v>4000</c:v>
                </c:pt>
                <c:pt idx="50" formatCode="@">
                  <c:v>4000</c:v>
                </c:pt>
                <c:pt idx="51" formatCode="@">
                  <c:v>4000</c:v>
                </c:pt>
                <c:pt idx="52" formatCode="@">
                  <c:v>4000</c:v>
                </c:pt>
                <c:pt idx="53" formatCode="@">
                  <c:v>4000</c:v>
                </c:pt>
                <c:pt idx="54" formatCode="@">
                  <c:v>4000</c:v>
                </c:pt>
                <c:pt idx="55" formatCode="@">
                  <c:v>4000</c:v>
                </c:pt>
                <c:pt idx="56" formatCode="@">
                  <c:v>4000</c:v>
                </c:pt>
                <c:pt idx="57" formatCode="@">
                  <c:v>4000</c:v>
                </c:pt>
                <c:pt idx="58" formatCode="@">
                  <c:v>4000</c:v>
                </c:pt>
                <c:pt idx="59" formatCode="@">
                  <c:v>4000</c:v>
                </c:pt>
                <c:pt idx="60" formatCode="@">
                  <c:v>4000</c:v>
                </c:pt>
                <c:pt idx="61" formatCode="@">
                  <c:v>4000</c:v>
                </c:pt>
                <c:pt idx="62" formatCode="@">
                  <c:v>4000</c:v>
                </c:pt>
                <c:pt idx="63" formatCode="@">
                  <c:v>4000</c:v>
                </c:pt>
                <c:pt idx="64" formatCode="@">
                  <c:v>4000</c:v>
                </c:pt>
                <c:pt idx="65" formatCode="@">
                  <c:v>4000</c:v>
                </c:pt>
                <c:pt idx="66" formatCode="@">
                  <c:v>4000</c:v>
                </c:pt>
                <c:pt idx="67" formatCode="@">
                  <c:v>4000</c:v>
                </c:pt>
                <c:pt idx="68" formatCode="@">
                  <c:v>4000</c:v>
                </c:pt>
                <c:pt idx="69" formatCode="@">
                  <c:v>4000</c:v>
                </c:pt>
                <c:pt idx="70" 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numCache>
            </c:numRef>
          </c:val>
        </c:ser>
        <c:marker val="1"/>
        <c:axId val="189520896"/>
        <c:axId val="206328960"/>
      </c:lineChart>
      <c:dateAx>
        <c:axId val="189520896"/>
        <c:scaling>
          <c:orientation val="minMax"/>
          <c:max val="43322"/>
          <c:min val="42957"/>
        </c:scaling>
        <c:axPos val="b"/>
        <c:title>
          <c:tx>
            <c:rich>
              <a:bodyPr/>
              <a:lstStyle/>
              <a:p>
                <a:pPr>
                  <a:defRPr sz="1100" b="0" i="0" u="none" strike="noStrike" baseline="0">
                    <a:solidFill>
                      <a:srgbClr val="000000"/>
                    </a:solidFill>
                    <a:latin typeface="宋体"/>
                    <a:ea typeface="宋体"/>
                    <a:cs typeface="宋体"/>
                  </a:defRPr>
                </a:pPr>
                <a:r>
                  <a:rPr lang="zh-CN" altLang="en-US" sz="1000" b="0" i="0" u="none" strike="noStrike" baseline="0">
                    <a:solidFill>
                      <a:srgbClr val="000000"/>
                    </a:solidFill>
                    <a:latin typeface="宋体"/>
                    <a:ea typeface="宋体"/>
                  </a:rPr>
                  <a:t>元</a:t>
                </a:r>
                <a:r>
                  <a:rPr lang="en-US" altLang="zh-CN" sz="1000" b="0" i="0" u="none" strike="noStrike" baseline="0">
                    <a:solidFill>
                      <a:srgbClr val="000000"/>
                    </a:solidFill>
                    <a:latin typeface="宋体"/>
                    <a:ea typeface="宋体"/>
                  </a:rPr>
                  <a:t>/</a:t>
                </a:r>
                <a:r>
                  <a:rPr lang="zh-CN" altLang="en-US" sz="1000" b="0" i="0" u="none" strike="noStrike" baseline="0">
                    <a:solidFill>
                      <a:srgbClr val="000000"/>
                    </a:solidFill>
                    <a:latin typeface="宋体"/>
                    <a:ea typeface="宋体"/>
                  </a:rPr>
                  <a:t>吨</a:t>
                </a:r>
              </a:p>
            </c:rich>
          </c:tx>
          <c:layout>
            <c:manualLayout>
              <c:xMode val="edge"/>
              <c:yMode val="edge"/>
              <c:x val="3.1402454003594378E-2"/>
              <c:y val="7.5026687100354122E-2"/>
            </c:manualLayout>
          </c:layout>
        </c:title>
        <c:numFmt formatCode="yyyy/m/d;@" sourceLinked="0"/>
        <c:majorTickMark val="in"/>
        <c:tickLblPos val="nextTo"/>
        <c:spPr>
          <a:ln w="3175" cap="flat" cmpd="sng" algn="ctr">
            <a:solidFill>
              <a:srgbClr val="000000">
                <a:alpha val="100000"/>
              </a:srgbClr>
            </a:solidFill>
            <a:prstDash val="solid"/>
            <a:round/>
          </a:ln>
        </c:spPr>
        <c:txPr>
          <a:bodyPr rot="-5400000" vert="horz"/>
          <a:lstStyle/>
          <a:p>
            <a:pPr>
              <a:defRPr sz="1000" b="0" i="0" u="none" strike="noStrike" baseline="0">
                <a:solidFill>
                  <a:srgbClr val="000000"/>
                </a:solidFill>
                <a:latin typeface="宋体"/>
                <a:ea typeface="宋体"/>
                <a:cs typeface="宋体"/>
              </a:defRPr>
            </a:pPr>
            <a:endParaRPr lang="zh-CN"/>
          </a:p>
        </c:txPr>
        <c:crossAx val="206328960"/>
        <c:crossesAt val="2000"/>
        <c:auto val="1"/>
        <c:lblOffset val="100"/>
        <c:baseTimeUnit val="days"/>
        <c:majorUnit val="1"/>
        <c:majorTimeUnit val="months"/>
        <c:minorUnit val="1"/>
        <c:minorTimeUnit val="months"/>
      </c:dateAx>
      <c:valAx>
        <c:axId val="206328960"/>
        <c:scaling>
          <c:orientation val="minMax"/>
          <c:max val="7000"/>
          <c:min val="2000"/>
        </c:scaling>
        <c:axPos val="l"/>
        <c:majorGridlines>
          <c:spPr>
            <a:ln w="3175">
              <a:solidFill>
                <a:srgbClr val="000000"/>
              </a:solidFill>
              <a:prstDash val="solid"/>
            </a:ln>
          </c:spPr>
        </c:majorGridlines>
        <c:numFmt formatCode="@"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宋体"/>
                <a:ea typeface="宋体"/>
                <a:cs typeface="宋体"/>
              </a:defRPr>
            </a:pPr>
            <a:endParaRPr lang="zh-CN"/>
          </a:p>
        </c:txPr>
        <c:crossAx val="189520896"/>
        <c:crossesAt val="42241"/>
        <c:crossBetween val="between"/>
        <c:majorUnit val="500"/>
        <c:minorUnit val="100"/>
      </c:valAx>
      <c:spPr>
        <a:solidFill>
          <a:srgbClr val="FFFFFF"/>
        </a:solidFill>
        <a:ln w="25400">
          <a:noFill/>
        </a:ln>
      </c:spPr>
    </c:plotArea>
    <c:legend>
      <c:legendPos val="r"/>
      <c:layout>
        <c:manualLayout>
          <c:xMode val="edge"/>
          <c:yMode val="edge"/>
          <c:x val="7.1999965521551176E-2"/>
          <c:y val="0.86767919110782354"/>
          <c:w val="0.85175008296376764"/>
          <c:h val="8.6999947154256768E-2"/>
        </c:manualLayout>
      </c:layout>
      <c:spPr>
        <a:solidFill>
          <a:srgbClr val="FFFFFF">
            <a:alpha val="100000"/>
          </a:srgbClr>
        </a:solidFill>
        <a:ln w="3175">
          <a:noFill/>
        </a:ln>
      </c:spPr>
      <c:txPr>
        <a:bodyPr/>
        <a:lstStyle/>
        <a:p>
          <a:pPr>
            <a:defRPr sz="710"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74ECD-E1CB-43ED-A2DD-1F12E430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2759</Words>
  <Characters>15730</Characters>
  <Application>Microsoft Office Word</Application>
  <DocSecurity>0</DocSecurity>
  <Lines>131</Lines>
  <Paragraphs>36</Paragraphs>
  <ScaleCrop>false</ScaleCrop>
  <Company>china</Company>
  <LinksUpToDate>false</LinksUpToDate>
  <CharactersWithSpaces>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3</cp:revision>
  <dcterms:created xsi:type="dcterms:W3CDTF">2018-08-10T08:47:00Z</dcterms:created>
  <dcterms:modified xsi:type="dcterms:W3CDTF">2018-08-17T04:18:00Z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