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6"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pPr>
        <w:outlineLvl w:val="0"/>
        <w:rPr>
          <w:b/>
          <w:sz w:val="32"/>
          <w:szCs w:val="32"/>
        </w:rPr>
      </w:pPr>
      <w:r>
        <mc:AlternateContent>
          <mc:Choice Requires="wps">
            <w:drawing>
              <wp:anchor distT="0" distB="0" distL="114300" distR="114300" simplePos="0" relativeHeight="251657216" behindDoc="0" locked="0" layoutInCell="1" allowOverlap="1">
                <wp:simplePos x="0" y="0"/>
                <wp:positionH relativeFrom="column">
                  <wp:posOffset>466725</wp:posOffset>
                </wp:positionH>
                <wp:positionV relativeFrom="paragraph">
                  <wp:posOffset>7429500</wp:posOffset>
                </wp:positionV>
                <wp:extent cx="5322570" cy="1405890"/>
                <wp:effectExtent l="0" t="0" r="0" b="0"/>
                <wp:wrapNone/>
                <wp:docPr id="4" name="文本框 2"/>
                <wp:cNvGraphicFramePr/>
                <a:graphic xmlns:a="http://schemas.openxmlformats.org/drawingml/2006/main">
                  <a:graphicData uri="http://schemas.microsoft.com/office/word/2010/wordprocessingShape">
                    <wps:wsp>
                      <wps:cNvSpPr txBox="1"/>
                      <wps:spPr>
                        <a:xfrm>
                          <a:off x="0" y="0"/>
                          <a:ext cx="5322570" cy="1405890"/>
                        </a:xfrm>
                        <a:prstGeom prst="rect">
                          <a:avLst/>
                        </a:prstGeom>
                        <a:noFill/>
                        <a:ln w="9525">
                          <a:noFill/>
                        </a:ln>
                        <a:effectLst/>
                      </wps:spPr>
                      <wps:txb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2"/>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wps:txbx>
                      <wps:bodyPr upright="1"/>
                    </wps:wsp>
                  </a:graphicData>
                </a:graphic>
              </wp:anchor>
            </w:drawing>
          </mc:Choice>
          <mc:Fallback>
            <w:pict>
              <v:shape id="文本框 2" o:spid="_x0000_s1026" o:spt="202" type="#_x0000_t202" style="position:absolute;left:0pt;margin-left:36.75pt;margin-top:585pt;height:110.7pt;width:419.1pt;z-index:251657216;mso-width-relative:page;mso-height-relative:page;" filled="f" stroked="f" coordsize="21600,21600"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v:fill on="f" focussize="0,0"/>
                <v:stroke on="f"/>
                <v:imagedata o:title=""/>
                <o:lock v:ext="edit" aspectratio="f"/>
                <v:textbo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2"/>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2228215</wp:posOffset>
                </wp:positionH>
                <wp:positionV relativeFrom="paragraph">
                  <wp:posOffset>6231890</wp:posOffset>
                </wp:positionV>
                <wp:extent cx="1607820" cy="68707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607820" cy="687070"/>
                        </a:xfrm>
                        <a:prstGeom prst="rect">
                          <a:avLst/>
                        </a:prstGeom>
                        <a:noFill/>
                        <a:ln w="9525">
                          <a:noFill/>
                        </a:ln>
                        <a:effectLst/>
                      </wps:spPr>
                      <wps:txbx>
                        <w:txbxContent>
                          <w:p>
                            <w:pPr>
                              <w:pStyle w:val="2"/>
                              <w:jc w:val="center"/>
                              <w:rPr>
                                <w:rFonts w:hint="eastAsia" w:eastAsia="黑体"/>
                                <w:kern w:val="2"/>
                                <w:lang w:val="en-US" w:eastAsia="zh-CN"/>
                              </w:rPr>
                            </w:pPr>
                            <w:bookmarkStart w:id="78" w:name="_Toc485828984"/>
                            <w:bookmarkStart w:id="79" w:name="_Toc505349996"/>
                            <w:r>
                              <w:rPr>
                                <w:rFonts w:hint="eastAsia"/>
                                <w:kern w:val="2"/>
                              </w:rPr>
                              <w:t>2018.</w:t>
                            </w:r>
                            <w:bookmarkEnd w:id="78"/>
                            <w:bookmarkEnd w:id="79"/>
                            <w:r>
                              <w:rPr>
                                <w:rFonts w:hint="eastAsia"/>
                                <w:kern w:val="2"/>
                                <w:lang w:val="en-US" w:eastAsia="zh-CN"/>
                              </w:rPr>
                              <w:t>07.27</w:t>
                            </w:r>
                          </w:p>
                          <w:p/>
                        </w:txbxContent>
                      </wps:txbx>
                      <wps:bodyPr upright="1"/>
                    </wps:wsp>
                  </a:graphicData>
                </a:graphic>
              </wp:anchor>
            </w:drawing>
          </mc:Choice>
          <mc:Fallback>
            <w:pict>
              <v:shape id="文本框 3" o:spid="_x0000_s1026" o:spt="202" type="#_x0000_t202" style="position:absolute;left:0pt;margin-left:175.45pt;margin-top:490.7pt;height:54.1pt;width:126.6pt;z-index:251658240;mso-width-relative:page;mso-height-relative:page;" filled="f" stroked="f" coordsize="21600,2160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MQXUZZ4BAAAXAwAADgAAAGRycy9lMm9Eb2MueG1srVLN&#10;bhshEL5Xyjsg7jEbV/7pyutIVeRcojZSmgfALHiRgEGAvesXaN+gp15yz3P5OTLgn0btreplgPn5&#10;Zr5vWNwO1pCdDFGDa+jNqKJEOgGtdpuGPn9bXc8piYm7lhtwsqF7Gent8urDove1HEMHppWBIIiL&#10;de8b2qXka8ai6KTlcQReOgwqCJYnfIYNawPvEd0aNq6qKeshtD6AkDGi9+4YpMuCr5QU6atSUSZi&#10;GoqzpWJDsets2XLB603gvtPiNAb/hyks1w6bXqDueOJkG/RfUFaLABFUGgmwDJTSQhYOyOam+oPN&#10;U8e9LFxQnOgvMsX/Byu+7B4D0W1DJ5Q4bnFFh58/Dr9eDy/fyccsT+9jjVlPHvPS8BkGXPPZH9GZ&#10;WQ8q2HwiH4JxFHp/EVcOiYhcNK1m8zGGBMam81k1K+qz39U+xHQvwZJ8aWjA5RVN+e4hJpwEU88p&#10;uZmDlTamLNA40jf002Q8KQWXCFYYl3Nl+QonmMzoOHm+pWE9nGiuod0jy60PetPhBIUny0moful/&#10;+il5ve/feH//n5d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FTbF9gAAAAMAQAADwAAAAAAAAAB&#10;ACAAAAAiAAAAZHJzL2Rvd25yZXYueG1sUEsBAhQAFAAAAAgAh07iQDEF1GWeAQAAFwMAAA4AAAAA&#10;AAAAAQAgAAAAJwEAAGRycy9lMm9Eb2MueG1sUEsFBgAAAAAGAAYAWQEAADcFAAAAAA==&#10;">
                <v:fill on="f" focussize="0,0"/>
                <v:stroke on="f"/>
                <v:imagedata o:title=""/>
                <o:lock v:ext="edit" aspectratio="f"/>
                <v:textbox>
                  <w:txbxContent>
                    <w:p>
                      <w:pPr>
                        <w:pStyle w:val="2"/>
                        <w:jc w:val="center"/>
                        <w:rPr>
                          <w:rFonts w:hint="eastAsia" w:eastAsia="黑体"/>
                          <w:kern w:val="2"/>
                          <w:lang w:val="en-US" w:eastAsia="zh-CN"/>
                        </w:rPr>
                      </w:pPr>
                      <w:bookmarkStart w:id="78" w:name="_Toc485828984"/>
                      <w:bookmarkStart w:id="79" w:name="_Toc505349996"/>
                      <w:r>
                        <w:rPr>
                          <w:rFonts w:hint="eastAsia"/>
                          <w:kern w:val="2"/>
                        </w:rPr>
                        <w:t>2018.</w:t>
                      </w:r>
                      <w:bookmarkEnd w:id="78"/>
                      <w:bookmarkEnd w:id="79"/>
                      <w:r>
                        <w:rPr>
                          <w:rFonts w:hint="eastAsia"/>
                          <w:kern w:val="2"/>
                          <w:lang w:val="en-US" w:eastAsia="zh-CN"/>
                        </w:rPr>
                        <w:t>07.27</w:t>
                      </w:r>
                    </w:p>
                    <w:p/>
                  </w:txbxContent>
                </v:textbox>
              </v:shape>
            </w:pict>
          </mc:Fallback>
        </mc:AlternateContent>
      </w:r>
      <w:r>
        <w:br w:type="page"/>
      </w:r>
      <w:bookmarkStart w:id="0" w:name="_Toc485828985"/>
      <w:r>
        <w:rPr>
          <w:b/>
          <w:sz w:val="32"/>
          <w:szCs w:val="4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440690</wp:posOffset>
                </wp:positionV>
                <wp:extent cx="6212205" cy="8162290"/>
                <wp:effectExtent l="0" t="0" r="0" b="0"/>
                <wp:wrapNone/>
                <wp:docPr id="6" name="文本框 4"/>
                <wp:cNvGraphicFramePr/>
                <a:graphic xmlns:a="http://schemas.openxmlformats.org/drawingml/2006/main">
                  <a:graphicData uri="http://schemas.microsoft.com/office/word/2010/wordprocessingShape">
                    <wps:wsp>
                      <wps:cNvSpPr txBox="1"/>
                      <wps:spPr>
                        <a:xfrm>
                          <a:off x="0" y="0"/>
                          <a:ext cx="6212205" cy="8162290"/>
                        </a:xfrm>
                        <a:prstGeom prst="rect">
                          <a:avLst/>
                        </a:prstGeom>
                        <a:noFill/>
                        <a:ln w="9525">
                          <a:noFill/>
                        </a:ln>
                        <a:effectLst/>
                      </wps:spPr>
                      <wps:txbx>
                        <w:txbxContent>
                          <w:p>
                            <w:pPr>
                              <w:pStyle w:val="55"/>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lang w:val="en-US" w:eastAsia="zh-CN"/>
                              </w:rPr>
                              <w:t>8</w:t>
                            </w:r>
                            <w:r>
                              <w:rPr>
                                <w:rStyle w:val="24"/>
                                <w:rFonts w:hint="eastAsia" w:cs="Arial"/>
                                <w:bCs/>
                                <w:kern w:val="0"/>
                              </w:rPr>
                              <w:t>年</w:t>
                            </w:r>
                            <w:r>
                              <w:rPr>
                                <w:rStyle w:val="24"/>
                                <w:rFonts w:hint="eastAsia" w:cs="Arial"/>
                                <w:bCs/>
                                <w:kern w:val="0"/>
                                <w:lang w:val="en-US" w:eastAsia="zh-CN"/>
                              </w:rPr>
                              <w:t>3</w:t>
                            </w:r>
                            <w:r>
                              <w:rPr>
                                <w:rStyle w:val="24"/>
                                <w:rFonts w:hint="eastAsia" w:cs="Arial"/>
                                <w:bCs/>
                                <w:kern w:val="0"/>
                              </w:rPr>
                              <w:t>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lang w:val="en-US" w:eastAsia="zh-CN"/>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lang w:val="en-US" w:eastAsia="zh-CN"/>
                              </w:rPr>
                              <w:t>8</w:t>
                            </w:r>
                            <w:r>
                              <w:rPr>
                                <w:rStyle w:val="24"/>
                                <w:rFonts w:hint="eastAsia" w:ascii="黑体"/>
                              </w:rPr>
                              <w:t>年</w:t>
                            </w:r>
                            <w:r>
                              <w:rPr>
                                <w:rStyle w:val="24"/>
                                <w:rFonts w:hint="eastAsia" w:ascii="黑体"/>
                                <w:lang w:val="en-US" w:eastAsia="zh-CN"/>
                              </w:rPr>
                              <w:t>3</w:t>
                            </w:r>
                            <w:r>
                              <w:rPr>
                                <w:rStyle w:val="24"/>
                                <w:rFonts w:hint="eastAsia" w:ascii="黑体"/>
                              </w:rPr>
                              <w:t>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wps:txbx>
                      <wps:bodyPr upright="1"/>
                    </wps:wsp>
                  </a:graphicData>
                </a:graphic>
              </wp:anchor>
            </w:drawing>
          </mc:Choice>
          <mc:Fallback>
            <w:pict>
              <v:shape id="文本框 4" o:spid="_x0000_s1026" o:spt="202" type="#_x0000_t202" style="position:absolute;left:0pt;margin-left:-0.9pt;margin-top:34.7pt;height:642.7pt;width:489.15pt;z-index:251659264;mso-width-relative:page;mso-height-relative:page;" filled="f" stroked="f" coordsize="21600,21600"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V+/iJ8BAAAYAwAADgAAAGRycy9lMm9Eb2MueG1srVJL&#10;TiMxEN0jcQfLe+JOi0TQSgcJIdggZiSGAzhuO23Jdlm2SXcuMHODWc2GPefKOaZsQkCwQ2zscn2e&#10;672qxcVoDdnIEDW4lk4nFSXSCei0W7f04df1yRklMXHXcQNOtnQrI71YHh8tBt/IGnownQwEQVxs&#10;Bt/SPiXfMBZFLy2PE/DSYVBBsDzhM6xZF/iA6NawuqrmbIDQ+QBCxojeq5cgXRZ8paRIP5SKMhHT&#10;UuwtlTOUc5VPtlzwZh2477XYt8G/0IXl2uGnB6grnjh5DPoTlNUiQASVJgIsA6W0kIUDsplWH9jc&#10;99zLwgXFif4gU/w+WHG3+RmI7lo6p8RxiyPa/f2z+/e8e/pNTrM8g48NZt17zEvjJYw45ld/RGdm&#10;Papg8418CMZR6O1BXDkmItA5r6d1Xc0oERg7m87r+rzIz97KfYjpRoIl2WhpwOkVUfnmNiZsBVNf&#10;U/JvDq61MWWCxpGhpeezelYKDhGsMC7nyrILe5hM6aX1bKVxNe55rqDbIs1HH/S6xw4KUZaTUP7y&#10;/35V8nzfv9F+v9D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gbKUrYAAAACgEAAA8AAAAAAAAA&#10;AQAgAAAAIgAAAGRycy9kb3ducmV2LnhtbFBLAQIUABQAAAAIAIdO4kD5X7+InwEAABgDAAAOAAAA&#10;AAAAAAEAIAAAACcBAABkcnMvZTJvRG9jLnhtbFBLBQYAAAAABgAGAFkBAAA4BQAAAAA=&#10;">
                <v:fill on="f" focussize="0,0"/>
                <v:stroke on="f"/>
                <v:imagedata o:title=""/>
                <o:lock v:ext="edit" aspectratio="f"/>
                <v:textbox>
                  <w:txbxContent>
                    <w:p>
                      <w:pPr>
                        <w:pStyle w:val="55"/>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lang w:val="en-US" w:eastAsia="zh-CN"/>
                        </w:rPr>
                        <w:t>8</w:t>
                      </w:r>
                      <w:r>
                        <w:rPr>
                          <w:rStyle w:val="24"/>
                          <w:rFonts w:hint="eastAsia" w:cs="Arial"/>
                          <w:bCs/>
                          <w:kern w:val="0"/>
                        </w:rPr>
                        <w:t>年</w:t>
                      </w:r>
                      <w:r>
                        <w:rPr>
                          <w:rStyle w:val="24"/>
                          <w:rFonts w:hint="eastAsia" w:cs="Arial"/>
                          <w:bCs/>
                          <w:kern w:val="0"/>
                          <w:lang w:val="en-US" w:eastAsia="zh-CN"/>
                        </w:rPr>
                        <w:t>3</w:t>
                      </w:r>
                      <w:r>
                        <w:rPr>
                          <w:rStyle w:val="24"/>
                          <w:rFonts w:hint="eastAsia" w:cs="Arial"/>
                          <w:bCs/>
                          <w:kern w:val="0"/>
                        </w:rPr>
                        <w:t>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lang w:val="en-US" w:eastAsia="zh-CN"/>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lang w:val="en-US" w:eastAsia="zh-CN"/>
                        </w:rPr>
                        <w:t>8</w:t>
                      </w:r>
                      <w:r>
                        <w:rPr>
                          <w:rStyle w:val="24"/>
                          <w:rFonts w:hint="eastAsia" w:ascii="黑体"/>
                        </w:rPr>
                        <w:t>年</w:t>
                      </w:r>
                      <w:r>
                        <w:rPr>
                          <w:rStyle w:val="24"/>
                          <w:rFonts w:hint="eastAsia" w:ascii="黑体"/>
                          <w:lang w:val="en-US" w:eastAsia="zh-CN"/>
                        </w:rPr>
                        <w:t>3</w:t>
                      </w:r>
                      <w:r>
                        <w:rPr>
                          <w:rStyle w:val="24"/>
                          <w:rFonts w:hint="eastAsia" w:ascii="黑体"/>
                        </w:rPr>
                        <w:t>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v:textbox>
              </v:shape>
            </w:pict>
          </mc:Fallback>
        </mc:AlternateContent>
      </w:r>
      <w:r>
        <w:br w:type="page"/>
      </w:r>
      <w:bookmarkEnd w:id="0"/>
      <w:bookmarkStart w:id="1" w:name="_Toc460250399"/>
      <w:bookmarkStart w:id="2" w:name="_Toc505349997"/>
      <w:r>
        <w:rPr>
          <w:rFonts w:hint="eastAsia" w:ascii="黑体" w:hAnsi="宋体"/>
          <w:b/>
          <w:sz w:val="32"/>
          <w:szCs w:val="32"/>
        </w:rPr>
        <w:t>一、国际原油</w:t>
      </w:r>
      <w:bookmarkEnd w:id="1"/>
      <w:bookmarkEnd w:id="2"/>
    </w:p>
    <w:p>
      <w:pPr>
        <w:outlineLvl w:val="1"/>
        <w:rPr>
          <w:b/>
          <w:sz w:val="32"/>
          <w:szCs w:val="32"/>
        </w:rPr>
      </w:pPr>
      <w:bookmarkStart w:id="3" w:name="_Toc505349998"/>
      <w:r>
        <w:rPr>
          <w:rFonts w:hint="eastAsia" w:ascii="黑体" w:hAnsi="宋体" w:eastAsia="黑体" w:cs="Arial"/>
          <w:b/>
          <w:bCs/>
          <w:kern w:val="0"/>
          <w:sz w:val="30"/>
          <w:szCs w:val="30"/>
        </w:rPr>
        <w:t>（一）、国际原油市场回顾</w:t>
      </w:r>
      <w:bookmarkEnd w:id="3"/>
    </w:p>
    <w:p>
      <w:pPr>
        <w:pStyle w:val="3"/>
        <w:spacing w:line="240" w:lineRule="auto"/>
        <w:ind w:firstLine="298" w:firstLineChars="99"/>
        <w:rPr>
          <w:rFonts w:hint="eastAsia" w:ascii="黑体" w:hAnsi="宋体" w:eastAsia="黑体" w:cs="Arial"/>
          <w:b w:val="0"/>
          <w:kern w:val="0"/>
          <w:sz w:val="30"/>
          <w:szCs w:val="30"/>
        </w:rPr>
      </w:pPr>
      <w:bookmarkStart w:id="4" w:name="_Toc296600805"/>
      <w:bookmarkStart w:id="5" w:name="_Toc281568195"/>
      <w:bookmarkStart w:id="6" w:name="_Toc460250400"/>
      <w:bookmarkStart w:id="7" w:name="_Toc505349999"/>
      <w:r>
        <w:rPr>
          <w:rFonts w:hint="eastAsia" w:ascii="黑体" w:hAnsi="宋体" w:eastAsia="黑体"/>
          <w:kern w:val="0"/>
          <w:sz w:val="30"/>
          <w:szCs w:val="30"/>
        </w:rPr>
        <w:t xml:space="preserve">1. 1  </w:t>
      </w:r>
      <w:bookmarkEnd w:id="4"/>
      <w:bookmarkEnd w:id="5"/>
      <w:bookmarkEnd w:id="6"/>
      <w:r>
        <w:rPr>
          <w:rFonts w:hint="eastAsia" w:ascii="黑体" w:hAnsi="宋体" w:eastAsia="黑体" w:cs="Arial"/>
          <w:b w:val="0"/>
          <w:kern w:val="0"/>
          <w:sz w:val="30"/>
          <w:szCs w:val="30"/>
        </w:rPr>
        <w:t>国际原油收盘价涨跌情况（单位：美元/桶）</w:t>
      </w:r>
      <w:bookmarkEnd w:id="7"/>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21"/>
        <w:gridCol w:w="924"/>
        <w:gridCol w:w="924"/>
        <w:gridCol w:w="6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2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bookmarkStart w:id="80" w:name="_GoBack"/>
            <w:r>
              <w:rPr>
                <w:rFonts w:hint="eastAsia" w:ascii="华文仿宋" w:hAnsi="华文仿宋" w:eastAsia="华文仿宋" w:cs="华文仿宋"/>
                <w:b/>
                <w:i w:val="0"/>
                <w:color w:val="000000"/>
                <w:kern w:val="0"/>
                <w:sz w:val="28"/>
                <w:szCs w:val="28"/>
                <w:u w:val="none"/>
                <w:lang w:val="en-US" w:eastAsia="zh-CN" w:bidi="ar"/>
              </w:rPr>
              <w:t>日期</w:t>
            </w:r>
          </w:p>
        </w:tc>
        <w:tc>
          <w:tcPr>
            <w:tcW w:w="924"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纽交所</w:t>
            </w:r>
          </w:p>
        </w:tc>
        <w:tc>
          <w:tcPr>
            <w:tcW w:w="924"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伦交所</w:t>
            </w:r>
          </w:p>
        </w:tc>
        <w:tc>
          <w:tcPr>
            <w:tcW w:w="6607"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影响因素</w:t>
            </w:r>
          </w:p>
        </w:tc>
      </w:tr>
      <w:bookmarkEnd w:id="8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21"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2018-7-25</w:t>
            </w:r>
          </w:p>
        </w:tc>
        <w:tc>
          <w:tcPr>
            <w:tcW w:w="92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69.3</w:t>
            </w:r>
          </w:p>
        </w:tc>
        <w:tc>
          <w:tcPr>
            <w:tcW w:w="92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73.93</w:t>
            </w:r>
          </w:p>
        </w:tc>
        <w:tc>
          <w:tcPr>
            <w:tcW w:w="66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美国能源信息局当天公布的数据显示，上周美国全国商业原油库存为4.049亿桶，下降610万桶。上周原油库存下降数量远高于市场预期，且库存量创2015年2月以来新低。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21"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2018-7-24</w:t>
            </w:r>
          </w:p>
        </w:tc>
        <w:tc>
          <w:tcPr>
            <w:tcW w:w="92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68.52</w:t>
            </w:r>
          </w:p>
        </w:tc>
        <w:tc>
          <w:tcPr>
            <w:tcW w:w="92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73.44</w:t>
            </w:r>
          </w:p>
        </w:tc>
        <w:tc>
          <w:tcPr>
            <w:tcW w:w="66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美国能源信息局将于25日公布上周美国全国商业原油库存数据，市场普遍预期该数据将出现下降，这为24日国际油价走高提供了支撑。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21"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2018-7-23</w:t>
            </w:r>
          </w:p>
        </w:tc>
        <w:tc>
          <w:tcPr>
            <w:tcW w:w="92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67.89</w:t>
            </w:r>
          </w:p>
        </w:tc>
        <w:tc>
          <w:tcPr>
            <w:tcW w:w="92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73.06</w:t>
            </w:r>
          </w:p>
        </w:tc>
        <w:tc>
          <w:tcPr>
            <w:tcW w:w="66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贸易保护主义将伤害全球经济。这加剧了市场对全球原油需求或将下降的担忧，导致23日国际油价承压下行。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21"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2018-7-20</w:t>
            </w:r>
          </w:p>
        </w:tc>
        <w:tc>
          <w:tcPr>
            <w:tcW w:w="92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70.46</w:t>
            </w:r>
          </w:p>
        </w:tc>
        <w:tc>
          <w:tcPr>
            <w:tcW w:w="92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73.07</w:t>
            </w:r>
          </w:p>
        </w:tc>
        <w:tc>
          <w:tcPr>
            <w:tcW w:w="66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沙特原油出口或进一步下降令供应过剩的担忧情绪暂缓为油价带来有效支撑，同时美元回落以及美国石油活跃钻井数下降也提振了原油多头信心。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21"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2018-7-19</w:t>
            </w:r>
          </w:p>
        </w:tc>
        <w:tc>
          <w:tcPr>
            <w:tcW w:w="92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69.46</w:t>
            </w:r>
          </w:p>
        </w:tc>
        <w:tc>
          <w:tcPr>
            <w:tcW w:w="92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72.58</w:t>
            </w:r>
          </w:p>
        </w:tc>
        <w:tc>
          <w:tcPr>
            <w:tcW w:w="66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因沙特采取行动稍稍缓解供应过剩疑虑，油价小幅上涨。</w:t>
            </w:r>
          </w:p>
        </w:tc>
      </w:tr>
    </w:tbl>
    <w:p/>
    <w:p>
      <w:pPr>
        <w:rPr>
          <w:rFonts w:ascii="宋体" w:hAnsi="宋体" w:cs="宋体"/>
          <w:kern w:val="0"/>
          <w:sz w:val="20"/>
          <w:szCs w:val="20"/>
        </w:rPr>
      </w:pPr>
    </w:p>
    <w:p>
      <w:pPr>
        <w:rPr>
          <w:rFonts w:ascii="宋体" w:hAnsi="宋体" w:cs="宋体"/>
          <w:kern w:val="0"/>
          <w:sz w:val="20"/>
          <w:szCs w:val="20"/>
        </w:rPr>
      </w:pPr>
    </w:p>
    <w:p>
      <w:pPr>
        <w:spacing w:line="360" w:lineRule="auto"/>
        <w:ind w:firstLine="301" w:firstLineChars="100"/>
        <w:outlineLvl w:val="1"/>
        <w:rPr>
          <w:rFonts w:ascii="黑体" w:eastAsia="黑体"/>
          <w:sz w:val="30"/>
          <w:szCs w:val="30"/>
        </w:rPr>
      </w:pPr>
      <w:bookmarkStart w:id="8" w:name="_Toc505350000"/>
      <w:r>
        <w:rPr>
          <w:rFonts w:hint="eastAsia" w:ascii="黑体" w:eastAsia="黑体"/>
          <w:b/>
          <w:bCs/>
          <w:sz w:val="30"/>
          <w:szCs w:val="30"/>
        </w:rPr>
        <w:t>1. 2</w:t>
      </w:r>
      <w:r>
        <w:rPr>
          <w:rFonts w:hint="eastAsia" w:ascii="黑体" w:eastAsia="黑体"/>
          <w:sz w:val="30"/>
          <w:szCs w:val="30"/>
        </w:rPr>
        <w:t xml:space="preserve">  国际原油市场价格走势图</w:t>
      </w:r>
      <w:bookmarkEnd w:id="8"/>
    </w:p>
    <w:p>
      <w:pPr>
        <w:spacing w:line="360" w:lineRule="auto"/>
        <w:jc w:val="center"/>
        <w:rPr>
          <w:sz w:val="20"/>
          <w:szCs w:val="20"/>
        </w:rPr>
      </w:pPr>
      <w:r>
        <w:drawing>
          <wp:inline distT="0" distB="0" distL="114300" distR="114300">
            <wp:extent cx="5560060" cy="4171950"/>
            <wp:effectExtent l="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560060" cy="4171950"/>
                    </a:xfrm>
                    <a:prstGeom prst="rect">
                      <a:avLst/>
                    </a:prstGeom>
                    <a:noFill/>
                    <a:ln w="9525">
                      <a:noFill/>
                    </a:ln>
                  </pic:spPr>
                </pic:pic>
              </a:graphicData>
            </a:graphic>
          </wp:inline>
        </w:drawing>
      </w:r>
    </w:p>
    <w:p>
      <w:pPr>
        <w:spacing w:line="360" w:lineRule="auto"/>
        <w:rPr>
          <w:sz w:val="20"/>
          <w:szCs w:val="20"/>
        </w:rPr>
      </w:pPr>
    </w:p>
    <w:p>
      <w:pPr>
        <w:numPr>
          <w:ilvl w:val="0"/>
          <w:numId w:val="1"/>
        </w:numPr>
        <w:ind w:firstLine="298" w:firstLineChars="99"/>
        <w:outlineLvl w:val="1"/>
        <w:rPr>
          <w:rFonts w:ascii="黑体" w:hAnsi="宋体" w:eastAsia="黑体"/>
          <w:b/>
          <w:sz w:val="30"/>
          <w:szCs w:val="30"/>
        </w:rPr>
      </w:pPr>
      <w:bookmarkStart w:id="9" w:name="_Toc460250402"/>
      <w:bookmarkStart w:id="10" w:name="_Toc505350001"/>
      <w:bookmarkStart w:id="11" w:name="_Toc281568199"/>
      <w:bookmarkStart w:id="12" w:name="_Toc296600809"/>
      <w:bookmarkStart w:id="13" w:name="_Toc239847712"/>
      <w:bookmarkStart w:id="14" w:name="_Toc158203127"/>
      <w:r>
        <w:rPr>
          <w:rFonts w:hint="eastAsia" w:ascii="黑体" w:hAnsi="宋体" w:eastAsia="黑体"/>
          <w:b/>
          <w:sz w:val="30"/>
          <w:szCs w:val="30"/>
        </w:rPr>
        <w:t>.近期影响国际原油市场的主要因素</w:t>
      </w:r>
      <w:bookmarkEnd w:id="9"/>
      <w:bookmarkEnd w:id="10"/>
    </w:p>
    <w:p>
      <w:pPr>
        <w:numPr>
          <w:ilvl w:val="0"/>
          <w:numId w:val="2"/>
        </w:numPr>
        <w:outlineLvl w:val="1"/>
        <w:rPr>
          <w:rFonts w:hint="eastAsia" w:ascii="黑体" w:hAnsi="宋体" w:eastAsia="黑体"/>
          <w:b/>
          <w:sz w:val="28"/>
          <w:szCs w:val="28"/>
        </w:rPr>
      </w:pPr>
      <w:bookmarkStart w:id="15" w:name="_Toc504051939"/>
      <w:bookmarkStart w:id="16" w:name="_Toc505350005"/>
      <w:r>
        <w:rPr>
          <w:rFonts w:hint="eastAsia" w:ascii="黑体" w:hAnsi="宋体" w:eastAsia="黑体"/>
          <w:b/>
          <w:sz w:val="28"/>
          <w:szCs w:val="28"/>
        </w:rPr>
        <w:t>美国原油库存情况</w:t>
      </w:r>
      <w:bookmarkEnd w:id="15"/>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能源信息署(EIA)数据显示，因炼厂减少生产，而且原油产量创下1100万桶/日，美国原油库存意外增加。截至7月13日当周，美国原油库存增加583.6万桶，至4.11084亿桶，分析师此前预计为减少362.2万桶。库欣原油库存减少86万桶。截至7月13日当周，美国汽油库存减少316.5万桶，至2.3583亿桶，分析师预计为减少4.4万桶;包括取暖油和柴油在内的馏分油库存增加37.1万桶，至1.2131亿桶，分析师预估增加87.3万桶。上周美国原油净进口增加220.1万桶/日。炼厂每原油加工量减少41.3万桶/日。产能利用率下滑2.4个百分点。美国石油协会(API)数据显示，上周美国原油库存降幅超过预期，汽油和馏分油库存降幅也超预期。截至7月20日当周，美国原油库存减少320万桶，分析师预计为减少230万桶。库欣地区原油库存减少80.8万桶。截至7月20日当周，美国汽油库存减少490万桶，分析师预计减少71.3万桶;馏分油库存减少130万桶，分析师预估减少20.7万桶。上周美国原油进口下降24.9万桶/日，至830万桶/日。炼厂每日炼油量下降6万桶。</w:t>
      </w:r>
    </w:p>
    <w:p>
      <w:pPr>
        <w:numPr>
          <w:ilvl w:val="0"/>
          <w:numId w:val="0"/>
        </w:numPr>
        <w:outlineLvl w:val="1"/>
        <w:rPr>
          <w:rFonts w:hint="eastAsia" w:ascii="黑体" w:hAnsi="宋体" w:eastAsia="黑体"/>
          <w:b/>
          <w:sz w:val="28"/>
          <w:szCs w:val="28"/>
        </w:rPr>
      </w:pPr>
    </w:p>
    <w:p>
      <w:pPr>
        <w:numPr>
          <w:ilvl w:val="0"/>
          <w:numId w:val="2"/>
        </w:numPr>
        <w:ind w:left="0" w:leftChars="0" w:firstLine="0" w:firstLineChars="0"/>
        <w:outlineLvl w:val="1"/>
        <w:rPr>
          <w:rFonts w:hint="eastAsia" w:ascii="黑体" w:hAnsi="宋体" w:eastAsia="黑体"/>
          <w:b/>
          <w:sz w:val="28"/>
          <w:szCs w:val="28"/>
        </w:rPr>
      </w:pPr>
      <w:bookmarkStart w:id="17" w:name="_Toc504051940"/>
      <w:r>
        <w:rPr>
          <w:rFonts w:hint="eastAsia" w:ascii="黑体" w:hAnsi="宋体" w:eastAsia="黑体"/>
          <w:b/>
          <w:sz w:val="28"/>
          <w:szCs w:val="28"/>
        </w:rPr>
        <w:t>美国经济形势</w:t>
      </w:r>
      <w:bookmarkEnd w:id="17"/>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北京时间7月26日消息由于有报道称特朗普总统和欧盟官员容克达成协议，避免了美国和欧元区之间的贸易战，因此美股三大指数在周三尾盘飙升。</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截至美东时间中午16：00(北京时间凌晨04：00)，道琼斯工业平均指数收涨172.16点，涨幅0.68%，报25,414.10点;标普500指数收涨25.67点，涨幅0.91%，报2,846.07点;纳斯达克指数收涨91.47点，涨幅1.17%，报7,932.24点。</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据道琼斯报道，欧盟同意降低工业关税并进口更多美国大豆。据新闻专线报道，欧盟还同意开展更多美国液态天然气出口工作。对于汽车关税双方还没达成一致，这是容克访美谈判的一个主要问题。</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特朗普和容克都表示他们的目标是降低美国和欧洲之间的关税和贸易壁垒。“如果我们之间没有关税，没有贸易壁垒，也没有补贴，美国将非常高兴。”特朗普说。</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特朗普说他和容克正在努力实现“互惠”的贸易关系。“我们正在取得巨大进步，”特朗普说，“我们期待一些非常积极的事情发生。”</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特朗普表示，“我们同意致力于促进欧美零关税。欧盟将提高购买美国大豆的力度，并进口更多的美国液化天然气(LNG)。”</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他表示，协议将有利于强化战略能源合作。将启动贸易谈判，化解钢铝关税和报复性关税问题。他说，“在谈判进行期间，我们不会违背贸易协议所约定的精神。”</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欧盟委员会主席容克则表示，美国将打造更多液化天然气出口终端。只要谈判还在继续，欧盟和美国就会进一步推迟实施关税。</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近几个月来，美国和欧盟之间的贸易关系一直处于紧张之中。今年6月，美国总统威胁要对来自欧盟的进口汽车征收关税。上周，欧盟贸易专员马尔姆斯特伦表示，如果美国对这些征税征税，那将是“非常不幸的”，并补充称，欧盟已经准备好了自己的对策清单。</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在两党参议员宣布一项可能推迟特朗普政府实施的汽车关税的法案后，股市也从低点回升。该法案将要求“国际贸易委员会(ITC)对美国汽车工业的福祉、健康和活力进行全面研究，然后才能实施关税。”</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因上市公司财报大多好于预期，美国股市在七月出现攀升，但贸易战等宏观因素随时会带来不确定性因素。</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TheSevensReport创始人TomEssaye表示，“虽然没有人预计双方会在汽车关税方面达成妥协，人们只是希望双方关系有所缓解。如果汽车关税真的实施，那么影响将是非常负面的。总的来说，市场希望双方的谈判能有一些好的成果。”</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与欧盟之间的关系在近几个月变得紧张。特朗普在六月威胁向欧盟产汽车征收20%的关税。欧盟贸易代表上周表示，如果美国征收汽车关税，那么欧盟已准备好做出反击。但此次会晤，唯独汽车关税此项双方未达成协议，市场对此仍有所担忧。</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分析师点评</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FederatedInvestors基金经理MartinJarzebowski表示，“市场上即有坏消息也有好消息。好消息是上市公司的业绩出色，多数公司业绩好于预期。一些上市公司的利润增速达到了20%。”</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Baird的首席投资策略师BruceBittles表示：“几个月来，我们一直担心关税会对经济造成什么影响，同时也会看到美国经济的繁荣。”他还表示，市场的总体趋势一直是上行的，但他补充称，如果我们在财报季后遭遇逆风，他不会感到意外。“全球经济似乎正在放缓。”</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IndependentAdvisorAlliance首席投资官ChrisZaccarelli表示，特朗普与容克达成的协议树立了贸易谈判如何取得积极成果的榜样，不确定性的消除帮助市场走高。</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其它市场</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在纽约商品交易所交易的9月西德州中质原油收涨1.1%，报每桶69.30美元，9月布伦特原油收涨0.7%，报每桶73.93美元。</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8月黄金期货收涨6.30美元，涨幅0.5%，报1231.80美元/盎司。</w:t>
      </w:r>
    </w:p>
    <w:p>
      <w:pPr>
        <w:pStyle w:val="19"/>
        <w:ind w:firstLine="560" w:firstLineChars="200"/>
        <w:rPr>
          <w:rFonts w:ascii="华文仿宋" w:hAnsi="华文仿宋" w:eastAsia="华文仿宋"/>
          <w:sz w:val="28"/>
          <w:szCs w:val="28"/>
        </w:rPr>
      </w:pPr>
    </w:p>
    <w:p>
      <w:pPr>
        <w:pStyle w:val="19"/>
        <w:ind w:firstLine="560" w:firstLineChars="200"/>
        <w:rPr>
          <w:rFonts w:ascii="华文仿宋" w:hAnsi="华文仿宋" w:eastAsia="华文仿宋"/>
          <w:sz w:val="28"/>
          <w:szCs w:val="28"/>
        </w:rPr>
      </w:pPr>
    </w:p>
    <w:p>
      <w:pPr>
        <w:pStyle w:val="19"/>
        <w:ind w:firstLine="560" w:firstLineChars="200"/>
        <w:rPr>
          <w:rFonts w:hint="eastAsia" w:ascii="华文仿宋" w:hAnsi="华文仿宋" w:eastAsia="华文仿宋"/>
          <w:sz w:val="28"/>
          <w:szCs w:val="28"/>
        </w:rPr>
      </w:pPr>
    </w:p>
    <w:p>
      <w:pPr>
        <w:pStyle w:val="19"/>
        <w:numPr>
          <w:ilvl w:val="0"/>
          <w:numId w:val="2"/>
        </w:numPr>
        <w:ind w:left="0" w:leftChars="0" w:firstLine="0" w:firstLineChars="0"/>
        <w:outlineLvl w:val="1"/>
        <w:rPr>
          <w:rFonts w:hint="eastAsia" w:ascii="黑体" w:eastAsia="黑体"/>
          <w:b/>
          <w:sz w:val="28"/>
          <w:szCs w:val="28"/>
        </w:rPr>
      </w:pPr>
      <w:bookmarkStart w:id="18" w:name="_Toc504051941"/>
      <w:r>
        <w:rPr>
          <w:rFonts w:hint="eastAsia" w:ascii="黑体" w:eastAsia="黑体"/>
          <w:b/>
          <w:sz w:val="28"/>
          <w:szCs w:val="28"/>
        </w:rPr>
        <w:t>世界经济形势</w:t>
      </w:r>
      <w:bookmarkEnd w:id="18"/>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时值金砖合作第二个“金色十年”开局之年，在南非约翰内斯堡举行的金砖国家工商论坛上，习近平主席深入阐述了对未来10年世界经济、国际格局、全球治理的看法，深刻指明了金砖合作实现新飞跃的前行道路。习主席的重要讲话高屋建瓴，极具针对性和前瞻性，既回答了“开放还是封闭”等时代之问，也向国际社会传递出明确的信号：金砖国家要为构建新型国际关系、构建人类命运共同体发挥建设性作用。</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志合者，不以山海为远。来自世界四大洲的5个国家，为了构筑伙伴关系、实现共同发展、推动国际关系民主化、推进人类和平与发展走到了一起。这些年来，金砖国家的“合作之船”乘风破浪，行稳致远，已经成为促进世界经济增长、推动全球秩序变革、维护世界和平稳定的重要力量。</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时代潮流滚滚向前，世界发展常变常新。金砖国家要在国际格局演变的历史进程中进一步深化互利合作，就要善于拨云见日，把握历史规律，认清世界大势。习近平主席在讲话中指出，未来10年，将是世界经济新旧动能转换的关键10年、国际格局和力量对比加速演变的10年、全球治理体系深刻重塑的10年。在百年未有之大变局中，金砖国家唯有抓住重大机遇，顺应时代潮流，实现共同发展，才能使全球发展的版图更加全面均衡，使世界和平的基础更为坚实稳固，使全球治理体系更加公正合理。</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坚持合作共赢，建设开放经济;坚持创新引领，把握发展机遇;坚持包容普惠，造福各国人民;坚持多边主义，完善全球治理。习近平主席在讲话中提出的“四个坚持”，是针对世界经济的深层次病灶开出的药方。对于建设开放经济，讲话强调：“贸易战不可取，因为不会有赢家”;对于把握发展机遇，讲话强调：“潮流来了，跟不上就会落后，就会被淘汰”;对于造福各国人民，讲话强调：“统筹经济、社会、环境发展，不断增强人民群众的获得感、幸福感”;对于完善全球治理，讲话强调：“大家的事商量着办，反对霸权主义和强权政治”。这些话语态度鲜明、铿锵有力，发出了响亮的金砖声音，展现了金砖国家的责任担当，为第二个“金色十年”贡献着中国智慧。</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新的征程需要果敢的引领者，新的使命需要勇毅的担当者。金砖国家同呼吸、共命运，既是息息相关的利益共同体，更是携手前行的行动共同体。不畏浮云遮望眼，金砖合作再出发，同心踏上新征程，必将建设金砖国家更紧密的伙伴关系，开创金砖国家更美好的未来，为人类和平与发展的崇高事业作出新的更大贡献。</w:t>
      </w:r>
    </w:p>
    <w:p>
      <w:pPr>
        <w:pStyle w:val="19"/>
        <w:numPr>
          <w:ilvl w:val="0"/>
          <w:numId w:val="0"/>
        </w:numPr>
        <w:ind w:leftChars="0"/>
        <w:outlineLvl w:val="1"/>
        <w:rPr>
          <w:rFonts w:hint="eastAsia" w:ascii="黑体" w:eastAsia="黑体"/>
          <w:b/>
          <w:sz w:val="28"/>
          <w:szCs w:val="28"/>
        </w:rPr>
      </w:pPr>
    </w:p>
    <w:p>
      <w:pPr>
        <w:pStyle w:val="19"/>
        <w:ind w:firstLine="560" w:firstLineChars="200"/>
        <w:rPr>
          <w:rFonts w:ascii="华文仿宋" w:hAnsi="华文仿宋" w:eastAsia="华文仿宋"/>
          <w:sz w:val="28"/>
          <w:szCs w:val="28"/>
        </w:rPr>
      </w:pPr>
    </w:p>
    <w:p>
      <w:pPr>
        <w:outlineLvl w:val="1"/>
        <w:rPr>
          <w:rFonts w:ascii="宋体" w:hAnsi="宋体" w:cs="Arial"/>
          <w:b/>
          <w:bCs/>
          <w:kern w:val="0"/>
          <w:sz w:val="32"/>
          <w:szCs w:val="32"/>
        </w:rPr>
      </w:pPr>
      <w:r>
        <w:rPr>
          <w:rFonts w:hint="eastAsia" w:ascii="宋体" w:hAnsi="宋体" w:eastAsia="宋体" w:cs="宋体"/>
          <w:b/>
          <w:sz w:val="32"/>
          <w:szCs w:val="32"/>
        </w:rPr>
        <w:t>三</w:t>
      </w:r>
      <w:r>
        <w:rPr>
          <w:rFonts w:hint="eastAsia" w:ascii="宋体" w:hAnsi="宋体" w:cs="Arial"/>
          <w:b/>
          <w:bCs/>
          <w:kern w:val="0"/>
          <w:sz w:val="32"/>
          <w:szCs w:val="32"/>
        </w:rPr>
        <w:t>、201</w:t>
      </w:r>
      <w:r>
        <w:rPr>
          <w:rFonts w:hint="eastAsia" w:ascii="宋体" w:hAnsi="宋体" w:cs="Arial"/>
          <w:b/>
          <w:bCs/>
          <w:kern w:val="0"/>
          <w:sz w:val="32"/>
          <w:szCs w:val="32"/>
          <w:lang w:val="en-US" w:eastAsia="zh-CN"/>
        </w:rPr>
        <w:t>8</w:t>
      </w:r>
      <w:r>
        <w:rPr>
          <w:rFonts w:hint="eastAsia" w:ascii="宋体" w:hAnsi="宋体" w:cs="Arial"/>
          <w:b/>
          <w:bCs/>
          <w:kern w:val="0"/>
          <w:sz w:val="32"/>
          <w:szCs w:val="32"/>
        </w:rPr>
        <w:t>年</w:t>
      </w:r>
      <w:r>
        <w:rPr>
          <w:rFonts w:hint="eastAsia" w:ascii="宋体" w:hAnsi="宋体" w:cs="Arial"/>
          <w:b/>
          <w:bCs/>
          <w:kern w:val="0"/>
          <w:sz w:val="32"/>
          <w:szCs w:val="32"/>
          <w:lang w:val="en-US" w:eastAsia="zh-CN"/>
        </w:rPr>
        <w:t>3</w:t>
      </w:r>
      <w:r>
        <w:rPr>
          <w:rFonts w:hint="eastAsia" w:ascii="宋体" w:hAnsi="宋体" w:cs="Arial"/>
          <w:b/>
          <w:bCs/>
          <w:kern w:val="0"/>
          <w:sz w:val="32"/>
          <w:szCs w:val="32"/>
        </w:rPr>
        <w:t>月份全国原油进出口统计数据</w:t>
      </w:r>
      <w:bookmarkEnd w:id="16"/>
    </w:p>
    <w:p>
      <w:pPr>
        <w:widowControl/>
        <w:spacing w:line="260" w:lineRule="atLeast"/>
        <w:jc w:val="center"/>
        <w:rPr>
          <w:rFonts w:hint="eastAsia" w:ascii="宋体" w:hAnsi="宋体" w:cs="宋体"/>
          <w:b/>
          <w:bCs/>
          <w:kern w:val="0"/>
          <w:szCs w:val="21"/>
        </w:rPr>
      </w:pPr>
      <w:r>
        <w:rPr>
          <w:rFonts w:hint="eastAsia" w:ascii="宋体" w:hAnsi="宋体" w:cs="宋体"/>
          <w:b/>
          <w:bCs/>
          <w:kern w:val="0"/>
          <w:szCs w:val="21"/>
        </w:rPr>
        <w:t xml:space="preserve">                                                      单位：千克，美元</w:t>
      </w: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817"/>
        <w:gridCol w:w="1917"/>
        <w:gridCol w:w="1751"/>
        <w:gridCol w:w="1705"/>
        <w:gridCol w:w="1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产销国</w:t>
            </w:r>
          </w:p>
        </w:tc>
        <w:tc>
          <w:tcPr>
            <w:tcW w:w="1917"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进口数量</w:t>
            </w:r>
          </w:p>
        </w:tc>
        <w:tc>
          <w:tcPr>
            <w:tcW w:w="175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进口美元</w:t>
            </w:r>
          </w:p>
        </w:tc>
        <w:tc>
          <w:tcPr>
            <w:tcW w:w="170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出口数量</w:t>
            </w:r>
          </w:p>
        </w:tc>
        <w:tc>
          <w:tcPr>
            <w:tcW w:w="158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也门共和国</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139671930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69119063</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伊拉克</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54934951</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25276930</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伊朗</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440303947</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199663370</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俄罗斯联邦</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1125496577</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529265485</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刚果</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399235103</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171863588</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利比亚</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141476160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67854272</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加拿大</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76290531</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31718391</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加纳</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132613900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67604302</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加蓬</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88806062</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40929256</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南苏丹共和国</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86617693</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38288189</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卡塔尔</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140308081</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68680806</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印度尼西亚</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24929000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9956375</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厄瓜多尔</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98808670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44149393</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台湾省</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191</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哈萨克斯坦</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118464387</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50847984</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哥伦比亚</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73119341</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34614401</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喀麦隆</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127234200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61054525</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埃及</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82456238</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41579207</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墨西哥</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72940642</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28952365</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委内瑞拉</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137333838</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52674864</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安哥拉</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317024045</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142854940</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巴西</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232662507</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114018194</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日本</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111802311</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47612621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沙特阿拉伯</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393253610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182238617</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泰国</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41459901</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18538310</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澳大利亚</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78507300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28973271</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科威特</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131271500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65493282</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124388784</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64927951</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苏丹</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86057871</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42347044</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英国</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135125522</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69997762</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蒙古</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3494580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1533530</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赤道几内亚</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270410190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132949102</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越南</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37323920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19945663</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阿拉伯联合酋长国</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132441043</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71192358</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阿曼</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130202825</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61214569</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韩国</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244574704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99332431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香港</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145169178</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65097431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马来西亚</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146548051</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63398782</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spacing w:line="260" w:lineRule="atLeast"/>
        <w:jc w:val="center"/>
        <w:rPr>
          <w:rFonts w:hint="eastAsia" w:ascii="宋体" w:hAnsi="宋体" w:cs="宋体"/>
          <w:b/>
          <w:bCs/>
          <w:kern w:val="0"/>
          <w:szCs w:val="21"/>
        </w:rPr>
      </w:pPr>
    </w:p>
    <w:p>
      <w:pPr>
        <w:widowControl/>
        <w:spacing w:line="260" w:lineRule="atLeast"/>
        <w:jc w:val="center"/>
        <w:rPr>
          <w:rFonts w:hint="eastAsia" w:ascii="宋体" w:hAnsi="宋体" w:cs="宋体"/>
          <w:b/>
          <w:bCs/>
          <w:kern w:val="0"/>
          <w:szCs w:val="21"/>
        </w:rPr>
      </w:pPr>
    </w:p>
    <w:p>
      <w:pPr>
        <w:numPr>
          <w:ilvl w:val="0"/>
          <w:numId w:val="0"/>
        </w:numPr>
        <w:tabs>
          <w:tab w:val="left" w:pos="798"/>
        </w:tabs>
        <w:outlineLvl w:val="1"/>
        <w:rPr>
          <w:rFonts w:hint="eastAsia" w:ascii="仿宋_GB2312" w:hAnsi="宋体" w:eastAsia="仿宋_GB2312" w:cs="Arial"/>
          <w:b/>
          <w:bCs/>
          <w:kern w:val="0"/>
          <w:sz w:val="30"/>
          <w:szCs w:val="30"/>
          <w:lang w:eastAsia="zh-CN"/>
        </w:rPr>
      </w:pPr>
      <w:bookmarkStart w:id="19" w:name="_Toc505350006"/>
    </w:p>
    <w:p>
      <w:pPr>
        <w:numPr>
          <w:ilvl w:val="0"/>
          <w:numId w:val="0"/>
        </w:numPr>
        <w:tabs>
          <w:tab w:val="left" w:pos="798"/>
        </w:tabs>
        <w:outlineLvl w:val="1"/>
        <w:rPr>
          <w:rFonts w:hint="eastAsia" w:ascii="宋体" w:hAnsi="宋体" w:eastAsia="宋体" w:cs="宋体"/>
          <w:b/>
          <w:bCs/>
          <w:kern w:val="0"/>
          <w:sz w:val="32"/>
          <w:szCs w:val="32"/>
        </w:rPr>
      </w:pPr>
      <w:r>
        <w:rPr>
          <w:rFonts w:hint="eastAsia" w:ascii="宋体" w:hAnsi="宋体" w:eastAsia="宋体" w:cs="宋体"/>
          <w:b/>
          <w:bCs/>
          <w:kern w:val="0"/>
          <w:sz w:val="32"/>
          <w:szCs w:val="32"/>
          <w:lang w:eastAsia="zh-CN"/>
        </w:rPr>
        <w:t>（四）</w:t>
      </w:r>
      <w:r>
        <w:rPr>
          <w:rFonts w:hint="eastAsia" w:ascii="宋体" w:hAnsi="宋体" w:eastAsia="宋体" w:cs="宋体"/>
          <w:b/>
          <w:bCs/>
          <w:kern w:val="0"/>
          <w:sz w:val="32"/>
          <w:szCs w:val="32"/>
        </w:rPr>
        <w:t>、后市预测</w:t>
      </w:r>
      <w:bookmarkEnd w:id="19"/>
    </w:p>
    <w:p>
      <w:pPr>
        <w:pStyle w:val="19"/>
        <w:keepNext w:val="0"/>
        <w:keepLines w:val="0"/>
        <w:widowControl/>
        <w:suppressLineNumbers w:val="0"/>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本周WTI原油价格在</w:t>
      </w:r>
      <w:r>
        <w:rPr>
          <w:rFonts w:hint="eastAsia" w:ascii="华文仿宋" w:hAnsi="华文仿宋" w:eastAsia="华文仿宋"/>
          <w:sz w:val="28"/>
          <w:szCs w:val="28"/>
          <w:lang w:val="en-US" w:eastAsia="zh-CN"/>
        </w:rPr>
        <w:t>67.89</w:t>
      </w:r>
      <w:r>
        <w:rPr>
          <w:rFonts w:hint="eastAsia" w:ascii="华文仿宋" w:hAnsi="华文仿宋" w:eastAsia="华文仿宋"/>
          <w:sz w:val="28"/>
          <w:szCs w:val="28"/>
        </w:rPr>
        <w:t>-</w:t>
      </w:r>
      <w:r>
        <w:rPr>
          <w:rFonts w:hint="eastAsia" w:ascii="华文仿宋" w:hAnsi="华文仿宋" w:eastAsia="华文仿宋"/>
          <w:sz w:val="28"/>
          <w:szCs w:val="28"/>
          <w:lang w:val="en-US" w:eastAsia="zh-CN"/>
        </w:rPr>
        <w:t>69.46</w:t>
      </w:r>
      <w:r>
        <w:rPr>
          <w:rFonts w:hint="eastAsia" w:ascii="华文仿宋" w:hAnsi="华文仿宋" w:eastAsia="华文仿宋"/>
          <w:sz w:val="28"/>
          <w:szCs w:val="28"/>
        </w:rPr>
        <w:t>美元/桶，布伦特原油价格在</w:t>
      </w:r>
      <w:r>
        <w:rPr>
          <w:rFonts w:hint="eastAsia" w:ascii="华文仿宋" w:hAnsi="华文仿宋" w:eastAsia="华文仿宋"/>
          <w:sz w:val="28"/>
          <w:szCs w:val="28"/>
          <w:lang w:val="en-US" w:eastAsia="zh-CN"/>
        </w:rPr>
        <w:t>72.58</w:t>
      </w:r>
      <w:r>
        <w:rPr>
          <w:rFonts w:hint="eastAsia" w:ascii="华文仿宋" w:hAnsi="华文仿宋" w:eastAsia="华文仿宋"/>
          <w:sz w:val="28"/>
          <w:szCs w:val="28"/>
        </w:rPr>
        <w:t>-</w:t>
      </w:r>
      <w:r>
        <w:rPr>
          <w:rFonts w:hint="eastAsia" w:ascii="华文仿宋" w:hAnsi="华文仿宋" w:eastAsia="华文仿宋"/>
          <w:sz w:val="28"/>
          <w:szCs w:val="28"/>
          <w:lang w:val="en-US" w:eastAsia="zh-CN"/>
        </w:rPr>
        <w:t>73.93</w:t>
      </w:r>
      <w:r>
        <w:rPr>
          <w:rFonts w:hint="eastAsia" w:ascii="华文仿宋" w:hAnsi="华文仿宋" w:eastAsia="华文仿宋"/>
          <w:sz w:val="28"/>
          <w:szCs w:val="28"/>
        </w:rPr>
        <w:t>美元/桶震</w:t>
      </w:r>
      <w:r>
        <w:rPr>
          <w:rFonts w:hint="eastAsia" w:ascii="华文仿宋" w:hAnsi="华文仿宋" w:eastAsia="华文仿宋"/>
          <w:sz w:val="28"/>
          <w:szCs w:val="28"/>
          <w:lang w:eastAsia="zh-CN"/>
        </w:rPr>
        <w:t>荡。</w:t>
      </w:r>
      <w:r>
        <w:rPr>
          <w:rFonts w:hint="eastAsia" w:ascii="华文仿宋" w:hAnsi="华文仿宋" w:eastAsia="华文仿宋"/>
          <w:sz w:val="28"/>
          <w:szCs w:val="28"/>
        </w:rPr>
        <w:t>周内国际油价油市空好消息频繁交织，美伊冲突不断升级引发市场供应端受阻担忧情绪，支撑油价上涨，但贸易战的紧张局势令油市受压，国际油价涨跌不一。周内前期，沙特原油出口或进一步下降的消息为油价带来有效支撑，同时美元回落也提振了市场信心,虽有伊拉克、利比亚原油数据趋好施压油价，但下跌动能开始衰竭，油价小幅上涨，随后，美国和伊朗口水仗升级导致紧张情绪加剧为油价带来强劲支撑，但中美贸易冲突升温令原油等风险资产承压，同时美元反弹也加大了油价的下行风险，国际油市整体深陷疲软状态，油价多头受挫，美油单日跌幅近4%;周内后期，虽然美元一度走高，贸易紧张局势令油价存在潜在压力，但美伊两国矛盾升级令原油供应面临挑战，同时全球经济呈现稳步增长态势均为油价带来强劲支撑，之后美国原油库存报告全面利多，同时美元承压回落，为油价反弹创造了助力，此外贸易局势缓解也在一定程度上改善了市场的风险情绪，国际油价录得三连阳。但由于前期跌幅过宽，后期个别油种涨势不足，周内油价整体呈现涨跌互现态势。此外，美国油服公司贝克休斯(Baker Hughes)周五(7月13日)公布数据显示，截至7月13日当周，美国石油活跃钻井数维持在863座不变。去年同期为765座。石油输出国组织(OPEC)公布的2018年6月月度原油市场报告显示，该组织6月原油产量增加17.34万桶/日至3232.7万桶/日。其中，沙特的产量大增405千桶/日至10420万桶/日，因应美国和其它消费国对填补供应缺口和为高企的油价降温的呼吁。整体看来，周内国际原油市场中空好因素难分伯仲，相互交织，国际油价呈现涨跌不一态势。其中WTI期货本周均价继续保持在70大关下方，录得69.13美元/桶，较上周下跌0.18%，较上月上涨2.68%;本周布伦特期货均价73.22美元/桶，较上周小幅下跌0.16%，较上月下跌3.59%。后市预测：近期国际原油市场空好交织，油价大致呈现蛇形上爬走势，一方面全球经济呈现稳步增长态势，支撑需求上行，另一方面，美伊口水战不断升级，持续发酵的紧张局势或进一步助推油价上涨，但上涨动力较为虚弱，供应过剩以及贸易战影响因素仍然令油价存在潜在压力，即使目前油价处于上行通道，也有可能因为消息面利空而发生逆转。综合来看，近期油市上行通道昭然若揭，但仍有逆转下滑风险。预计近期WTI原油期货价格在69-72美元/桶之间浮动，布伦特原油期货均价在73-75美元/桶之间浮动。</w:t>
      </w:r>
    </w:p>
    <w:p>
      <w:pPr>
        <w:numPr>
          <w:ilvl w:val="0"/>
          <w:numId w:val="0"/>
        </w:numPr>
        <w:ind w:leftChars="99"/>
        <w:outlineLvl w:val="1"/>
        <w:rPr>
          <w:rFonts w:hint="eastAsia" w:ascii="仿宋_GB2312" w:hAnsi="宋体" w:eastAsia="仿宋_GB2312" w:cs="Arial"/>
          <w:b/>
          <w:bCs/>
          <w:kern w:val="0"/>
          <w:sz w:val="30"/>
          <w:szCs w:val="30"/>
        </w:rPr>
      </w:pPr>
    </w:p>
    <w:p>
      <w:pPr>
        <w:spacing w:line="360" w:lineRule="auto"/>
        <w:outlineLvl w:val="0"/>
        <w:rPr>
          <w:rFonts w:hint="eastAsia" w:ascii="黑体" w:hAnsi="宋体" w:eastAsia="黑体"/>
          <w:b/>
          <w:sz w:val="28"/>
          <w:szCs w:val="28"/>
        </w:rPr>
      </w:pPr>
      <w:bookmarkStart w:id="20" w:name="_Toc505350007"/>
      <w:r>
        <w:rPr>
          <w:rFonts w:hint="eastAsia" w:ascii="黑体" w:hAnsi="宋体" w:eastAsia="黑体"/>
          <w:b/>
          <w:sz w:val="28"/>
          <w:szCs w:val="28"/>
        </w:rPr>
        <w:t>二、 石脑油</w:t>
      </w:r>
      <w:bookmarkEnd w:id="20"/>
    </w:p>
    <w:p>
      <w:pPr>
        <w:spacing w:line="360" w:lineRule="auto"/>
        <w:outlineLvl w:val="0"/>
        <w:rPr>
          <w:rFonts w:hint="eastAsia" w:ascii="黑体" w:hAnsi="宋体" w:eastAsia="黑体"/>
          <w:b/>
          <w:sz w:val="28"/>
          <w:szCs w:val="28"/>
        </w:rPr>
      </w:pPr>
    </w:p>
    <w:p>
      <w:pPr>
        <w:pStyle w:val="3"/>
        <w:spacing w:line="240" w:lineRule="auto"/>
        <w:rPr>
          <w:rFonts w:ascii="宋体" w:hAnsi="宋体" w:cs="Arial"/>
          <w:b w:val="0"/>
          <w:bCs w:val="0"/>
          <w:kern w:val="0"/>
          <w:szCs w:val="28"/>
        </w:rPr>
      </w:pPr>
      <w:bookmarkStart w:id="21" w:name="_Toc460250404"/>
      <w:bookmarkStart w:id="22" w:name="_Toc505350008"/>
      <w:r>
        <w:rPr>
          <w:rFonts w:hint="eastAsia"/>
        </w:rPr>
        <w:t>2. 1</w:t>
      </w:r>
      <w:r>
        <w:rPr>
          <w:rFonts w:hint="eastAsia"/>
          <w:kern w:val="0"/>
        </w:rPr>
        <w:t>国际石脑油市场价格</w:t>
      </w:r>
      <w:bookmarkEnd w:id="11"/>
      <w:bookmarkEnd w:id="12"/>
      <w:bookmarkEnd w:id="21"/>
      <w:bookmarkEnd w:id="22"/>
    </w:p>
    <w:p>
      <w:pPr>
        <w:widowControl/>
        <w:jc w:val="center"/>
        <w:rPr>
          <w:rFonts w:ascii="宋体" w:hAnsi="宋体" w:cs="宋体"/>
          <w:sz w:val="20"/>
          <w:szCs w:val="20"/>
        </w:rPr>
      </w:pPr>
      <w:r>
        <w:rPr>
          <w:rFonts w:hint="eastAsia" w:ascii="宋体" w:hAnsi="宋体" w:cs="宋体"/>
          <w:sz w:val="20"/>
          <w:szCs w:val="20"/>
        </w:rPr>
        <w:t xml:space="preserve">                                                                 单位：美元/吨  ①单位：美元/桶</w:t>
      </w:r>
    </w:p>
    <w:tbl>
      <w:tblPr>
        <w:tblStyle w:val="25"/>
        <w:tblW w:w="9956" w:type="dxa"/>
        <w:tblInd w:w="0" w:type="dxa"/>
        <w:shd w:val="clear" w:color="auto" w:fill="FFFFFF"/>
        <w:tblLayout w:type="fixed"/>
        <w:tblCellMar>
          <w:top w:w="0" w:type="dxa"/>
          <w:left w:w="0" w:type="dxa"/>
          <w:bottom w:w="0" w:type="dxa"/>
          <w:right w:w="0" w:type="dxa"/>
        </w:tblCellMar>
      </w:tblPr>
      <w:tblGrid>
        <w:gridCol w:w="1805"/>
        <w:gridCol w:w="2126"/>
        <w:gridCol w:w="1599"/>
        <w:gridCol w:w="2157"/>
        <w:gridCol w:w="2269"/>
      </w:tblGrid>
      <w:tr>
        <w:tblPrEx>
          <w:shd w:val="clear" w:color="auto" w:fill="FFFFFF"/>
          <w:tblLayout w:type="fixed"/>
          <w:tblCellMar>
            <w:top w:w="0" w:type="dxa"/>
            <w:left w:w="0" w:type="dxa"/>
            <w:bottom w:w="0" w:type="dxa"/>
            <w:right w:w="0" w:type="dxa"/>
          </w:tblCellMar>
        </w:tblPrEx>
        <w:trPr>
          <w:trHeight w:val="67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both"/>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color w:val="000000"/>
                <w:sz w:val="28"/>
                <w:szCs w:val="28"/>
                <w:lang w:val="en-US" w:eastAsia="zh-CN"/>
              </w:rPr>
              <w:t>7月26日</w:t>
            </w:r>
          </w:p>
        </w:tc>
        <w:tc>
          <w:tcPr>
            <w:tcW w:w="2126"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低端价（美元/吨）</w:t>
            </w:r>
          </w:p>
        </w:tc>
        <w:tc>
          <w:tcPr>
            <w:tcW w:w="159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高端价（美元/吨）</w:t>
            </w:r>
          </w:p>
        </w:tc>
        <w:tc>
          <w:tcPr>
            <w:tcW w:w="2157"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均价涨跌幅</w:t>
            </w:r>
          </w:p>
        </w:tc>
        <w:tc>
          <w:tcPr>
            <w:tcW w:w="226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美分/加仑</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新加坡</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 73.71</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73.75</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1.220</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175.500-175.595</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日本</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668.50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674.25</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11.25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176.852-178.373</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阿拉伯海湾</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644.29</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650.04</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11.35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170.447-171.968</w:t>
            </w:r>
          </w:p>
        </w:tc>
      </w:tr>
      <w:tr>
        <w:tblPrEx>
          <w:tblLayout w:type="fixed"/>
          <w:tblCellMar>
            <w:top w:w="0" w:type="dxa"/>
            <w:left w:w="0" w:type="dxa"/>
            <w:bottom w:w="0" w:type="dxa"/>
            <w:right w:w="0" w:type="dxa"/>
          </w:tblCellMar>
        </w:tblPrEx>
        <w:trPr>
          <w:trHeight w:val="67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阿姆斯特丹、鹿特丹、安特卫普到岸价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655.75</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656.25</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8.500</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175.334-175.468</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鹿特丹船货价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651.75</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652.25</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8.500</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174.265-174.398</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地中海离岸价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639.75</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640.25</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8.500</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171.056-171.190</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热那亚到岸价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649.00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649.50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8.500</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173.529-173.663</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美国墨西哥湾</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697.82</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697.92</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16.870美分/加仑</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199.330-199.430</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加勒比海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w:t>
            </w:r>
          </w:p>
        </w:tc>
      </w:tr>
    </w:tbl>
    <w:p>
      <w:pPr>
        <w:widowControl/>
        <w:rPr>
          <w:rFonts w:ascii="宋体" w:hAnsi="宋体" w:cs="宋体"/>
          <w:sz w:val="20"/>
          <w:szCs w:val="20"/>
        </w:rPr>
      </w:pPr>
    </w:p>
    <w:p>
      <w:pPr>
        <w:pStyle w:val="3"/>
        <w:spacing w:line="240" w:lineRule="auto"/>
        <w:rPr>
          <w:rFonts w:ascii="华文仿宋" w:hAnsi="华文仿宋" w:eastAsia="华文仿宋" w:cs="宋体"/>
          <w:b w:val="0"/>
          <w:bCs w:val="0"/>
          <w:kern w:val="0"/>
          <w:szCs w:val="28"/>
        </w:rPr>
      </w:pPr>
      <w:bookmarkStart w:id="23" w:name="_Toc505350009"/>
      <w:bookmarkStart w:id="24" w:name="_Toc281568202"/>
      <w:bookmarkStart w:id="25" w:name="_Toc296600812"/>
      <w:bookmarkStart w:id="26" w:name="_Toc239847715"/>
      <w:bookmarkStart w:id="27" w:name="_Toc460250405"/>
    </w:p>
    <w:p>
      <w:pPr>
        <w:rPr>
          <w:rFonts w:ascii="华文仿宋" w:hAnsi="华文仿宋" w:eastAsia="华文仿宋" w:cs="宋体"/>
          <w:b w:val="0"/>
          <w:bCs w:val="0"/>
          <w:kern w:val="0"/>
          <w:szCs w:val="28"/>
        </w:rPr>
      </w:pPr>
    </w:p>
    <w:p>
      <w:pPr>
        <w:rPr>
          <w:rFonts w:ascii="华文仿宋" w:hAnsi="华文仿宋" w:eastAsia="华文仿宋" w:cs="宋体"/>
          <w:b w:val="0"/>
          <w:bCs w:val="0"/>
          <w:kern w:val="0"/>
          <w:szCs w:val="28"/>
        </w:rPr>
      </w:pPr>
    </w:p>
    <w:p>
      <w:pPr>
        <w:pStyle w:val="3"/>
        <w:spacing w:line="240" w:lineRule="auto"/>
        <w:rPr>
          <w:rFonts w:hint="eastAsia" w:cs="Times New Roman" w:asciiTheme="minorEastAsia" w:hAnsiTheme="minorEastAsia" w:eastAsiaTheme="minorEastAsia"/>
          <w:b/>
          <w:bCs w:val="0"/>
          <w:kern w:val="2"/>
          <w:sz w:val="28"/>
          <w:szCs w:val="28"/>
          <w:lang w:val="en-US" w:eastAsia="zh-CN" w:bidi="ar-SA"/>
        </w:rPr>
      </w:pPr>
      <w:r>
        <w:rPr>
          <w:rFonts w:hint="eastAsia" w:cs="Times New Roman" w:asciiTheme="minorEastAsia" w:hAnsiTheme="minorEastAsia" w:eastAsiaTheme="minorEastAsia"/>
          <w:b/>
          <w:bCs w:val="0"/>
          <w:kern w:val="2"/>
          <w:sz w:val="28"/>
          <w:szCs w:val="28"/>
          <w:lang w:val="en-US" w:eastAsia="zh-CN" w:bidi="ar-SA"/>
        </w:rPr>
        <w:t>2.2地炼石脑油市场</w:t>
      </w:r>
      <w:bookmarkEnd w:id="13"/>
      <w:bookmarkEnd w:id="14"/>
      <w:bookmarkEnd w:id="23"/>
      <w:bookmarkEnd w:id="24"/>
      <w:bookmarkEnd w:id="25"/>
      <w:bookmarkEnd w:id="26"/>
      <w:bookmarkEnd w:id="27"/>
      <w:r>
        <w:rPr>
          <w:rFonts w:hint="eastAsia" w:cs="Times New Roman" w:asciiTheme="minorEastAsia" w:hAnsiTheme="minorEastAsia" w:eastAsiaTheme="minorEastAsia"/>
          <w:b/>
          <w:bCs w:val="0"/>
          <w:kern w:val="2"/>
          <w:sz w:val="28"/>
          <w:szCs w:val="28"/>
          <w:lang w:val="en-US" w:eastAsia="zh-CN" w:bidi="ar-SA"/>
        </w:rPr>
        <w:t xml:space="preserve">   </w:t>
      </w:r>
    </w:p>
    <w:p>
      <w:pPr>
        <w:pStyle w:val="19"/>
        <w:keepNext w:val="0"/>
        <w:keepLines w:val="0"/>
        <w:widowControl/>
        <w:suppressLineNumbers w:val="0"/>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本周国内地炼石脑油零星探涨。国际原油收涨，成品油下调预期幅度再度收窄，搁浅概率大增。国内地炼石脑油市场低端报盘连续调涨，近日华北、山东轻油切割及汽油调和单位备货比较积极，鲁南地区有部分货源销往江苏地区，市场需求稳健且当前市场供应端规模未达高点，短线石脑油市场将以稳中上行为主，山东亨润德石化恢复开工，其加氢裂化石脑油产品将在近日恢复出售，对地炼高品质石脑油资源流通形成一定影响。</w:t>
      </w:r>
    </w:p>
    <w:p/>
    <w:p/>
    <w:p/>
    <w:p/>
    <w:p>
      <w:pPr>
        <w:outlineLvl w:val="1"/>
        <w:rPr>
          <w:rFonts w:asciiTheme="minorEastAsia" w:hAnsiTheme="minorEastAsia" w:eastAsiaTheme="minorEastAsia"/>
          <w:b/>
          <w:sz w:val="28"/>
          <w:szCs w:val="28"/>
        </w:rPr>
      </w:pPr>
      <w:bookmarkStart w:id="28" w:name="_Toc281568203"/>
      <w:bookmarkStart w:id="29" w:name="_Toc460250406"/>
      <w:bookmarkStart w:id="30" w:name="_Toc296600813"/>
      <w:bookmarkStart w:id="31" w:name="_Toc505350010"/>
      <w:r>
        <w:rPr>
          <w:rFonts w:hint="eastAsia" w:asciiTheme="minorEastAsia" w:hAnsiTheme="minorEastAsia" w:eastAsiaTheme="minorEastAsia"/>
          <w:b/>
          <w:sz w:val="28"/>
          <w:szCs w:val="28"/>
        </w:rPr>
        <w:t>2.3本周国内石脑油价格汇总</w:t>
      </w:r>
      <w:bookmarkEnd w:id="28"/>
      <w:bookmarkEnd w:id="29"/>
      <w:bookmarkEnd w:id="30"/>
      <w:bookmarkEnd w:id="31"/>
      <w:r>
        <w:rPr>
          <w:rFonts w:hint="eastAsia" w:asciiTheme="minorEastAsia" w:hAnsiTheme="minorEastAsia" w:eastAsiaTheme="minorEastAsia"/>
          <w:b/>
          <w:sz w:val="28"/>
          <w:szCs w:val="28"/>
        </w:rPr>
        <w:t xml:space="preserve"> </w:t>
      </w:r>
    </w:p>
    <w:p>
      <w:pPr>
        <w:rPr>
          <w:rFonts w:ascii="宋体" w:hAnsi="宋体" w:cs="Arial"/>
          <w:kern w:val="0"/>
          <w:sz w:val="20"/>
          <w:szCs w:val="20"/>
        </w:rPr>
      </w:pPr>
    </w:p>
    <w:p>
      <w:pPr>
        <w:rPr>
          <w:rFonts w:ascii="宋体" w:hAnsi="宋体" w:cs="Arial"/>
          <w:kern w:val="0"/>
          <w:sz w:val="20"/>
          <w:szCs w:val="20"/>
        </w:rPr>
      </w:pPr>
    </w:p>
    <w:p>
      <w:pPr>
        <w:tabs>
          <w:tab w:val="left" w:pos="810"/>
          <w:tab w:val="center" w:pos="4851"/>
        </w:tabs>
        <w:autoSpaceDE w:val="0"/>
        <w:autoSpaceDN w:val="0"/>
        <w:adjustRightInd w:val="0"/>
        <w:rPr>
          <w:rFonts w:ascii="黑体" w:hAnsi="宋体" w:eastAsia="黑体" w:cs="Arial"/>
          <w:kern w:val="0"/>
          <w:sz w:val="24"/>
          <w:szCs w:val="24"/>
        </w:rPr>
      </w:pPr>
      <w:r>
        <w:rPr>
          <w:rFonts w:hint="eastAsia" w:ascii="黑体" w:hAnsi="宋体" w:eastAsia="黑体" w:cs="Arial"/>
          <w:kern w:val="0"/>
          <w:sz w:val="24"/>
          <w:szCs w:val="24"/>
        </w:rPr>
        <w:t>山东地炼石脑油价格汇总</w:t>
      </w: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rPr>
          <w:rFonts w:ascii="宋体" w:hAnsi="宋体" w:cs="Arial"/>
          <w:kern w:val="0"/>
          <w:sz w:val="20"/>
          <w:szCs w:val="20"/>
        </w:rPr>
      </w:pPr>
      <w:r>
        <w:rPr>
          <w:rFonts w:hint="eastAsia" w:ascii="宋体" w:hAnsi="宋体" w:cs="Arial"/>
          <w:kern w:val="0"/>
          <w:sz w:val="20"/>
          <w:szCs w:val="20"/>
        </w:rPr>
        <w:t xml:space="preserve"> 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69"/>
        <w:gridCol w:w="1370"/>
        <w:gridCol w:w="1369"/>
        <w:gridCol w:w="1370"/>
        <w:gridCol w:w="1369"/>
        <w:gridCol w:w="1560"/>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37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69"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37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369"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56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2018-7-27</w:t>
            </w:r>
          </w:p>
        </w:tc>
        <w:tc>
          <w:tcPr>
            <w:tcW w:w="1369"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恒源石化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4970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弘润石化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华星石化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海科石化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广饶石化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-5020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鑫泰石化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利津石化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安邦石化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日照源丰</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富海石化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5010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京博石化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昌邑石化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垦利石化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寿光石化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神驰石化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4840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4840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汇丰石化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宝塔石化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滨化石化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高青宏远石化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河口实业</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rPr>
          <w:rFonts w:hint="eastAsia" w:ascii="宋体" w:hAnsi="宋体" w:cs="Arial"/>
          <w:kern w:val="0"/>
          <w:sz w:val="20"/>
          <w:szCs w:val="20"/>
        </w:rPr>
      </w:pPr>
    </w:p>
    <w:p>
      <w:pPr>
        <w:pStyle w:val="3"/>
        <w:spacing w:line="240" w:lineRule="auto"/>
        <w:jc w:val="left"/>
        <w:rPr>
          <w:rFonts w:asciiTheme="minorEastAsia" w:hAnsiTheme="minorEastAsia" w:eastAsiaTheme="minorEastAsia"/>
        </w:rPr>
      </w:pPr>
      <w:bookmarkStart w:id="32" w:name="_Toc505350011"/>
      <w:bookmarkStart w:id="33" w:name="_Toc460250407"/>
      <w:bookmarkStart w:id="34" w:name="_Toc296600814"/>
      <w:bookmarkStart w:id="35" w:name="_Toc281568204"/>
      <w:bookmarkStart w:id="36" w:name="_Toc158203132"/>
      <w:bookmarkStart w:id="37" w:name="_Toc239847719"/>
      <w:r>
        <w:rPr>
          <w:rFonts w:hint="eastAsia" w:asciiTheme="minorEastAsia" w:hAnsiTheme="minorEastAsia" w:eastAsiaTheme="minorEastAsia"/>
          <w:szCs w:val="28"/>
        </w:rPr>
        <w:t>2.</w:t>
      </w:r>
      <w:r>
        <w:rPr>
          <w:rFonts w:hint="eastAsia" w:asciiTheme="minorEastAsia" w:hAnsiTheme="minorEastAsia" w:eastAsiaTheme="minorEastAsia"/>
          <w:bCs w:val="0"/>
          <w:szCs w:val="28"/>
        </w:rPr>
        <w:t xml:space="preserve"> </w:t>
      </w:r>
      <w:r>
        <w:rPr>
          <w:rFonts w:hint="eastAsia" w:asciiTheme="minorEastAsia" w:hAnsiTheme="minorEastAsia" w:eastAsiaTheme="minorEastAsia"/>
          <w:szCs w:val="28"/>
        </w:rPr>
        <w:t>4山东地炼石脑油价格走势图</w:t>
      </w:r>
      <w:bookmarkEnd w:id="32"/>
      <w:bookmarkEnd w:id="33"/>
      <w:bookmarkEnd w:id="34"/>
      <w:bookmarkEnd w:id="35"/>
    </w:p>
    <w:p>
      <w:pPr>
        <w:widowControl/>
        <w:jc w:val="left"/>
        <w:rPr>
          <w:rFonts w:ascii="宋体" w:hAnsi="宋体" w:cs="宋体"/>
          <w:kern w:val="0"/>
          <w:sz w:val="24"/>
          <w:szCs w:val="24"/>
        </w:rPr>
      </w:pPr>
    </w:p>
    <w:p>
      <w:pPr>
        <w:rPr>
          <w:sz w:val="20"/>
          <w:szCs w:val="20"/>
        </w:rPr>
      </w:pPr>
      <w:r>
        <w:drawing>
          <wp:inline distT="0" distB="0" distL="114300" distR="114300">
            <wp:extent cx="5800725" cy="5928360"/>
            <wp:effectExtent l="0" t="0" r="9525" b="15240"/>
            <wp:docPr id="626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sz w:val="20"/>
          <w:szCs w:val="20"/>
        </w:rPr>
      </w:pPr>
    </w:p>
    <w:bookmarkEnd w:id="36"/>
    <w:bookmarkEnd w:id="37"/>
    <w:p>
      <w:pPr>
        <w:outlineLvl w:val="0"/>
        <w:rPr>
          <w:rFonts w:ascii="黑体" w:eastAsia="黑体"/>
          <w:b/>
          <w:sz w:val="28"/>
          <w:szCs w:val="28"/>
        </w:rPr>
      </w:pPr>
      <w:bookmarkStart w:id="38" w:name="_Toc505350012"/>
      <w:bookmarkStart w:id="39" w:name="_Toc460250408"/>
      <w:bookmarkStart w:id="40" w:name="_Toc281568206"/>
      <w:bookmarkStart w:id="41" w:name="_Toc237428455"/>
      <w:bookmarkStart w:id="42" w:name="_Toc296600816"/>
      <w:r>
        <w:rPr>
          <w:rFonts w:hint="eastAsia" w:ascii="黑体" w:eastAsia="黑体"/>
          <w:b/>
          <w:sz w:val="28"/>
          <w:szCs w:val="28"/>
        </w:rPr>
        <w:t>三、本周国内油品市场分析及预测</w:t>
      </w:r>
      <w:bookmarkEnd w:id="38"/>
      <w:bookmarkEnd w:id="39"/>
      <w:bookmarkEnd w:id="40"/>
      <w:bookmarkEnd w:id="41"/>
      <w:bookmarkEnd w:id="42"/>
      <w:bookmarkStart w:id="43" w:name="_Toc296600817"/>
      <w:bookmarkStart w:id="44" w:name="_Toc281568207"/>
      <w:bookmarkStart w:id="45" w:name="_Toc460250409"/>
      <w:bookmarkStart w:id="46" w:name="_Toc176571903"/>
      <w:bookmarkStart w:id="47" w:name="_Toc237428456"/>
    </w:p>
    <w:p>
      <w:pPr>
        <w:pStyle w:val="2"/>
        <w:spacing w:line="360" w:lineRule="auto"/>
        <w:rPr>
          <w:rFonts w:hint="eastAsia" w:ascii="华文仿宋" w:hAnsi="华文仿宋" w:eastAsia="华文仿宋" w:cs="华文仿宋"/>
          <w:b w:val="0"/>
          <w:bCs w:val="0"/>
          <w:kern w:val="0"/>
          <w:sz w:val="28"/>
          <w:szCs w:val="28"/>
          <w:lang w:val="en-US" w:eastAsia="zh-CN" w:bidi="ar-SA"/>
        </w:rPr>
      </w:pPr>
      <w:bookmarkStart w:id="48" w:name="_Toc505350013"/>
      <w:r>
        <w:rPr>
          <w:rFonts w:hint="eastAsia" w:cs="Times New Roman" w:asciiTheme="minorEastAsia" w:hAnsiTheme="minorEastAsia" w:eastAsiaTheme="minorEastAsia"/>
          <w:b/>
          <w:bCs/>
          <w:kern w:val="2"/>
          <w:sz w:val="28"/>
          <w:szCs w:val="28"/>
          <w:lang w:val="en-US" w:eastAsia="zh-CN" w:bidi="ar-SA"/>
        </w:rPr>
        <w:t>3．1  成品油市场动态</w:t>
      </w:r>
      <w:bookmarkEnd w:id="43"/>
      <w:bookmarkEnd w:id="44"/>
      <w:bookmarkEnd w:id="45"/>
      <w:bookmarkEnd w:id="48"/>
    </w:p>
    <w:p>
      <w:pPr>
        <w:pStyle w:val="19"/>
        <w:keepNext w:val="0"/>
        <w:keepLines w:val="0"/>
        <w:widowControl/>
        <w:suppressLineNumbers w:val="0"/>
        <w:ind w:firstLine="560" w:firstLineChars="200"/>
        <w:rPr>
          <w:rFonts w:hint="eastAsia" w:ascii="华文仿宋" w:hAnsi="华文仿宋" w:eastAsia="华文仿宋" w:cs="华文仿宋"/>
          <w:b w:val="0"/>
          <w:bCs w:val="0"/>
          <w:kern w:val="0"/>
          <w:sz w:val="28"/>
          <w:szCs w:val="28"/>
          <w:lang w:val="en-US" w:eastAsia="zh-CN" w:bidi="ar-SA"/>
        </w:rPr>
      </w:pPr>
      <w:r>
        <w:rPr>
          <w:rFonts w:hint="eastAsia" w:ascii="华文仿宋" w:hAnsi="华文仿宋" w:eastAsia="华文仿宋" w:cs="华文仿宋"/>
          <w:b w:val="0"/>
          <w:bCs w:val="0"/>
          <w:kern w:val="0"/>
          <w:sz w:val="28"/>
          <w:szCs w:val="28"/>
          <w:lang w:val="en-US" w:eastAsia="zh-CN" w:bidi="ar-SA"/>
        </w:rPr>
        <w:t>本周，国际原油期价震荡走跌，受此影响，国内成品油市场行情整体上行，各地主营汽柴油价格均有不同幅度的调涨。与此同时，山东地区成品油行情涨势不止，各炼厂报价频频走高，但主流成交保持100元/吨左右优惠。具体来看出货方面：外盘油价续涨提振区内油市，中下游商家入市采购积极性提升，加上前期检修企业较为集中，地炼方面趁机推价情绪浓重，从而使得区内成品油行情一路上行。后市前瞻：进入下周，国际原油期货将有所反弹，但由于供应压力依旧存在将令其反弹空间受限，WTI运行区间在68-72(均值70)美元/桶之间。在消息面利好带动下，山东地区成品油行情保持坚挺，中下游商家购进操作频繁，而地炼在出货顺畅之际势必持续推价。综上所述，预计下周山东地炼汽柴油价格仍有上涨空间。</w:t>
      </w:r>
    </w:p>
    <w:p>
      <w:pPr>
        <w:pStyle w:val="19"/>
        <w:keepNext w:val="0"/>
        <w:keepLines w:val="0"/>
        <w:widowControl/>
        <w:suppressLineNumbers w:val="0"/>
        <w:rPr>
          <w:rFonts w:hint="eastAsia" w:ascii="华文仿宋" w:hAnsi="华文仿宋" w:eastAsia="华文仿宋" w:cs="华文仿宋"/>
          <w:b w:val="0"/>
          <w:bCs w:val="0"/>
          <w:kern w:val="0"/>
          <w:sz w:val="28"/>
          <w:szCs w:val="28"/>
          <w:lang w:val="en-US" w:eastAsia="zh-CN" w:bidi="ar-SA"/>
        </w:rPr>
      </w:pPr>
      <w:r>
        <w:rPr>
          <w:rFonts w:hint="eastAsia" w:ascii="华文仿宋" w:hAnsi="华文仿宋" w:eastAsia="华文仿宋" w:cs="华文仿宋"/>
          <w:b w:val="0"/>
          <w:bCs w:val="0"/>
          <w:kern w:val="0"/>
          <w:sz w:val="28"/>
          <w:szCs w:val="28"/>
          <w:lang w:val="en-US" w:eastAsia="zh-CN" w:bidi="ar-SA"/>
        </w:rPr>
        <w:t>　　华北地区主营成品油行情持续推涨，购销氛围提升有限。分析来看，本周一零售价兑现下调，但市场跟跌幅度有限。周内国际油价震荡上行，变化率负向区间收窄，消息面给予市场一定提振。与此同时，山东地炼价格涨势不止，外采成本走高下进一步支撑区内主营汽柴报价上涨，汽柴价格上涨约110元/吨。然为了追赶销售进度，实际成交均维持一定优惠空间。尽管主营汽柴价格有所推涨，但中下游用户观望心态不减，入市采购活动按需为主，市场成交多小单为主，整体成交量提升相对有限。后市而言，国际油价将有所反弹，本轮零售价调整变数较大，下周恰逢月底月初交接，预计下周华北地区汽柴行情或维持坚挺，局部地区或继续推涨。</w:t>
      </w:r>
    </w:p>
    <w:p>
      <w:pPr>
        <w:pStyle w:val="19"/>
        <w:keepNext w:val="0"/>
        <w:keepLines w:val="0"/>
        <w:widowControl/>
        <w:suppressLineNumbers w:val="0"/>
        <w:rPr>
          <w:rFonts w:hint="eastAsia" w:ascii="华文仿宋" w:hAnsi="华文仿宋" w:eastAsia="华文仿宋" w:cs="华文仿宋"/>
          <w:b w:val="0"/>
          <w:bCs w:val="0"/>
          <w:kern w:val="0"/>
          <w:sz w:val="28"/>
          <w:szCs w:val="28"/>
          <w:lang w:val="en-US" w:eastAsia="zh-CN" w:bidi="ar-SA"/>
        </w:rPr>
      </w:pPr>
      <w:r>
        <w:rPr>
          <w:rFonts w:hint="eastAsia" w:ascii="华文仿宋" w:hAnsi="华文仿宋" w:eastAsia="华文仿宋" w:cs="华文仿宋"/>
          <w:b w:val="0"/>
          <w:bCs w:val="0"/>
          <w:kern w:val="0"/>
          <w:sz w:val="28"/>
          <w:szCs w:val="28"/>
          <w:lang w:val="en-US" w:eastAsia="zh-CN" w:bidi="ar-SA"/>
        </w:rPr>
        <w:t>　　华南地区成品油行情双双走高，市场交投气氛稍有回暖。具体来看，原油期货先抑后扬，变化率负向区间收窄，本轮零售价调整变数增大，利空因素影响减弱。加之，山东地炼及周边汽柴行情走高，且主营单位销售进度良好，汽柴油价格顺势推涨，其中汽油涨幅尤为显著。基于买涨心态支撑，部分业者入市适量购进，市场交投气氛稍有回暖。随着主营价格涨至高位，业者陆续退市消库，购销气氛随之转淡。后市来看，国际原油期货不乏震荡上行可能，消息方面指引向好，且主营单位销售进度良好，预计近期华南汽柴油行情或继续攀升，交投气氛平平。</w:t>
      </w:r>
    </w:p>
    <w:p>
      <w:pPr>
        <w:pStyle w:val="19"/>
        <w:keepNext w:val="0"/>
        <w:keepLines w:val="0"/>
        <w:widowControl/>
        <w:suppressLineNumbers w:val="0"/>
        <w:rPr>
          <w:rFonts w:hint="eastAsia" w:ascii="华文仿宋" w:hAnsi="华文仿宋" w:eastAsia="华文仿宋" w:cs="华文仿宋"/>
          <w:b w:val="0"/>
          <w:bCs w:val="0"/>
          <w:kern w:val="0"/>
          <w:sz w:val="28"/>
          <w:szCs w:val="28"/>
          <w:lang w:val="en-US" w:eastAsia="zh-CN" w:bidi="ar-SA"/>
        </w:rPr>
      </w:pPr>
      <w:r>
        <w:rPr>
          <w:rFonts w:hint="eastAsia" w:ascii="华文仿宋" w:hAnsi="华文仿宋" w:eastAsia="华文仿宋" w:cs="华文仿宋"/>
          <w:b w:val="0"/>
          <w:bCs w:val="0"/>
          <w:kern w:val="0"/>
          <w:sz w:val="28"/>
          <w:szCs w:val="28"/>
          <w:lang w:val="en-US" w:eastAsia="zh-CN" w:bidi="ar-SA"/>
        </w:rPr>
        <w:t>　　华中地区成品油行情整体处于上行周期，市场交投气氛稳中转淡。具体来看，本周，国际原油波动不大，且新一轮变化率负向窄幅波动，消息面对市场指引有限。本周一零售价虽兑现下调，但因前期市场多有消化，故对本周行情影响甚微。与此同时，地炼方面，月末发票趋紧明显以及开工率持低等原因，价格接连推涨。导致主营外采成本增加，且部分主营销售进展顺利，月度任务提前完成，故多数主营积极推价，下游备货多已到位，市场购销陆续转淡。后市来看，国际原油或有小幅反弹，本轮零售价存搁浅概率，消息面难寻有效支撑，但受地炼价格连涨影响，预计近期内华中地区成品油行情或高位持坚，个别欠量单位出货维持宽松优惠。</w:t>
      </w:r>
    </w:p>
    <w:p>
      <w:pPr>
        <w:pStyle w:val="19"/>
        <w:keepNext w:val="0"/>
        <w:keepLines w:val="0"/>
        <w:widowControl/>
        <w:suppressLineNumbers w:val="0"/>
        <w:rPr>
          <w:rFonts w:hint="eastAsia" w:ascii="华文仿宋" w:hAnsi="华文仿宋" w:eastAsia="华文仿宋" w:cs="华文仿宋"/>
          <w:b w:val="0"/>
          <w:bCs w:val="0"/>
          <w:kern w:val="0"/>
          <w:sz w:val="28"/>
          <w:szCs w:val="28"/>
          <w:lang w:val="en-US" w:eastAsia="zh-CN" w:bidi="ar-SA"/>
        </w:rPr>
      </w:pPr>
      <w:r>
        <w:rPr>
          <w:rFonts w:hint="eastAsia" w:ascii="华文仿宋" w:hAnsi="华文仿宋" w:eastAsia="华文仿宋" w:cs="华文仿宋"/>
          <w:b w:val="0"/>
          <w:bCs w:val="0"/>
          <w:kern w:val="0"/>
          <w:sz w:val="28"/>
          <w:szCs w:val="28"/>
          <w:lang w:val="en-US" w:eastAsia="zh-CN" w:bidi="ar-SA"/>
        </w:rPr>
        <w:t>　　华东地区成品油行情接连上涨，市场交投氛围有所好转。具体来看，尽管周初零售价兑现下调，且新一轮变化率负向运行，但由于山东地炼汽柴油因发票紧俏且产量降低等影响价格持续上涨，外采成本持续攀升，华东主营单位迫于压力汽柴油价格亦有明显上推，其中柴油价格上调100元/吨左右。不过，受到主营联合推价影响，中间商补货热情被激发，市场交投逐步好转，部分单位借机完成月度销售计划，但仍有个别主营前期销售欠量较大，尽管近期追量明显但完成任务仍有压力。业者补货到位后陆续退市消库，市场购销氛围再度转淡。后市而言，国际原油或震荡上行为主，本轮零售价存搁浅或小涨可能，而且下周恰逢两月交替期，主营销售政策较为谨慎，加之外采成本居高不下，预计华东汽柴行情或仍有一定上涨空间。</w:t>
      </w:r>
    </w:p>
    <w:p>
      <w:pPr>
        <w:pStyle w:val="19"/>
        <w:keepNext w:val="0"/>
        <w:keepLines w:val="0"/>
        <w:widowControl/>
        <w:suppressLineNumbers w:val="0"/>
        <w:rPr>
          <w:rFonts w:hint="eastAsia" w:ascii="华文仿宋" w:hAnsi="华文仿宋" w:eastAsia="华文仿宋" w:cs="华文仿宋"/>
          <w:b w:val="0"/>
          <w:bCs w:val="0"/>
          <w:kern w:val="0"/>
          <w:sz w:val="28"/>
          <w:szCs w:val="28"/>
          <w:lang w:val="en-US" w:eastAsia="zh-CN" w:bidi="ar-SA"/>
        </w:rPr>
      </w:pPr>
      <w:r>
        <w:rPr>
          <w:rFonts w:hint="eastAsia" w:ascii="华文仿宋" w:hAnsi="华文仿宋" w:eastAsia="华文仿宋" w:cs="华文仿宋"/>
          <w:b w:val="0"/>
          <w:bCs w:val="0"/>
          <w:kern w:val="0"/>
          <w:sz w:val="28"/>
          <w:szCs w:val="28"/>
          <w:lang w:val="en-US" w:eastAsia="zh-CN" w:bidi="ar-SA"/>
        </w:rPr>
        <w:t>　　西北地炼汽柴行情有所提升，市场成交逐步转淡。分析来看：本周一，成品油零售价下调兑现，但由于近段时间内山东地炼价格持续走高，对西北地区冲击减弱，业者补货增多，市场成交略有改善，因此区内汽柴行情不降反涨。进入新一轮计价周期，变化率仍为负向，且调价兑现初期，市场观望气氛仍存，业者多消库为主，入市操作减少，市场成交转淡。不过，周内国际油价跌后连涨，消息面逐步好转，此外，山东地炼价格延续涨势，区内市场心态亦受到提振，汽柴价格继续小幅推高。进入下周，国际油价或震荡反弹，变化率或将转正，消息面仍有支撑。预计下周西北地炼汽柴行情维持坚挺，业者按需采购为主，市场成交难有明显提升。</w:t>
      </w:r>
    </w:p>
    <w:p>
      <w:pPr>
        <w:pStyle w:val="19"/>
        <w:keepNext w:val="0"/>
        <w:keepLines w:val="0"/>
        <w:widowControl/>
        <w:suppressLineNumbers w:val="0"/>
        <w:rPr>
          <w:rFonts w:hint="eastAsia" w:ascii="华文仿宋" w:hAnsi="华文仿宋" w:eastAsia="华文仿宋" w:cs="华文仿宋"/>
          <w:b w:val="0"/>
          <w:bCs w:val="0"/>
          <w:kern w:val="0"/>
          <w:sz w:val="28"/>
          <w:szCs w:val="28"/>
          <w:lang w:val="en-US" w:eastAsia="zh-CN" w:bidi="ar-SA"/>
        </w:rPr>
      </w:pPr>
      <w:r>
        <w:rPr>
          <w:rFonts w:hint="eastAsia" w:ascii="华文仿宋" w:hAnsi="华文仿宋" w:eastAsia="华文仿宋" w:cs="华文仿宋"/>
          <w:b w:val="0"/>
          <w:bCs w:val="0"/>
          <w:kern w:val="0"/>
          <w:sz w:val="28"/>
          <w:szCs w:val="28"/>
          <w:lang w:val="en-US" w:eastAsia="zh-CN" w:bidi="ar-SA"/>
        </w:rPr>
        <w:t>　　西南地区汽柴行情跌后反弹，整体交投氛围平淡。分析来看：本周一，成品油零售价下调兑现，且进入新一轮计价周期，变化率仍为负向，消息面指引有限。另外，进入中下旬，多数地区主营销售任务欠量较多，周初区内汽柴行情下行为主。之后，国际油价连涨，且山东地炼汽柴价格不断走高，主营及其他社会单位采购成本增加，区内价格止跌回涨。但下游需求仍显平淡，对市场难有明显支撑。业者操作心态谨慎，适量补货之后再度退市消库，市场成交难有明显改善。进入下周，国际油价或震荡走高，变化率将转为正向，消息面好转。加之，地炼价格涨势不止，对主营价格亦有支撑。预计下周西南地区汽柴行情稳中上行。但主营月底继续冲量，优惠政策保持灵活。</w:t>
      </w:r>
    </w:p>
    <w:p>
      <w:pPr>
        <w:pStyle w:val="19"/>
        <w:keepNext w:val="0"/>
        <w:keepLines w:val="0"/>
        <w:widowControl/>
        <w:suppressLineNumbers w:val="0"/>
        <w:rPr>
          <w:rFonts w:hint="eastAsia" w:ascii="华文仿宋" w:hAnsi="华文仿宋" w:eastAsia="华文仿宋" w:cs="华文仿宋"/>
          <w:b w:val="0"/>
          <w:bCs w:val="0"/>
          <w:kern w:val="0"/>
          <w:sz w:val="28"/>
          <w:szCs w:val="28"/>
          <w:lang w:val="en-US" w:eastAsia="zh-CN" w:bidi="ar-SA"/>
        </w:rPr>
      </w:pPr>
      <w:r>
        <w:rPr>
          <w:rFonts w:hint="eastAsia" w:ascii="华文仿宋" w:hAnsi="华文仿宋" w:eastAsia="华文仿宋" w:cs="华文仿宋"/>
          <w:b w:val="0"/>
          <w:bCs w:val="0"/>
          <w:kern w:val="0"/>
          <w:sz w:val="28"/>
          <w:szCs w:val="28"/>
          <w:lang w:val="en-US" w:eastAsia="zh-CN" w:bidi="ar-SA"/>
        </w:rPr>
        <w:t>　　步入下周，国际原油或有所反弹，本轮变化率或转为正向区间运行，零售价小幅上调的概率较大，消息面对市场继续形成利好指引，国内油市延续乐观。就供需面而言，后期国内主营炼厂方面因中石油旗下部分炼厂开始检修故开工率或小降，而山东地炼开工率已开始触底反弹，整体来看国内汽柴油资源供应量较为充足。近来全国范围内高温多雨天气，户外工矿、基建以及物流行业整体运行情况受到一定影响，柴油需求表现平淡;尽管汽油方面暂无节假日提振，但仍处于传统需求旺季，汽油消费量好于柴油方面。受“买涨”心态影响下，中下游用户补货到位后陆续退市消库，市场购销氛围再度转淡。此外，下周恰逢月底月初交 接，主营单位销售政策较为谨慎，提前完成任务的单位将继续推价，部分欠量严重的单位为追赶销售任务销售政策较为灵活。综合来看，下周市场将受消息面影响为主，加之外采成本居高不下，多重因素提振下国内汽柴行情有继续推涨的可能，市场逐渐转入消库阶段，实际交投气氛降温。</w:t>
      </w:r>
    </w:p>
    <w:p>
      <w:pPr>
        <w:pStyle w:val="19"/>
        <w:keepNext w:val="0"/>
        <w:keepLines w:val="0"/>
        <w:widowControl/>
        <w:suppressLineNumbers w:val="0"/>
        <w:rPr>
          <w:rFonts w:hint="eastAsia" w:ascii="华文仿宋" w:hAnsi="华文仿宋" w:eastAsia="华文仿宋" w:cs="华文仿宋"/>
          <w:b w:val="0"/>
          <w:bCs w:val="0"/>
          <w:kern w:val="0"/>
          <w:sz w:val="28"/>
          <w:szCs w:val="28"/>
          <w:lang w:val="en-US" w:eastAsia="zh-CN" w:bidi="ar-SA"/>
        </w:rPr>
      </w:pPr>
    </w:p>
    <w:p>
      <w:pPr>
        <w:pStyle w:val="19"/>
        <w:keepNext w:val="0"/>
        <w:keepLines w:val="0"/>
        <w:widowControl/>
        <w:suppressLineNumbers w:val="0"/>
        <w:rPr>
          <w:rFonts w:hint="eastAsia"/>
        </w:rPr>
      </w:pPr>
    </w:p>
    <w:bookmarkEnd w:id="46"/>
    <w:bookmarkEnd w:id="47"/>
    <w:p>
      <w:pPr>
        <w:numPr>
          <w:ilvl w:val="0"/>
          <w:numId w:val="0"/>
        </w:numPr>
        <w:outlineLvl w:val="0"/>
        <w:rPr>
          <w:rFonts w:ascii="黑体"/>
          <w:b/>
          <w:bCs/>
          <w:sz w:val="28"/>
          <w:szCs w:val="28"/>
        </w:rPr>
      </w:pPr>
      <w:bookmarkStart w:id="49" w:name="_Toc505350014"/>
      <w:bookmarkStart w:id="50" w:name="_Toc369858747"/>
      <w:bookmarkStart w:id="51" w:name="_Toc460250410"/>
      <w:bookmarkStart w:id="52" w:name="_Toc281568208"/>
      <w:bookmarkStart w:id="53" w:name="_Toc296600818"/>
      <w:bookmarkStart w:id="54" w:name="_Toc180485827"/>
      <w:bookmarkStart w:id="55" w:name="_Toc281568211"/>
      <w:bookmarkStart w:id="56" w:name="_Toc296600819"/>
      <w:r>
        <w:rPr>
          <w:rFonts w:hint="eastAsia" w:ascii="黑体"/>
          <w:b/>
          <w:bCs/>
          <w:sz w:val="28"/>
          <w:szCs w:val="28"/>
          <w:lang w:eastAsia="zh-CN"/>
        </w:rPr>
        <w:t>四、</w:t>
      </w:r>
      <w:r>
        <w:rPr>
          <w:rFonts w:hint="eastAsia" w:ascii="黑体"/>
          <w:b/>
          <w:bCs/>
          <w:sz w:val="28"/>
          <w:szCs w:val="28"/>
        </w:rPr>
        <w:t>国内溶剂油市场综述</w:t>
      </w:r>
      <w:bookmarkEnd w:id="49"/>
    </w:p>
    <w:p>
      <w:pPr>
        <w:pStyle w:val="19"/>
        <w:keepNext w:val="0"/>
        <w:keepLines w:val="0"/>
        <w:widowControl/>
        <w:suppressLineNumbers w:val="0"/>
        <w:rPr>
          <w:rFonts w:hint="eastAsia" w:ascii="华文仿宋" w:hAnsi="华文仿宋" w:eastAsia="华文仿宋" w:cs="华文仿宋"/>
          <w:b w:val="0"/>
          <w:bCs w:val="0"/>
          <w:kern w:val="0"/>
          <w:sz w:val="28"/>
          <w:szCs w:val="28"/>
          <w:lang w:val="en-US" w:eastAsia="zh-CN" w:bidi="ar-SA"/>
        </w:rPr>
      </w:pPr>
      <w:r>
        <w:rPr>
          <w:sz w:val="21"/>
          <w:szCs w:val="21"/>
        </w:rPr>
        <w:t>　</w:t>
      </w:r>
      <w:r>
        <w:rPr>
          <w:rFonts w:hint="eastAsia" w:ascii="华文仿宋" w:hAnsi="华文仿宋" w:eastAsia="华文仿宋" w:cs="华文仿宋"/>
          <w:b w:val="0"/>
          <w:bCs w:val="0"/>
          <w:kern w:val="0"/>
          <w:sz w:val="28"/>
          <w:szCs w:val="28"/>
          <w:lang w:val="en-US" w:eastAsia="zh-CN" w:bidi="ar-SA"/>
        </w:rPr>
        <w:t xml:space="preserve"> 本周国内溶剂油市场大稳小动，原油期价涨跌互现，对溶剂油行情暂无明显指引作用，使得场内整体交投气氛低迷，实单成交寥寥。在消息面改观不大的情况下，溶剂油市场报盘价格保持坚挺，买卖双方理性操作，市场观望气氛渐起，但实单成交仍以刚需为主。后期预测：后期国际原油难改震荡走势，消息面指引力度有限，溶剂油行情将保持坚挺，故预计短期内溶剂油成交价格多维持中位整理。</w:t>
      </w:r>
    </w:p>
    <w:p>
      <w:pPr>
        <w:pStyle w:val="19"/>
        <w:keepNext w:val="0"/>
        <w:keepLines w:val="0"/>
        <w:widowControl/>
        <w:suppressLineNumbers w:val="0"/>
        <w:rPr>
          <w:rFonts w:hint="eastAsia" w:ascii="华文仿宋" w:hAnsi="华文仿宋" w:eastAsia="华文仿宋" w:cs="华文仿宋"/>
          <w:kern w:val="0"/>
          <w:sz w:val="28"/>
          <w:szCs w:val="28"/>
          <w:lang w:val="en-US" w:eastAsia="zh-CN" w:bidi="ar-SA"/>
        </w:rPr>
      </w:pPr>
    </w:p>
    <w:bookmarkEnd w:id="50"/>
    <w:bookmarkEnd w:id="51"/>
    <w:bookmarkEnd w:id="52"/>
    <w:bookmarkEnd w:id="53"/>
    <w:bookmarkEnd w:id="54"/>
    <w:p>
      <w:pPr>
        <w:pStyle w:val="2"/>
        <w:spacing w:line="360" w:lineRule="auto"/>
        <w:rPr>
          <w:rFonts w:hint="eastAsia" w:ascii="Microsoft YaHei" w:hAnsi="Microsoft YaHei" w:cs="宋体"/>
          <w:kern w:val="0"/>
          <w:sz w:val="23"/>
          <w:szCs w:val="23"/>
        </w:rPr>
      </w:pPr>
      <w:bookmarkStart w:id="57" w:name="_Toc505350015"/>
      <w:bookmarkStart w:id="58" w:name="_Toc460250411"/>
      <w:r>
        <w:rPr>
          <w:rFonts w:hint="eastAsia" w:ascii="黑体" w:hAnsi="宋体"/>
          <w:sz w:val="28"/>
          <w:szCs w:val="28"/>
        </w:rPr>
        <w:t>五、本周国内炼厂溶剂油产品价格对比</w:t>
      </w:r>
      <w:bookmarkEnd w:id="55"/>
      <w:bookmarkEnd w:id="56"/>
      <w:bookmarkEnd w:id="57"/>
      <w:bookmarkEnd w:id="58"/>
    </w:p>
    <w:p>
      <w:pPr>
        <w:rPr>
          <w:rFonts w:ascii="宋体" w:hAnsi="宋体"/>
          <w:sz w:val="20"/>
          <w:szCs w:val="20"/>
        </w:rPr>
      </w:pPr>
      <w:r>
        <w:rPr>
          <w:rFonts w:hint="eastAsia" w:ascii="宋体" w:hAnsi="宋体"/>
          <w:sz w:val="20"/>
          <w:szCs w:val="20"/>
        </w:rPr>
        <w:t>单位：元/吨</w:t>
      </w:r>
    </w:p>
    <w:p>
      <w:pPr>
        <w:rPr>
          <w:rFonts w:ascii="宋体" w:hAnsi="宋体"/>
          <w:sz w:val="20"/>
          <w:szCs w:val="20"/>
        </w:rPr>
      </w:pPr>
    </w:p>
    <w:tbl>
      <w:tblPr>
        <w:tblW w:w="97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90"/>
        <w:gridCol w:w="1952"/>
        <w:gridCol w:w="1090"/>
        <w:gridCol w:w="1090"/>
        <w:gridCol w:w="1090"/>
        <w:gridCol w:w="1091"/>
        <w:gridCol w:w="1245"/>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952"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09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9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9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91"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45"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2018-7-27</w:t>
            </w:r>
          </w:p>
        </w:tc>
        <w:tc>
          <w:tcPr>
            <w:tcW w:w="1126"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5550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青岛石化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济南炼厂</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7250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杭州炼厂</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泰州石化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金陵烷基苯厂</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扬州石化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福建联合</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5340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南阳石化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南充炼厂</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hint="eastAsia" w:ascii="华文仿宋" w:hAnsi="华文仿宋" w:eastAsia="华文仿宋"/>
          <w:sz w:val="28"/>
          <w:szCs w:val="28"/>
        </w:rPr>
      </w:pPr>
    </w:p>
    <w:p>
      <w:pPr>
        <w:widowControl/>
        <w:jc w:val="center"/>
        <w:rPr>
          <w:rFonts w:hint="eastAsia"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59" w:name="_Toc505350016"/>
      <w:bookmarkStart w:id="60" w:name="_Toc296600821"/>
      <w:bookmarkStart w:id="61" w:name="_Toc460250412"/>
      <w:bookmarkStart w:id="62" w:name="_Toc281568213"/>
      <w:r>
        <w:rPr>
          <w:rFonts w:hint="eastAsia" w:ascii="黑体" w:hAnsi="宋体"/>
          <w:sz w:val="28"/>
          <w:szCs w:val="28"/>
        </w:rPr>
        <w:t>六、D系列特种溶剂油</w:t>
      </w:r>
      <w:bookmarkEnd w:id="59"/>
      <w:bookmarkEnd w:id="60"/>
      <w:bookmarkEnd w:id="61"/>
      <w:bookmarkEnd w:id="62"/>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本周国内D系列溶剂油价格汇总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10"/>
        <w:gridCol w:w="1233"/>
        <w:gridCol w:w="1232"/>
        <w:gridCol w:w="1232"/>
        <w:gridCol w:w="1233"/>
        <w:gridCol w:w="1404"/>
        <w:gridCol w:w="1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233"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232"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232"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233"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404"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2018-7-27</w:t>
            </w:r>
          </w:p>
        </w:tc>
        <w:tc>
          <w:tcPr>
            <w:tcW w:w="1232"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D20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D75</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D105</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D120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8150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8550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D65</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3" w:name="_Toc296600822"/>
      <w:bookmarkStart w:id="64" w:name="_Toc281568214"/>
      <w:bookmarkStart w:id="65" w:name="_Toc505350017"/>
      <w:bookmarkStart w:id="66" w:name="_Toc460250413"/>
      <w:r>
        <w:rPr>
          <w:rFonts w:hint="eastAsia" w:ascii="华文仿宋" w:hAnsi="华文仿宋" w:eastAsia="华文仿宋"/>
          <w:bCs w:val="0"/>
          <w:kern w:val="2"/>
          <w:sz w:val="28"/>
          <w:szCs w:val="28"/>
        </w:rPr>
        <w:t>七、重芳烃溶剂油</w:t>
      </w:r>
      <w:bookmarkEnd w:id="63"/>
      <w:bookmarkEnd w:id="64"/>
      <w:bookmarkEnd w:id="65"/>
      <w:bookmarkEnd w:id="66"/>
    </w:p>
    <w:p>
      <w:pPr>
        <w:autoSpaceDE w:val="0"/>
        <w:autoSpaceDN w:val="0"/>
        <w:adjustRightInd w:val="0"/>
        <w:ind w:firstLine="140" w:firstLineChars="50"/>
        <w:rPr>
          <w:rFonts w:hint="eastAsia" w:ascii="华文仿宋" w:hAnsi="华文仿宋" w:eastAsia="华文仿宋"/>
          <w:sz w:val="28"/>
          <w:szCs w:val="28"/>
        </w:rPr>
      </w:pPr>
      <w:r>
        <w:rPr>
          <w:rFonts w:hint="eastAsia" w:ascii="华文仿宋" w:hAnsi="华文仿宋" w:eastAsia="华文仿宋"/>
          <w:sz w:val="28"/>
          <w:szCs w:val="28"/>
        </w:rPr>
        <w:t>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13"/>
        <w:gridCol w:w="1653"/>
        <w:gridCol w:w="1313"/>
        <w:gridCol w:w="1113"/>
        <w:gridCol w:w="1113"/>
        <w:gridCol w:w="1081"/>
        <w:gridCol w:w="1264"/>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653"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13"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113"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113"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81"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64"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2018-7-27</w:t>
            </w:r>
          </w:p>
        </w:tc>
        <w:tc>
          <w:tcPr>
            <w:tcW w:w="1126"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混合芳烃</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混三甲苯-1</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混三甲苯-3</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混四甲苯</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S-2300#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S1001#</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S1501#</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S1800A</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S1800B</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S100#C</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6950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混合甲乙苯</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混合三甲苯</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C10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中海油惠州</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autoSpaceDE w:val="0"/>
        <w:autoSpaceDN w:val="0"/>
        <w:adjustRightInd w:val="0"/>
        <w:ind w:firstLine="140" w:firstLineChars="50"/>
        <w:rPr>
          <w:rFonts w:hint="eastAsia" w:ascii="华文仿宋" w:hAnsi="华文仿宋" w:eastAsia="华文仿宋"/>
          <w:sz w:val="28"/>
          <w:szCs w:val="28"/>
        </w:rPr>
      </w:pPr>
    </w:p>
    <w:p>
      <w:pPr>
        <w:widowControl/>
        <w:jc w:val="center"/>
        <w:rPr>
          <w:rFonts w:hint="eastAsia" w:ascii="华文仿宋" w:hAnsi="华文仿宋" w:eastAsia="华文仿宋"/>
          <w:sz w:val="28"/>
          <w:szCs w:val="28"/>
          <w:lang w:val="en-US" w:eastAsia="zh-CN"/>
        </w:rPr>
      </w:pPr>
    </w:p>
    <w:p>
      <w:pPr>
        <w:widowControl/>
        <w:jc w:val="center"/>
        <w:rPr>
          <w:rFonts w:hint="eastAsia" w:ascii="华文仿宋" w:hAnsi="华文仿宋" w:eastAsia="华文仿宋"/>
          <w:sz w:val="28"/>
          <w:szCs w:val="28"/>
          <w:lang w:val="en-US" w:eastAsia="zh-CN"/>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7" w:name="_Toc281568215"/>
      <w:bookmarkStart w:id="68" w:name="_Toc180485835"/>
      <w:bookmarkStart w:id="69" w:name="_Toc505350018"/>
      <w:bookmarkStart w:id="70" w:name="_Toc296600823"/>
      <w:bookmarkStart w:id="71" w:name="_Toc460250414"/>
      <w:r>
        <w:rPr>
          <w:rFonts w:hint="eastAsia" w:ascii="华文仿宋" w:hAnsi="华文仿宋" w:eastAsia="华文仿宋"/>
          <w:bCs w:val="0"/>
          <w:kern w:val="2"/>
          <w:sz w:val="28"/>
          <w:szCs w:val="28"/>
        </w:rPr>
        <w:t>八、正己烷</w:t>
      </w:r>
      <w:bookmarkEnd w:id="67"/>
      <w:bookmarkEnd w:id="68"/>
      <w:bookmarkEnd w:id="69"/>
      <w:bookmarkEnd w:id="70"/>
      <w:bookmarkEnd w:id="71"/>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hAnsi="华文仿宋" w:eastAsia="华文仿宋"/>
          <w:sz w:val="28"/>
          <w:szCs w:val="28"/>
        </w:rPr>
      </w:pPr>
      <w:r>
        <w:rPr>
          <w:rFonts w:hint="eastAsia" w:ascii="华文仿宋" w:hAnsi="华文仿宋" w:eastAsia="华文仿宋"/>
          <w:sz w:val="28"/>
          <w:szCs w:val="28"/>
        </w:rPr>
        <w:t>本周国内正己烷价格汇总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华文仿宋" w:hAnsi="华文仿宋" w:eastAsia="华文仿宋"/>
          <w:sz w:val="28"/>
          <w:szCs w:val="28"/>
        </w:rPr>
      </w:pPr>
      <w:r>
        <w:rPr>
          <w:rFonts w:hint="eastAsia" w:ascii="华文仿宋" w:hAnsi="华文仿宋" w:eastAsia="华文仿宋"/>
          <w:sz w:val="28"/>
          <w:szCs w:val="28"/>
        </w:rPr>
        <w:t xml:space="preserve">单位：元/吨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华文仿宋" w:hAnsi="华文仿宋" w:eastAsia="华文仿宋"/>
          <w:sz w:val="28"/>
          <w:szCs w:val="28"/>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02"/>
        <w:gridCol w:w="1903"/>
        <w:gridCol w:w="1902"/>
        <w:gridCol w:w="2167"/>
        <w:gridCol w:w="1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903"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902"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2167"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2018-7-27</w:t>
            </w:r>
          </w:p>
        </w:tc>
        <w:tc>
          <w:tcPr>
            <w:tcW w:w="1902"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hint="eastAsia" w:ascii="华文仿宋" w:hAnsi="华文仿宋" w:eastAsia="华文仿宋"/>
          <w:b w:val="0"/>
          <w:bCs w:val="0"/>
          <w:kern w:val="2"/>
          <w:sz w:val="28"/>
          <w:szCs w:val="28"/>
        </w:rPr>
      </w:pPr>
      <w:bookmarkStart w:id="72" w:name="_Toc505350019"/>
      <w:bookmarkStart w:id="73" w:name="_Toc281568216"/>
      <w:bookmarkStart w:id="74" w:name="_Toc460250415"/>
      <w:bookmarkStart w:id="75" w:name="_Toc296600824"/>
      <w:r>
        <w:rPr>
          <w:rFonts w:hint="eastAsia" w:ascii="华文仿宋" w:hAnsi="华文仿宋" w:eastAsia="华文仿宋"/>
          <w:b w:val="0"/>
          <w:bCs w:val="0"/>
          <w:kern w:val="2"/>
          <w:sz w:val="28"/>
          <w:szCs w:val="28"/>
        </w:rPr>
        <w:t>九、201</w:t>
      </w:r>
      <w:r>
        <w:rPr>
          <w:rFonts w:hint="eastAsia" w:ascii="华文仿宋" w:hAnsi="华文仿宋" w:eastAsia="华文仿宋"/>
          <w:b w:val="0"/>
          <w:bCs w:val="0"/>
          <w:kern w:val="2"/>
          <w:sz w:val="28"/>
          <w:szCs w:val="28"/>
          <w:lang w:val="en-US" w:eastAsia="zh-CN"/>
        </w:rPr>
        <w:t>8</w:t>
      </w:r>
      <w:r>
        <w:rPr>
          <w:rFonts w:hint="eastAsia" w:ascii="华文仿宋" w:hAnsi="华文仿宋" w:eastAsia="华文仿宋"/>
          <w:b w:val="0"/>
          <w:bCs w:val="0"/>
          <w:kern w:val="2"/>
          <w:sz w:val="28"/>
          <w:szCs w:val="28"/>
        </w:rPr>
        <w:t>年</w:t>
      </w:r>
      <w:r>
        <w:rPr>
          <w:rFonts w:hint="eastAsia" w:ascii="华文仿宋" w:hAnsi="华文仿宋" w:eastAsia="华文仿宋"/>
          <w:b w:val="0"/>
          <w:bCs w:val="0"/>
          <w:kern w:val="2"/>
          <w:sz w:val="28"/>
          <w:szCs w:val="28"/>
          <w:lang w:val="en-US" w:eastAsia="zh-CN"/>
        </w:rPr>
        <w:t>3</w:t>
      </w:r>
      <w:r>
        <w:rPr>
          <w:rFonts w:hint="eastAsia" w:ascii="华文仿宋" w:hAnsi="华文仿宋" w:eastAsia="华文仿宋"/>
          <w:b w:val="0"/>
          <w:bCs w:val="0"/>
          <w:kern w:val="2"/>
          <w:sz w:val="28"/>
          <w:szCs w:val="28"/>
        </w:rPr>
        <w:t>月中国溶剂油石脑油进出口数据统计</w:t>
      </w:r>
      <w:bookmarkEnd w:id="72"/>
      <w:bookmarkEnd w:id="73"/>
      <w:bookmarkEnd w:id="74"/>
      <w:bookmarkEnd w:id="75"/>
    </w:p>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bookmarkStart w:id="76" w:name="_Toc296600826"/>
      <w:bookmarkStart w:id="77" w:name="_Toc281568218"/>
      <w:r>
        <w:rPr>
          <w:rFonts w:hint="eastAsia" w:ascii="华文仿宋" w:hAnsi="华文仿宋" w:eastAsia="华文仿宋"/>
          <w:sz w:val="28"/>
          <w:szCs w:val="28"/>
        </w:rPr>
        <w:t>201</w:t>
      </w:r>
      <w:r>
        <w:rPr>
          <w:rFonts w:hint="eastAsia" w:ascii="华文仿宋" w:hAnsi="华文仿宋" w:eastAsia="华文仿宋"/>
          <w:sz w:val="28"/>
          <w:szCs w:val="28"/>
          <w:lang w:val="en-US" w:eastAsia="zh-CN"/>
        </w:rPr>
        <w:t>8</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3</w:t>
      </w:r>
      <w:r>
        <w:rPr>
          <w:rFonts w:hint="eastAsia" w:ascii="华文仿宋" w:hAnsi="华文仿宋" w:eastAsia="华文仿宋"/>
          <w:sz w:val="28"/>
          <w:szCs w:val="28"/>
        </w:rPr>
        <w:t>月中国</w:t>
      </w:r>
      <w:r>
        <w:rPr>
          <w:rFonts w:ascii="华文仿宋" w:hAnsi="华文仿宋" w:eastAsia="华文仿宋"/>
          <w:sz w:val="28"/>
          <w:szCs w:val="28"/>
        </w:rPr>
        <w:t>橡胶溶剂油、油漆溶剂油、抽提溶剂油</w:t>
      </w:r>
      <w:bookmarkEnd w:id="76"/>
      <w:bookmarkEnd w:id="77"/>
      <w:r>
        <w:rPr>
          <w:rFonts w:hint="eastAsia" w:ascii="华文仿宋" w:hAnsi="华文仿宋" w:eastAsia="华文仿宋"/>
          <w:sz w:val="28"/>
          <w:szCs w:val="28"/>
        </w:rPr>
        <w:t>进出口数据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80"/>
        <w:gridCol w:w="1790"/>
        <w:gridCol w:w="1621"/>
        <w:gridCol w:w="1743"/>
        <w:gridCol w:w="1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产销国</w:t>
            </w:r>
          </w:p>
        </w:tc>
        <w:tc>
          <w:tcPr>
            <w:tcW w:w="1790"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进口数量</w:t>
            </w:r>
          </w:p>
        </w:tc>
        <w:tc>
          <w:tcPr>
            <w:tcW w:w="162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进口美元</w:t>
            </w:r>
          </w:p>
        </w:tc>
        <w:tc>
          <w:tcPr>
            <w:tcW w:w="1743"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出口数量</w:t>
            </w:r>
          </w:p>
        </w:tc>
        <w:tc>
          <w:tcPr>
            <w:tcW w:w="1742"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俄罗斯联邦</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4964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台湾省</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10560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23654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德国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986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新加坡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785199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1096866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日本</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43468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92487</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朝鲜</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30020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42028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比利时</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2559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法国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174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12400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12524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4506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荷兰</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1216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4139</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韩国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35760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53998</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香港</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24960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41434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马来西亚</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32600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35244</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201</w:t>
      </w:r>
      <w:r>
        <w:rPr>
          <w:rFonts w:hint="eastAsia" w:ascii="华文仿宋" w:hAnsi="华文仿宋" w:eastAsia="华文仿宋"/>
          <w:sz w:val="28"/>
          <w:szCs w:val="28"/>
          <w:lang w:val="en-US" w:eastAsia="zh-CN"/>
        </w:rPr>
        <w:t>8</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3</w:t>
      </w:r>
      <w:r>
        <w:rPr>
          <w:rFonts w:hint="eastAsia" w:ascii="华文仿宋" w:hAnsi="华文仿宋" w:eastAsia="华文仿宋"/>
          <w:sz w:val="28"/>
          <w:szCs w:val="28"/>
        </w:rPr>
        <w:t>月石脑油进出口数据(数量单位：千克/升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55"/>
        <w:gridCol w:w="1955"/>
        <w:gridCol w:w="1956"/>
        <w:gridCol w:w="1955"/>
        <w:gridCol w:w="1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产销国</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进口数量</w:t>
            </w:r>
          </w:p>
        </w:tc>
        <w:tc>
          <w:tcPr>
            <w:tcW w:w="195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进口美元</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出口数量</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俄罗斯联邦</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60850458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32928505</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印度</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29972525</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17664699</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埃及</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36355897</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21572481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日本</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86</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荷兰</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55866332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32618531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阿拉伯联合酋长国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55461759</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32868053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韩国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64861818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37385693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ascii="华文仿宋" w:hAnsi="华文仿宋" w:eastAsia="华文仿宋"/>
          <w:sz w:val="28"/>
          <w:szCs w:val="28"/>
        </w:rPr>
      </w:pPr>
    </w:p>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Microsoft YaHei">
    <w:altName w:val="Courier New"/>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roman"/>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44</w:t>
    </w:r>
    <w:r>
      <w:rPr>
        <w:b/>
        <w:bCs/>
        <w:sz w:val="24"/>
        <w:szCs w:val="24"/>
      </w:rPr>
      <w:fldChar w:fldCharType="end"/>
    </w:r>
  </w:p>
  <w:p>
    <w:pPr>
      <w:pStyle w:val="1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pPr>
      <w:pStyle w:val="13"/>
      <w:pBdr>
        <w:bottom w:val="none" w:color="auto" w:sz="0" w:space="0"/>
      </w:pBdr>
    </w:pP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BECC"/>
    <w:multiLevelType w:val="singleLevel"/>
    <w:tmpl w:val="2E66BECC"/>
    <w:lvl w:ilvl="0" w:tentative="0">
      <w:start w:val="1"/>
      <w:numFmt w:val="decimal"/>
      <w:suff w:val="nothing"/>
      <w:lvlText w:val="%1、"/>
      <w:lvlJc w:val="left"/>
    </w:lvl>
  </w:abstractNum>
  <w:abstractNum w:abstractNumId="1">
    <w:nsid w:val="37716F8E"/>
    <w:multiLevelType w:val="singleLevel"/>
    <w:tmpl w:val="37716F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4CFF"/>
    <w:rsid w:val="000071C7"/>
    <w:rsid w:val="00007808"/>
    <w:rsid w:val="000121DE"/>
    <w:rsid w:val="00013FDF"/>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893"/>
    <w:rsid w:val="000D6DB7"/>
    <w:rsid w:val="000D7C1F"/>
    <w:rsid w:val="000E12DD"/>
    <w:rsid w:val="000E3ED3"/>
    <w:rsid w:val="000E4486"/>
    <w:rsid w:val="000F4930"/>
    <w:rsid w:val="000F6AFC"/>
    <w:rsid w:val="00100B41"/>
    <w:rsid w:val="001028D9"/>
    <w:rsid w:val="00103D77"/>
    <w:rsid w:val="001045A7"/>
    <w:rsid w:val="00111DD8"/>
    <w:rsid w:val="00111F37"/>
    <w:rsid w:val="00113D3C"/>
    <w:rsid w:val="00114C42"/>
    <w:rsid w:val="00114D13"/>
    <w:rsid w:val="00123276"/>
    <w:rsid w:val="00130438"/>
    <w:rsid w:val="001316A0"/>
    <w:rsid w:val="001351B0"/>
    <w:rsid w:val="00137FFE"/>
    <w:rsid w:val="00147D86"/>
    <w:rsid w:val="00167025"/>
    <w:rsid w:val="00183F2A"/>
    <w:rsid w:val="00194FF2"/>
    <w:rsid w:val="00195689"/>
    <w:rsid w:val="001A3318"/>
    <w:rsid w:val="001A58F5"/>
    <w:rsid w:val="001B0F30"/>
    <w:rsid w:val="001B2E5D"/>
    <w:rsid w:val="001B32BE"/>
    <w:rsid w:val="001B7F7D"/>
    <w:rsid w:val="001C077C"/>
    <w:rsid w:val="001C20CD"/>
    <w:rsid w:val="001C37E2"/>
    <w:rsid w:val="001C5CC6"/>
    <w:rsid w:val="001D1279"/>
    <w:rsid w:val="001D2FA8"/>
    <w:rsid w:val="001D35A4"/>
    <w:rsid w:val="001D3943"/>
    <w:rsid w:val="001D408B"/>
    <w:rsid w:val="001D48F1"/>
    <w:rsid w:val="001E2FF2"/>
    <w:rsid w:val="001E7175"/>
    <w:rsid w:val="001F0235"/>
    <w:rsid w:val="001F24AD"/>
    <w:rsid w:val="001F325D"/>
    <w:rsid w:val="001F3557"/>
    <w:rsid w:val="00200758"/>
    <w:rsid w:val="00212A13"/>
    <w:rsid w:val="00214955"/>
    <w:rsid w:val="0021517F"/>
    <w:rsid w:val="00216D04"/>
    <w:rsid w:val="00225CE6"/>
    <w:rsid w:val="00227F5A"/>
    <w:rsid w:val="00234D42"/>
    <w:rsid w:val="002366DE"/>
    <w:rsid w:val="00237B6C"/>
    <w:rsid w:val="00240DF6"/>
    <w:rsid w:val="002447EA"/>
    <w:rsid w:val="00244F15"/>
    <w:rsid w:val="002477D4"/>
    <w:rsid w:val="002502CA"/>
    <w:rsid w:val="002517C0"/>
    <w:rsid w:val="00251F8B"/>
    <w:rsid w:val="00260BDE"/>
    <w:rsid w:val="002614B0"/>
    <w:rsid w:val="00261884"/>
    <w:rsid w:val="00262F32"/>
    <w:rsid w:val="00274D99"/>
    <w:rsid w:val="00277D2C"/>
    <w:rsid w:val="002828E1"/>
    <w:rsid w:val="00290A13"/>
    <w:rsid w:val="0029167F"/>
    <w:rsid w:val="0029698F"/>
    <w:rsid w:val="002A0B34"/>
    <w:rsid w:val="002A1698"/>
    <w:rsid w:val="002B018D"/>
    <w:rsid w:val="002B3AF4"/>
    <w:rsid w:val="002C3203"/>
    <w:rsid w:val="002D0CDE"/>
    <w:rsid w:val="002D1062"/>
    <w:rsid w:val="002D12FA"/>
    <w:rsid w:val="002D67FA"/>
    <w:rsid w:val="002E1DC1"/>
    <w:rsid w:val="002E38DB"/>
    <w:rsid w:val="002F33D8"/>
    <w:rsid w:val="002F4F0E"/>
    <w:rsid w:val="002F5234"/>
    <w:rsid w:val="002F54D8"/>
    <w:rsid w:val="00307354"/>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7D27"/>
    <w:rsid w:val="003A05B5"/>
    <w:rsid w:val="003A177D"/>
    <w:rsid w:val="003A4492"/>
    <w:rsid w:val="003B2552"/>
    <w:rsid w:val="003B4A54"/>
    <w:rsid w:val="003C393A"/>
    <w:rsid w:val="003D18AF"/>
    <w:rsid w:val="003D6166"/>
    <w:rsid w:val="003D632C"/>
    <w:rsid w:val="003E2A66"/>
    <w:rsid w:val="003F15E2"/>
    <w:rsid w:val="003F26E1"/>
    <w:rsid w:val="003F30FD"/>
    <w:rsid w:val="003F5F7C"/>
    <w:rsid w:val="003F6DCC"/>
    <w:rsid w:val="003F76C3"/>
    <w:rsid w:val="00407D07"/>
    <w:rsid w:val="0041068E"/>
    <w:rsid w:val="0041230B"/>
    <w:rsid w:val="00412C3D"/>
    <w:rsid w:val="00417CA3"/>
    <w:rsid w:val="00420769"/>
    <w:rsid w:val="00421410"/>
    <w:rsid w:val="004220B2"/>
    <w:rsid w:val="00424E11"/>
    <w:rsid w:val="004326DA"/>
    <w:rsid w:val="00432A38"/>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6E28"/>
    <w:rsid w:val="004A7473"/>
    <w:rsid w:val="004A7B5F"/>
    <w:rsid w:val="004B078A"/>
    <w:rsid w:val="004B2762"/>
    <w:rsid w:val="004B4629"/>
    <w:rsid w:val="004B5ABD"/>
    <w:rsid w:val="004C0320"/>
    <w:rsid w:val="004C1F94"/>
    <w:rsid w:val="004C2578"/>
    <w:rsid w:val="004C515D"/>
    <w:rsid w:val="004D1EB5"/>
    <w:rsid w:val="004D3C9D"/>
    <w:rsid w:val="004D6F1B"/>
    <w:rsid w:val="004E0D9B"/>
    <w:rsid w:val="004E2F19"/>
    <w:rsid w:val="004F3817"/>
    <w:rsid w:val="004F491D"/>
    <w:rsid w:val="004F57CD"/>
    <w:rsid w:val="004F7B37"/>
    <w:rsid w:val="0050120B"/>
    <w:rsid w:val="00501686"/>
    <w:rsid w:val="00501DD8"/>
    <w:rsid w:val="00504E0E"/>
    <w:rsid w:val="00510901"/>
    <w:rsid w:val="0051359C"/>
    <w:rsid w:val="00517918"/>
    <w:rsid w:val="0052375A"/>
    <w:rsid w:val="00524DE5"/>
    <w:rsid w:val="00527E80"/>
    <w:rsid w:val="00530810"/>
    <w:rsid w:val="0053224A"/>
    <w:rsid w:val="00533757"/>
    <w:rsid w:val="005351E4"/>
    <w:rsid w:val="005429EE"/>
    <w:rsid w:val="00542C07"/>
    <w:rsid w:val="005579EC"/>
    <w:rsid w:val="00565438"/>
    <w:rsid w:val="005666EC"/>
    <w:rsid w:val="005670E7"/>
    <w:rsid w:val="005673DC"/>
    <w:rsid w:val="00581114"/>
    <w:rsid w:val="00581F9C"/>
    <w:rsid w:val="00585C56"/>
    <w:rsid w:val="00587D98"/>
    <w:rsid w:val="00595E1A"/>
    <w:rsid w:val="0059652E"/>
    <w:rsid w:val="005965F5"/>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612F43"/>
    <w:rsid w:val="006145D2"/>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13E0"/>
    <w:rsid w:val="00685F6D"/>
    <w:rsid w:val="00690DD2"/>
    <w:rsid w:val="00693C56"/>
    <w:rsid w:val="00695E69"/>
    <w:rsid w:val="006A3863"/>
    <w:rsid w:val="006A3B86"/>
    <w:rsid w:val="006B315F"/>
    <w:rsid w:val="006B389F"/>
    <w:rsid w:val="006B4454"/>
    <w:rsid w:val="006B4F5F"/>
    <w:rsid w:val="006C0BE2"/>
    <w:rsid w:val="006C745D"/>
    <w:rsid w:val="006D0372"/>
    <w:rsid w:val="006D0B7F"/>
    <w:rsid w:val="006D0C94"/>
    <w:rsid w:val="006D23A3"/>
    <w:rsid w:val="006D6ABD"/>
    <w:rsid w:val="006E195D"/>
    <w:rsid w:val="006E58D9"/>
    <w:rsid w:val="006E7999"/>
    <w:rsid w:val="006F2697"/>
    <w:rsid w:val="006F7170"/>
    <w:rsid w:val="00720A30"/>
    <w:rsid w:val="00721AE4"/>
    <w:rsid w:val="00723454"/>
    <w:rsid w:val="007271CA"/>
    <w:rsid w:val="00730BB5"/>
    <w:rsid w:val="007314A0"/>
    <w:rsid w:val="00731F5F"/>
    <w:rsid w:val="007326DF"/>
    <w:rsid w:val="00742A37"/>
    <w:rsid w:val="00763F6F"/>
    <w:rsid w:val="00765F8B"/>
    <w:rsid w:val="00767C71"/>
    <w:rsid w:val="007752FF"/>
    <w:rsid w:val="00776D2B"/>
    <w:rsid w:val="007815C0"/>
    <w:rsid w:val="00782BC6"/>
    <w:rsid w:val="00783A4E"/>
    <w:rsid w:val="00785313"/>
    <w:rsid w:val="00785EE7"/>
    <w:rsid w:val="007873C3"/>
    <w:rsid w:val="00793DD7"/>
    <w:rsid w:val="00797A26"/>
    <w:rsid w:val="007A3B57"/>
    <w:rsid w:val="007A73BE"/>
    <w:rsid w:val="007A78BE"/>
    <w:rsid w:val="007B38A5"/>
    <w:rsid w:val="007B3E0D"/>
    <w:rsid w:val="007B4C66"/>
    <w:rsid w:val="007C001C"/>
    <w:rsid w:val="007C0E95"/>
    <w:rsid w:val="007C32F6"/>
    <w:rsid w:val="007C748B"/>
    <w:rsid w:val="007D28DE"/>
    <w:rsid w:val="007E52C7"/>
    <w:rsid w:val="007E6808"/>
    <w:rsid w:val="007F0394"/>
    <w:rsid w:val="007F1029"/>
    <w:rsid w:val="007F4B19"/>
    <w:rsid w:val="00806040"/>
    <w:rsid w:val="008156F9"/>
    <w:rsid w:val="008161B2"/>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71AD9"/>
    <w:rsid w:val="00881178"/>
    <w:rsid w:val="00881E5D"/>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7A6A"/>
    <w:rsid w:val="00920F2D"/>
    <w:rsid w:val="00921A1B"/>
    <w:rsid w:val="00922FF4"/>
    <w:rsid w:val="009347F0"/>
    <w:rsid w:val="00935F33"/>
    <w:rsid w:val="0093638A"/>
    <w:rsid w:val="009378FF"/>
    <w:rsid w:val="00940754"/>
    <w:rsid w:val="00944A63"/>
    <w:rsid w:val="00945B4E"/>
    <w:rsid w:val="00947B06"/>
    <w:rsid w:val="00947B15"/>
    <w:rsid w:val="00952E08"/>
    <w:rsid w:val="00954B41"/>
    <w:rsid w:val="00956005"/>
    <w:rsid w:val="00956999"/>
    <w:rsid w:val="00964933"/>
    <w:rsid w:val="009717D1"/>
    <w:rsid w:val="00974FDE"/>
    <w:rsid w:val="00975BF1"/>
    <w:rsid w:val="00980E9A"/>
    <w:rsid w:val="00987DE6"/>
    <w:rsid w:val="00993180"/>
    <w:rsid w:val="009A3031"/>
    <w:rsid w:val="009A6AB7"/>
    <w:rsid w:val="009B11C6"/>
    <w:rsid w:val="009D30D0"/>
    <w:rsid w:val="009D3DF0"/>
    <w:rsid w:val="009D4EB3"/>
    <w:rsid w:val="009F05BF"/>
    <w:rsid w:val="009F1D70"/>
    <w:rsid w:val="009F5944"/>
    <w:rsid w:val="00A0021E"/>
    <w:rsid w:val="00A0658F"/>
    <w:rsid w:val="00A13F55"/>
    <w:rsid w:val="00A140B5"/>
    <w:rsid w:val="00A2031A"/>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1F35"/>
    <w:rsid w:val="00A8382F"/>
    <w:rsid w:val="00A8579A"/>
    <w:rsid w:val="00A93708"/>
    <w:rsid w:val="00AA2A31"/>
    <w:rsid w:val="00AA4211"/>
    <w:rsid w:val="00AA5F39"/>
    <w:rsid w:val="00AB0F41"/>
    <w:rsid w:val="00AB4BB0"/>
    <w:rsid w:val="00AB5344"/>
    <w:rsid w:val="00AC0BBE"/>
    <w:rsid w:val="00AC2EAE"/>
    <w:rsid w:val="00AE6B0A"/>
    <w:rsid w:val="00AF044A"/>
    <w:rsid w:val="00AF2497"/>
    <w:rsid w:val="00AF6EDC"/>
    <w:rsid w:val="00B002B8"/>
    <w:rsid w:val="00B049AB"/>
    <w:rsid w:val="00B079E9"/>
    <w:rsid w:val="00B16FDE"/>
    <w:rsid w:val="00B1736E"/>
    <w:rsid w:val="00B2427E"/>
    <w:rsid w:val="00B26353"/>
    <w:rsid w:val="00B32F59"/>
    <w:rsid w:val="00B330CE"/>
    <w:rsid w:val="00B34DB9"/>
    <w:rsid w:val="00B3655C"/>
    <w:rsid w:val="00B36918"/>
    <w:rsid w:val="00B37BD5"/>
    <w:rsid w:val="00B4089B"/>
    <w:rsid w:val="00B41501"/>
    <w:rsid w:val="00B4252A"/>
    <w:rsid w:val="00B43FD3"/>
    <w:rsid w:val="00B54753"/>
    <w:rsid w:val="00B56DAC"/>
    <w:rsid w:val="00B66525"/>
    <w:rsid w:val="00B7201D"/>
    <w:rsid w:val="00B72D56"/>
    <w:rsid w:val="00B73385"/>
    <w:rsid w:val="00B7660A"/>
    <w:rsid w:val="00B80D78"/>
    <w:rsid w:val="00B80F1F"/>
    <w:rsid w:val="00B81D14"/>
    <w:rsid w:val="00B86CFA"/>
    <w:rsid w:val="00B87EBA"/>
    <w:rsid w:val="00B92B61"/>
    <w:rsid w:val="00B969D4"/>
    <w:rsid w:val="00BA7BA1"/>
    <w:rsid w:val="00BC087F"/>
    <w:rsid w:val="00BC23E1"/>
    <w:rsid w:val="00BC2882"/>
    <w:rsid w:val="00BC31D3"/>
    <w:rsid w:val="00BC3AF2"/>
    <w:rsid w:val="00BC4513"/>
    <w:rsid w:val="00BC476E"/>
    <w:rsid w:val="00BD1EE5"/>
    <w:rsid w:val="00BD3E25"/>
    <w:rsid w:val="00BE0143"/>
    <w:rsid w:val="00BE088D"/>
    <w:rsid w:val="00BE60C2"/>
    <w:rsid w:val="00BF4005"/>
    <w:rsid w:val="00BF56EB"/>
    <w:rsid w:val="00BF5FDD"/>
    <w:rsid w:val="00C010CC"/>
    <w:rsid w:val="00C04234"/>
    <w:rsid w:val="00C143F0"/>
    <w:rsid w:val="00C15280"/>
    <w:rsid w:val="00C21042"/>
    <w:rsid w:val="00C22F47"/>
    <w:rsid w:val="00C25298"/>
    <w:rsid w:val="00C263DA"/>
    <w:rsid w:val="00C30738"/>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7DD5"/>
    <w:rsid w:val="00D013C8"/>
    <w:rsid w:val="00D03E8B"/>
    <w:rsid w:val="00D06BE0"/>
    <w:rsid w:val="00D13DC7"/>
    <w:rsid w:val="00D16B1B"/>
    <w:rsid w:val="00D30499"/>
    <w:rsid w:val="00D340ED"/>
    <w:rsid w:val="00D414AB"/>
    <w:rsid w:val="00D56268"/>
    <w:rsid w:val="00D57F76"/>
    <w:rsid w:val="00D766DC"/>
    <w:rsid w:val="00D853F5"/>
    <w:rsid w:val="00D859DE"/>
    <w:rsid w:val="00D87D5F"/>
    <w:rsid w:val="00D919D9"/>
    <w:rsid w:val="00D9238E"/>
    <w:rsid w:val="00D9776A"/>
    <w:rsid w:val="00DA4501"/>
    <w:rsid w:val="00DA4F2B"/>
    <w:rsid w:val="00DA5FEE"/>
    <w:rsid w:val="00DA6C7F"/>
    <w:rsid w:val="00DB1006"/>
    <w:rsid w:val="00DB57C9"/>
    <w:rsid w:val="00DB79D6"/>
    <w:rsid w:val="00DC59D6"/>
    <w:rsid w:val="00DC60AC"/>
    <w:rsid w:val="00DD364C"/>
    <w:rsid w:val="00DD4EB3"/>
    <w:rsid w:val="00DD7167"/>
    <w:rsid w:val="00DD7E7D"/>
    <w:rsid w:val="00DE139B"/>
    <w:rsid w:val="00DE34F1"/>
    <w:rsid w:val="00DE40FB"/>
    <w:rsid w:val="00DF65D2"/>
    <w:rsid w:val="00E0381A"/>
    <w:rsid w:val="00E2087D"/>
    <w:rsid w:val="00E222B8"/>
    <w:rsid w:val="00E30A09"/>
    <w:rsid w:val="00E33D32"/>
    <w:rsid w:val="00E36209"/>
    <w:rsid w:val="00E4010A"/>
    <w:rsid w:val="00E508F5"/>
    <w:rsid w:val="00E54015"/>
    <w:rsid w:val="00E57AE9"/>
    <w:rsid w:val="00E6086B"/>
    <w:rsid w:val="00E6237C"/>
    <w:rsid w:val="00E70F83"/>
    <w:rsid w:val="00E71E4A"/>
    <w:rsid w:val="00E73393"/>
    <w:rsid w:val="00E74D23"/>
    <w:rsid w:val="00E75CFD"/>
    <w:rsid w:val="00E8370B"/>
    <w:rsid w:val="00E83EC9"/>
    <w:rsid w:val="00E87184"/>
    <w:rsid w:val="00E87533"/>
    <w:rsid w:val="00E944D7"/>
    <w:rsid w:val="00E94998"/>
    <w:rsid w:val="00EA5E30"/>
    <w:rsid w:val="00EC02F1"/>
    <w:rsid w:val="00EE7555"/>
    <w:rsid w:val="00EE78E5"/>
    <w:rsid w:val="00EF05B9"/>
    <w:rsid w:val="00EF59C3"/>
    <w:rsid w:val="00EF749C"/>
    <w:rsid w:val="00F0222D"/>
    <w:rsid w:val="00F036AB"/>
    <w:rsid w:val="00F051D9"/>
    <w:rsid w:val="00F07784"/>
    <w:rsid w:val="00F137E6"/>
    <w:rsid w:val="00F14617"/>
    <w:rsid w:val="00F14661"/>
    <w:rsid w:val="00F22426"/>
    <w:rsid w:val="00F2698F"/>
    <w:rsid w:val="00F4011D"/>
    <w:rsid w:val="00F4237A"/>
    <w:rsid w:val="00F42600"/>
    <w:rsid w:val="00F43FF4"/>
    <w:rsid w:val="00F53EB5"/>
    <w:rsid w:val="00F54A24"/>
    <w:rsid w:val="00F54FEA"/>
    <w:rsid w:val="00F553FB"/>
    <w:rsid w:val="00F611CA"/>
    <w:rsid w:val="00F61215"/>
    <w:rsid w:val="00F61D33"/>
    <w:rsid w:val="00F6247A"/>
    <w:rsid w:val="00F656E7"/>
    <w:rsid w:val="00F66767"/>
    <w:rsid w:val="00F67AE8"/>
    <w:rsid w:val="00F72F22"/>
    <w:rsid w:val="00F733F0"/>
    <w:rsid w:val="00F80C18"/>
    <w:rsid w:val="00F8269A"/>
    <w:rsid w:val="00F87D35"/>
    <w:rsid w:val="00F9529D"/>
    <w:rsid w:val="00FA0050"/>
    <w:rsid w:val="00FA0D01"/>
    <w:rsid w:val="00FC7592"/>
    <w:rsid w:val="00FC770F"/>
    <w:rsid w:val="00FD2679"/>
    <w:rsid w:val="00FD40EB"/>
    <w:rsid w:val="00FD46B2"/>
    <w:rsid w:val="00FD63AC"/>
    <w:rsid w:val="00FE1CDB"/>
    <w:rsid w:val="00FE2B19"/>
    <w:rsid w:val="00FE3BE9"/>
    <w:rsid w:val="00FE6042"/>
    <w:rsid w:val="00FE6C55"/>
    <w:rsid w:val="00FF269E"/>
    <w:rsid w:val="00FF3251"/>
    <w:rsid w:val="00FF3578"/>
    <w:rsid w:val="034215CC"/>
    <w:rsid w:val="034D1875"/>
    <w:rsid w:val="03A810DA"/>
    <w:rsid w:val="04793982"/>
    <w:rsid w:val="0914216F"/>
    <w:rsid w:val="099F699F"/>
    <w:rsid w:val="0BB90B94"/>
    <w:rsid w:val="0BF558B0"/>
    <w:rsid w:val="0C6F4F00"/>
    <w:rsid w:val="0CBA42B6"/>
    <w:rsid w:val="0CD07931"/>
    <w:rsid w:val="0E220EFD"/>
    <w:rsid w:val="106000A3"/>
    <w:rsid w:val="106D2E5F"/>
    <w:rsid w:val="10C92BDE"/>
    <w:rsid w:val="11E06D1D"/>
    <w:rsid w:val="14BD6DE9"/>
    <w:rsid w:val="151B0610"/>
    <w:rsid w:val="153967D9"/>
    <w:rsid w:val="15A51265"/>
    <w:rsid w:val="1602563E"/>
    <w:rsid w:val="17DF730A"/>
    <w:rsid w:val="1871150E"/>
    <w:rsid w:val="193B0DD2"/>
    <w:rsid w:val="1950525E"/>
    <w:rsid w:val="19995649"/>
    <w:rsid w:val="1A4B0BD2"/>
    <w:rsid w:val="1BB02F43"/>
    <w:rsid w:val="1CD92D71"/>
    <w:rsid w:val="1DA91524"/>
    <w:rsid w:val="1DBC2256"/>
    <w:rsid w:val="1F57560A"/>
    <w:rsid w:val="20DD1860"/>
    <w:rsid w:val="21416467"/>
    <w:rsid w:val="21467DDF"/>
    <w:rsid w:val="2258468B"/>
    <w:rsid w:val="24977CE4"/>
    <w:rsid w:val="250C493B"/>
    <w:rsid w:val="272712C8"/>
    <w:rsid w:val="29CF7033"/>
    <w:rsid w:val="2C672FEB"/>
    <w:rsid w:val="2D12102F"/>
    <w:rsid w:val="2F6F6534"/>
    <w:rsid w:val="2FB62CD5"/>
    <w:rsid w:val="3166404B"/>
    <w:rsid w:val="316E4BCF"/>
    <w:rsid w:val="32FB3069"/>
    <w:rsid w:val="359C2633"/>
    <w:rsid w:val="360A4426"/>
    <w:rsid w:val="37623BD0"/>
    <w:rsid w:val="378A2746"/>
    <w:rsid w:val="390E2AE7"/>
    <w:rsid w:val="3A2A6D06"/>
    <w:rsid w:val="3AAD4D2B"/>
    <w:rsid w:val="3BA17D0E"/>
    <w:rsid w:val="3C7F4653"/>
    <w:rsid w:val="3D5C793D"/>
    <w:rsid w:val="3DFD6225"/>
    <w:rsid w:val="3E0B15BA"/>
    <w:rsid w:val="3EC639AA"/>
    <w:rsid w:val="3FE24704"/>
    <w:rsid w:val="427631AB"/>
    <w:rsid w:val="43A8211E"/>
    <w:rsid w:val="4464587F"/>
    <w:rsid w:val="47C07043"/>
    <w:rsid w:val="4B3A5EC6"/>
    <w:rsid w:val="4D722D5E"/>
    <w:rsid w:val="4DEE463E"/>
    <w:rsid w:val="50A4483B"/>
    <w:rsid w:val="50D54E3C"/>
    <w:rsid w:val="532F052B"/>
    <w:rsid w:val="53CB1533"/>
    <w:rsid w:val="54A90501"/>
    <w:rsid w:val="552402CA"/>
    <w:rsid w:val="56490C7C"/>
    <w:rsid w:val="58343EAC"/>
    <w:rsid w:val="597E6C17"/>
    <w:rsid w:val="5B920EBC"/>
    <w:rsid w:val="5BFA6CAE"/>
    <w:rsid w:val="5D0D24D3"/>
    <w:rsid w:val="5D654113"/>
    <w:rsid w:val="5DB45A4D"/>
    <w:rsid w:val="5E2A7A6D"/>
    <w:rsid w:val="5E3D22F6"/>
    <w:rsid w:val="5E9E5CF6"/>
    <w:rsid w:val="5F5A3274"/>
    <w:rsid w:val="5F5C54EB"/>
    <w:rsid w:val="5FB62CE4"/>
    <w:rsid w:val="5FDC66AB"/>
    <w:rsid w:val="60886E86"/>
    <w:rsid w:val="61426FC7"/>
    <w:rsid w:val="65C42961"/>
    <w:rsid w:val="66AD6F06"/>
    <w:rsid w:val="67F355EF"/>
    <w:rsid w:val="68727AEB"/>
    <w:rsid w:val="68CB2404"/>
    <w:rsid w:val="6B353E8E"/>
    <w:rsid w:val="6B7A4196"/>
    <w:rsid w:val="6BC94628"/>
    <w:rsid w:val="6F514B5B"/>
    <w:rsid w:val="6FE46FB1"/>
    <w:rsid w:val="712C720C"/>
    <w:rsid w:val="74605603"/>
    <w:rsid w:val="74EA6BF5"/>
    <w:rsid w:val="766E0138"/>
    <w:rsid w:val="76DA4E14"/>
    <w:rsid w:val="78C05101"/>
    <w:rsid w:val="7A0850E0"/>
    <w:rsid w:val="7C4A2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30"/>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1"/>
    <w:qFormat/>
    <w:uiPriority w:val="0"/>
    <w:pPr>
      <w:keepNext/>
      <w:keepLines/>
      <w:spacing w:before="260" w:after="260" w:line="416" w:lineRule="auto"/>
      <w:outlineLvl w:val="2"/>
    </w:pPr>
    <w:rPr>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6">
    <w:name w:val="Document Map"/>
    <w:basedOn w:val="1"/>
    <w:link w:val="178"/>
    <w:semiHidden/>
    <w:unhideWhenUsed/>
    <w:qFormat/>
    <w:uiPriority w:val="99"/>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3"/>
    <w:basedOn w:val="1"/>
    <w:next w:val="1"/>
    <w:unhideWhenUsed/>
    <w:qFormat/>
    <w:uiPriority w:val="39"/>
    <w:pPr>
      <w:ind w:left="840" w:leftChars="400"/>
    </w:pPr>
  </w:style>
  <w:style w:type="paragraph" w:styleId="9">
    <w:name w:val="Date"/>
    <w:basedOn w:val="1"/>
    <w:next w:val="1"/>
    <w:qFormat/>
    <w:uiPriority w:val="0"/>
    <w:pPr>
      <w:ind w:left="100" w:leftChars="2500"/>
    </w:pPr>
    <w:rPr>
      <w:rFonts w:ascii="宋体"/>
      <w:kern w:val="0"/>
      <w:sz w:val="20"/>
      <w:szCs w:val="20"/>
      <w:lang w:val="zh-CN"/>
    </w:rPr>
  </w:style>
  <w:style w:type="paragraph" w:styleId="10">
    <w:name w:val="Body Text Indent 2"/>
    <w:basedOn w:val="1"/>
    <w:qFormat/>
    <w:uiPriority w:val="0"/>
    <w:pPr>
      <w:tabs>
        <w:tab w:val="left" w:pos="2520"/>
      </w:tabs>
      <w:ind w:firstLine="435"/>
    </w:pPr>
    <w:rPr>
      <w:szCs w:val="24"/>
    </w:rPr>
  </w:style>
  <w:style w:type="paragraph" w:styleId="11">
    <w:name w:val="Balloon Text"/>
    <w:basedOn w:val="1"/>
    <w:link w:val="36"/>
    <w:unhideWhenUsed/>
    <w:uiPriority w:val="99"/>
    <w:rPr>
      <w:kern w:val="0"/>
      <w:sz w:val="18"/>
      <w:szCs w:val="18"/>
    </w:rPr>
  </w:style>
  <w:style w:type="paragraph" w:styleId="12">
    <w:name w:val="footer"/>
    <w:basedOn w:val="1"/>
    <w:link w:val="34"/>
    <w:unhideWhenUsed/>
    <w:qFormat/>
    <w:uiPriority w:val="99"/>
    <w:pPr>
      <w:tabs>
        <w:tab w:val="center" w:pos="4153"/>
        <w:tab w:val="right" w:pos="8306"/>
      </w:tabs>
      <w:snapToGrid w:val="0"/>
      <w:jc w:val="left"/>
    </w:pPr>
    <w:rPr>
      <w:kern w:val="0"/>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b/>
      <w:bCs/>
      <w:caps/>
      <w:color w:val="000000"/>
      <w:sz w:val="24"/>
      <w:szCs w:val="24"/>
    </w:rPr>
  </w:style>
  <w:style w:type="paragraph" w:styleId="15">
    <w:name w:val="Subtitle"/>
    <w:basedOn w:val="1"/>
    <w:next w:val="1"/>
    <w:link w:val="38"/>
    <w:qFormat/>
    <w:uiPriority w:val="11"/>
    <w:pPr>
      <w:spacing w:before="240" w:after="60" w:line="312" w:lineRule="auto"/>
      <w:jc w:val="center"/>
      <w:outlineLvl w:val="1"/>
    </w:pPr>
    <w:rPr>
      <w:rFonts w:ascii="Cambria" w:hAnsi="Cambria"/>
      <w:b/>
      <w:bCs/>
      <w:kern w:val="28"/>
      <w:sz w:val="32"/>
      <w:szCs w:val="32"/>
    </w:rPr>
  </w:style>
  <w:style w:type="paragraph" w:styleId="16">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17">
    <w:name w:val="toc 2"/>
    <w:basedOn w:val="1"/>
    <w:next w:val="1"/>
    <w:qFormat/>
    <w:uiPriority w:val="39"/>
    <w:pPr>
      <w:tabs>
        <w:tab w:val="right" w:leader="dot" w:pos="9170"/>
      </w:tabs>
      <w:spacing w:line="360" w:lineRule="auto"/>
      <w:ind w:left="210"/>
      <w:jc w:val="left"/>
    </w:pPr>
    <w:rPr>
      <w:rFonts w:ascii="宋体" w:hAnsi="宋体"/>
      <w:b/>
      <w:smallCaps/>
      <w:color w:val="000000"/>
      <w:sz w:val="24"/>
      <w:szCs w:val="24"/>
    </w:rPr>
  </w:style>
  <w:style w:type="paragraph" w:styleId="1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qFormat/>
    <w:uiPriority w:val="0"/>
    <w:rPr>
      <w:b/>
      <w:bCs/>
    </w:rPr>
  </w:style>
  <w:style w:type="character" w:styleId="22">
    <w:name w:val="page number"/>
    <w:basedOn w:val="20"/>
    <w:qFormat/>
    <w:uiPriority w:val="0"/>
  </w:style>
  <w:style w:type="character" w:styleId="23">
    <w:name w:val="FollowedHyperlink"/>
    <w:qFormat/>
    <w:uiPriority w:val="99"/>
    <w:rPr>
      <w:color w:val="800080"/>
      <w:u w:val="single"/>
    </w:rPr>
  </w:style>
  <w:style w:type="character" w:styleId="24">
    <w:name w:val="Hyperlink"/>
    <w:qFormat/>
    <w:uiPriority w:val="99"/>
    <w:rPr>
      <w:color w:val="0000FF"/>
      <w:u w:val="single"/>
    </w:rPr>
  </w:style>
  <w:style w:type="table" w:styleId="26">
    <w:name w:val="Table Theme"/>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3 Char"/>
    <w:uiPriority w:val="0"/>
    <w:rPr>
      <w:rFonts w:eastAsia="宋体"/>
      <w:b/>
      <w:bCs/>
      <w:kern w:val="2"/>
      <w:sz w:val="32"/>
      <w:szCs w:val="32"/>
      <w:lang w:val="en-US" w:eastAsia="zh-CN" w:bidi="ar-SA"/>
    </w:rPr>
  </w:style>
  <w:style w:type="character" w:customStyle="1" w:styleId="28">
    <w:name w:val="页眉 Char"/>
    <w:link w:val="13"/>
    <w:qFormat/>
    <w:uiPriority w:val="99"/>
    <w:rPr>
      <w:sz w:val="18"/>
      <w:szCs w:val="18"/>
    </w:rPr>
  </w:style>
  <w:style w:type="character" w:customStyle="1" w:styleId="29">
    <w:name w:val="showtext"/>
    <w:basedOn w:val="20"/>
    <w:qFormat/>
    <w:uiPriority w:val="0"/>
  </w:style>
  <w:style w:type="character" w:customStyle="1" w:styleId="30">
    <w:name w:val="标题 2 Char1"/>
    <w:link w:val="3"/>
    <w:qFormat/>
    <w:uiPriority w:val="9"/>
    <w:rPr>
      <w:rFonts w:ascii="Cambria" w:hAnsi="Cambria"/>
      <w:b/>
      <w:bCs/>
      <w:kern w:val="2"/>
      <w:sz w:val="28"/>
      <w:szCs w:val="32"/>
    </w:rPr>
  </w:style>
  <w:style w:type="character" w:customStyle="1" w:styleId="31">
    <w:name w:val="普通 (Web) Char Char2"/>
    <w:qFormat/>
    <w:locked/>
    <w:uiPriority w:val="0"/>
    <w:rPr>
      <w:rFonts w:ascii="宋体" w:hAnsi="宋体" w:eastAsia="宋体" w:cs="宋体"/>
      <w:sz w:val="24"/>
      <w:szCs w:val="24"/>
      <w:lang w:val="en-US" w:eastAsia="zh-CN" w:bidi="ar-SA"/>
    </w:rPr>
  </w:style>
  <w:style w:type="character" w:customStyle="1" w:styleId="32">
    <w:name w:val="apple-converted-space"/>
    <w:basedOn w:val="20"/>
    <w:qFormat/>
    <w:uiPriority w:val="0"/>
  </w:style>
  <w:style w:type="character" w:customStyle="1" w:styleId="33">
    <w:name w:val="标题 1 Char"/>
    <w:link w:val="2"/>
    <w:qFormat/>
    <w:uiPriority w:val="9"/>
    <w:rPr>
      <w:rFonts w:eastAsia="黑体"/>
      <w:b/>
      <w:bCs/>
      <w:kern w:val="44"/>
      <w:sz w:val="32"/>
      <w:szCs w:val="44"/>
    </w:rPr>
  </w:style>
  <w:style w:type="character" w:customStyle="1" w:styleId="34">
    <w:name w:val="页脚 Char"/>
    <w:link w:val="12"/>
    <w:qFormat/>
    <w:uiPriority w:val="99"/>
    <w:rPr>
      <w:sz w:val="18"/>
      <w:szCs w:val="18"/>
    </w:rPr>
  </w:style>
  <w:style w:type="character" w:customStyle="1" w:styleId="35">
    <w:name w:val="f21"/>
    <w:uiPriority w:val="0"/>
    <w:rPr>
      <w:rFonts w:hint="eastAsia" w:ascii="宋体" w:hAnsi="宋体" w:eastAsia="宋体"/>
      <w:sz w:val="21"/>
      <w:szCs w:val="21"/>
    </w:rPr>
  </w:style>
  <w:style w:type="character" w:customStyle="1" w:styleId="36">
    <w:name w:val="批注框文本 Char"/>
    <w:link w:val="11"/>
    <w:semiHidden/>
    <w:qFormat/>
    <w:uiPriority w:val="99"/>
    <w:rPr>
      <w:sz w:val="18"/>
      <w:szCs w:val="18"/>
    </w:rPr>
  </w:style>
  <w:style w:type="character" w:customStyle="1" w:styleId="37">
    <w:name w:val="style11"/>
    <w:qFormat/>
    <w:uiPriority w:val="0"/>
    <w:rPr>
      <w:color w:val="999999"/>
      <w:sz w:val="18"/>
      <w:szCs w:val="18"/>
    </w:rPr>
  </w:style>
  <w:style w:type="character" w:customStyle="1" w:styleId="38">
    <w:name w:val="副标题 Char"/>
    <w:link w:val="15"/>
    <w:qFormat/>
    <w:uiPriority w:val="11"/>
    <w:rPr>
      <w:rFonts w:ascii="Cambria" w:hAnsi="Cambria" w:cs="Times New Roman"/>
      <w:b/>
      <w:bCs/>
      <w:kern w:val="28"/>
      <w:sz w:val="32"/>
      <w:szCs w:val="32"/>
    </w:rPr>
  </w:style>
  <w:style w:type="character" w:customStyle="1" w:styleId="39">
    <w:name w:val="标题 2 Char"/>
    <w:qFormat/>
    <w:uiPriority w:val="0"/>
    <w:rPr>
      <w:rFonts w:ascii="Arial" w:hAnsi="Arial" w:eastAsia="黑体"/>
      <w:b/>
      <w:bCs/>
      <w:kern w:val="2"/>
      <w:sz w:val="32"/>
      <w:szCs w:val="32"/>
      <w:lang w:val="en-US" w:eastAsia="zh-CN" w:bidi="ar-SA"/>
    </w:rPr>
  </w:style>
  <w:style w:type="character" w:customStyle="1" w:styleId="40">
    <w:name w:val="style171"/>
    <w:uiPriority w:val="0"/>
    <w:rPr>
      <w:sz w:val="21"/>
      <w:szCs w:val="21"/>
    </w:rPr>
  </w:style>
  <w:style w:type="character" w:customStyle="1" w:styleId="41">
    <w:name w:val="普通 (Web) Char Char"/>
    <w:qFormat/>
    <w:locked/>
    <w:uiPriority w:val="0"/>
    <w:rPr>
      <w:rFonts w:ascii="宋体" w:hAnsi="宋体" w:eastAsia="宋体" w:cs="宋体"/>
      <w:sz w:val="24"/>
      <w:szCs w:val="24"/>
      <w:lang w:val="en-US" w:eastAsia="zh-CN" w:bidi="ar-SA"/>
    </w:rPr>
  </w:style>
  <w:style w:type="character" w:customStyle="1" w:styleId="42">
    <w:name w:val="style61"/>
    <w:qFormat/>
    <w:uiPriority w:val="0"/>
    <w:rPr>
      <w:b/>
      <w:bCs/>
      <w:color w:val="3399FF"/>
      <w:sz w:val="24"/>
      <w:szCs w:val="24"/>
    </w:rPr>
  </w:style>
  <w:style w:type="character" w:customStyle="1" w:styleId="43">
    <w:name w:val="f41"/>
    <w:uiPriority w:val="0"/>
    <w:rPr>
      <w:rFonts w:hint="eastAsia" w:ascii="宋体" w:hAnsi="宋体" w:eastAsia="宋体"/>
      <w:sz w:val="18"/>
      <w:szCs w:val="18"/>
    </w:rPr>
  </w:style>
  <w:style w:type="character" w:customStyle="1" w:styleId="44">
    <w:name w:val="标题 3 Char1"/>
    <w:qFormat/>
    <w:uiPriority w:val="0"/>
    <w:rPr>
      <w:rFonts w:eastAsia="宋体"/>
      <w:b/>
      <w:bCs/>
      <w:kern w:val="2"/>
      <w:sz w:val="32"/>
      <w:szCs w:val="32"/>
      <w:lang w:val="en-US" w:eastAsia="zh-CN" w:bidi="ar-SA"/>
    </w:rPr>
  </w:style>
  <w:style w:type="character" w:customStyle="1" w:styleId="45">
    <w:name w:val="style161"/>
    <w:qFormat/>
    <w:uiPriority w:val="0"/>
    <w:rPr>
      <w:sz w:val="24"/>
      <w:szCs w:val="24"/>
    </w:rPr>
  </w:style>
  <w:style w:type="character" w:customStyle="1" w:styleId="46">
    <w:name w:val="f31"/>
    <w:uiPriority w:val="0"/>
    <w:rPr>
      <w:rFonts w:hint="default" w:ascii="ˎ̥" w:hAnsi="ˎ̥"/>
      <w:color w:val="999999"/>
      <w:sz w:val="16"/>
      <w:szCs w:val="16"/>
    </w:rPr>
  </w:style>
  <w:style w:type="paragraph" w:customStyle="1" w:styleId="4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50">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5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52">
    <w:name w:val="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53">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4">
    <w:name w:val="f8"/>
    <w:basedOn w:val="1"/>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5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6">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7">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8">
    <w:name w:val="xl10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5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2">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5">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7">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69">
    <w:name w:val="为440"/>
    <w:basedOn w:val="1"/>
    <w:qFormat/>
    <w:uiPriority w:val="0"/>
    <w:pPr>
      <w:adjustRightInd w:val="0"/>
      <w:spacing w:line="360" w:lineRule="atLeast"/>
      <w:jc w:val="left"/>
      <w:textAlignment w:val="baseline"/>
    </w:pPr>
    <w:rPr>
      <w:kern w:val="0"/>
      <w:sz w:val="24"/>
      <w:szCs w:val="20"/>
    </w:rPr>
  </w:style>
  <w:style w:type="paragraph" w:customStyle="1" w:styleId="70">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7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72">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3">
    <w:name w:val="f2"/>
    <w:basedOn w:val="1"/>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74">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5">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7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77">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7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79">
    <w:name w:val="xl4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80">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81">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82">
    <w:name w:val="f7"/>
    <w:basedOn w:val="1"/>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83">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85">
    <w:name w:val="xl4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8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7">
    <w:name w:val="font9"/>
    <w:basedOn w:val="1"/>
    <w:qFormat/>
    <w:uiPriority w:val="0"/>
    <w:pPr>
      <w:widowControl/>
      <w:spacing w:before="100" w:beforeAutospacing="1" w:after="100" w:afterAutospacing="1"/>
      <w:jc w:val="left"/>
    </w:pPr>
    <w:rPr>
      <w:kern w:val="0"/>
      <w:sz w:val="20"/>
      <w:szCs w:val="20"/>
    </w:rPr>
  </w:style>
  <w:style w:type="paragraph" w:customStyle="1" w:styleId="88">
    <w:name w:val="xl110"/>
    <w:basedOn w:val="1"/>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89">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9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93">
    <w:name w:val="stedit"/>
    <w:basedOn w:val="1"/>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94">
    <w:name w:val="unnamed1"/>
    <w:basedOn w:val="1"/>
    <w:uiPriority w:val="0"/>
    <w:pPr>
      <w:widowControl/>
      <w:spacing w:line="330" w:lineRule="atLeast"/>
      <w:jc w:val="left"/>
    </w:pPr>
    <w:rPr>
      <w:rFonts w:ascii="宋体" w:hAnsi="宋体" w:cs="宋体"/>
      <w:kern w:val="0"/>
      <w:szCs w:val="21"/>
    </w:rPr>
  </w:style>
  <w:style w:type="paragraph" w:customStyle="1" w:styleId="95">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96">
    <w:name w:val="xl3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7">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99">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00">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01">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02">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10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104">
    <w:name w:val="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05">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106">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7">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8">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109">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11">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
    <w:name w:val="fgj02"/>
    <w:basedOn w:val="1"/>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1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szCs w:val="24"/>
    </w:rPr>
  </w:style>
  <w:style w:type="paragraph" w:customStyle="1" w:styleId="114">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5">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6">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7">
    <w:name w:val="table302"/>
    <w:basedOn w:val="1"/>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8">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9">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2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1">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122">
    <w:name w:val="font11"/>
    <w:basedOn w:val="1"/>
    <w:uiPriority w:val="0"/>
    <w:pPr>
      <w:widowControl/>
      <w:spacing w:before="100" w:beforeAutospacing="1" w:after="100" w:afterAutospacing="1"/>
      <w:jc w:val="left"/>
    </w:pPr>
    <w:rPr>
      <w:b/>
      <w:bCs/>
      <w:color w:val="FFFFFF"/>
      <w:kern w:val="0"/>
      <w:sz w:val="18"/>
      <w:szCs w:val="18"/>
    </w:rPr>
  </w:style>
  <w:style w:type="paragraph" w:customStyle="1" w:styleId="123">
    <w:name w:val="xl44"/>
    <w:basedOn w:val="1"/>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124">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2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1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2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128">
    <w:name w:val="xl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29">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3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131">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133">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4">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6">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7">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8">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139">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0">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141">
    <w:name w:val="xl69"/>
    <w:basedOn w:val="1"/>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2">
    <w:name w:val="xl70"/>
    <w:basedOn w:val="1"/>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43">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44">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5">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46">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7">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8">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9">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50">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5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52">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53">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54">
    <w:name w:val="xl82"/>
    <w:basedOn w:val="1"/>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5">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156">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8">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9">
    <w:name w:val="xl8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160">
    <w:name w:val="xl94"/>
    <w:basedOn w:val="1"/>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1">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162">
    <w:name w:val="xl10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3">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4">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6">
    <w:name w:val="xl93"/>
    <w:basedOn w:val="1"/>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8">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9">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0">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1">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2">
    <w:name w:val="xl10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3">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5">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76">
    <w:name w:val="z-窗体底端1"/>
    <w:basedOn w:val="1"/>
    <w:next w:val="1"/>
    <w:uiPriority w:val="0"/>
    <w:pPr>
      <w:widowControl/>
      <w:pBdr>
        <w:top w:val="single" w:color="auto" w:sz="6" w:space="1"/>
      </w:pBdr>
      <w:jc w:val="center"/>
    </w:pPr>
    <w:rPr>
      <w:rFonts w:ascii="Arial" w:hAnsi="Arial" w:cs="Arial"/>
      <w:vanish/>
      <w:kern w:val="0"/>
      <w:sz w:val="16"/>
      <w:szCs w:val="16"/>
    </w:rPr>
  </w:style>
  <w:style w:type="paragraph" w:customStyle="1" w:styleId="177">
    <w:name w:val="Default"/>
    <w:qFormat/>
    <w:uiPriority w:val="0"/>
    <w:pPr>
      <w:widowControl w:val="0"/>
      <w:autoSpaceDE w:val="0"/>
      <w:autoSpaceDN w:val="0"/>
      <w:adjustRightInd w:val="0"/>
    </w:pPr>
    <w:rPr>
      <w:rFonts w:ascii="Microsoft YaHei" w:hAnsi="Microsoft YaHei" w:eastAsia="宋体" w:cs="Microsoft YaHei"/>
      <w:color w:val="000000"/>
      <w:sz w:val="24"/>
      <w:szCs w:val="24"/>
      <w:lang w:val="en-US" w:eastAsia="zh-CN" w:bidi="ar-SA"/>
    </w:rPr>
  </w:style>
  <w:style w:type="character" w:customStyle="1" w:styleId="178">
    <w:name w:val="文档结构图 Char"/>
    <w:basedOn w:val="20"/>
    <w:link w:val="6"/>
    <w:semiHidden/>
    <w:uiPriority w:val="99"/>
    <w:rPr>
      <w:rFonts w:ascii="宋体"/>
      <w:kern w:val="2"/>
      <w:sz w:val="18"/>
      <w:szCs w:val="18"/>
    </w:rPr>
  </w:style>
  <w:style w:type="paragraph" w:styleId="17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26700;&#38754;\&#21407;&#27833;\&#21608;&#25253;&#12289;&#26376;&#25253;\&#26368;&#26032;&#28342;&#21058;&#27833;&#21608;&#25253;&#65306;&#23665;&#19996;&#22320;&#28860;&#30707;&#33041;&#27833;&#20215;&#26684;&#36208;&#21183;&#22270;7.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山东地炼石脑油价格走势图</a:t>
            </a:r>
            <a:endParaRPr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50511875670714"/>
          <c:y val="0.0288483151015519"/>
        </c:manualLayout>
      </c:layout>
      <c:overlay val="0"/>
    </c:title>
    <c:autoTitleDeleted val="0"/>
    <c:plotArea>
      <c:layout>
        <c:manualLayout>
          <c:layoutTarget val="inner"/>
          <c:xMode val="edge"/>
          <c:yMode val="edge"/>
          <c:x val="0.0825420823676333"/>
          <c:y val="0.142857210012928"/>
          <c:w val="0.858347386172007"/>
          <c:h val="0.591837324455242"/>
        </c:manualLayout>
      </c:layout>
      <c:lineChart>
        <c:grouping val="standard"/>
        <c:varyColors val="0"/>
        <c:ser>
          <c:idx val="8"/>
          <c:order val="0"/>
          <c:tx>
            <c:strRef>
              <c:f>'[最新溶剂油周报：山东地炼石脑油价格走势图7.20.xls]溶剂油周报-石脑油价格走势图表'!$D$178</c:f>
              <c:strCache>
                <c:ptCount val="1"/>
                <c:pt idx="0">
                  <c:v>鑫泰石化</c:v>
                </c:pt>
              </c:strCache>
            </c:strRef>
          </c:tx>
          <c:spPr>
            <a:ln w="38100" cap="rnd" cmpd="sng" algn="ctr">
              <a:solidFill>
                <a:srgbClr val="000000">
                  <a:alpha val="100000"/>
                </a:srgbClr>
              </a:solidFill>
              <a:prstDash val="solid"/>
              <a:round/>
            </a:ln>
          </c:spPr>
          <c:marker>
            <c:symbol val="none"/>
          </c:marker>
          <c:dLbls>
            <c:delete val="1"/>
          </c:dLbls>
          <c:cat>
            <c:numRef>
              <c:f>'[最新溶剂油周报：山东地炼石脑油价格走势图7.20.xls]溶剂油周报-石脑油价格走势图表'!$A$179:$C$336</c:f>
              <c:numCache>
                <c:formatCode>yyyy/m/d</c:formatCode>
                <c:ptCount val="158"/>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numCache>
            </c:numRef>
          </c:cat>
          <c:val>
            <c:numRef>
              <c:f>'[最新溶剂油周报：山东地炼石脑油价格走势图7.20.xls]溶剂油周报-石脑油价格走势图表'!$D$179:$D$336</c:f>
              <c:numCache>
                <c:formatCode>@</c:formatCode>
                <c:ptCount val="158"/>
                <c:pt idx="0">
                  <c:v>5250</c:v>
                </c:pt>
                <c:pt idx="1">
                  <c:v>5250</c:v>
                </c:pt>
                <c:pt idx="2">
                  <c:v>5250</c:v>
                </c:pt>
                <c:pt idx="3">
                  <c:v>5250</c:v>
                </c:pt>
                <c:pt idx="4">
                  <c:v>5250</c:v>
                </c:pt>
                <c:pt idx="5">
                  <c:v>5250</c:v>
                </c:pt>
                <c:pt idx="6">
                  <c:v>5250</c:v>
                </c:pt>
                <c:pt idx="7">
                  <c:v>5250</c:v>
                </c:pt>
                <c:pt idx="8">
                  <c:v>5250</c:v>
                </c:pt>
                <c:pt idx="9">
                  <c:v>5250</c:v>
                </c:pt>
                <c:pt idx="10">
                  <c:v>4980</c:v>
                </c:pt>
                <c:pt idx="11">
                  <c:v>4980</c:v>
                </c:pt>
                <c:pt idx="12">
                  <c:v>4980</c:v>
                </c:pt>
                <c:pt idx="13">
                  <c:v>4800</c:v>
                </c:pt>
                <c:pt idx="14">
                  <c:v>4800</c:v>
                </c:pt>
                <c:pt idx="15">
                  <c:v>4800</c:v>
                </c:pt>
                <c:pt idx="16">
                  <c:v>4800</c:v>
                </c:pt>
                <c:pt idx="17">
                  <c:v>5500</c:v>
                </c:pt>
                <c:pt idx="18">
                  <c:v>5500</c:v>
                </c:pt>
                <c:pt idx="19">
                  <c:v>5500</c:v>
                </c:pt>
                <c:pt idx="20">
                  <c:v>5500</c:v>
                </c:pt>
                <c:pt idx="21">
                  <c:v>5500</c:v>
                </c:pt>
                <c:pt idx="22">
                  <c:v>3700</c:v>
                </c:pt>
                <c:pt idx="23">
                  <c:v>3700</c:v>
                </c:pt>
                <c:pt idx="24">
                  <c:v>3700</c:v>
                </c:pt>
                <c:pt idx="25">
                  <c:v>4200</c:v>
                </c:pt>
                <c:pt idx="26">
                  <c:v>4400</c:v>
                </c:pt>
                <c:pt idx="27">
                  <c:v>4400</c:v>
                </c:pt>
                <c:pt idx="28">
                  <c:v>4000</c:v>
                </c:pt>
                <c:pt idx="29">
                  <c:v>4000</c:v>
                </c:pt>
                <c:pt idx="30">
                  <c:v>4000</c:v>
                </c:pt>
                <c:pt idx="31">
                  <c:v>4000</c:v>
                </c:pt>
                <c:pt idx="32">
                  <c:v>4000</c:v>
                </c:pt>
                <c:pt idx="33">
                  <c:v>4000</c:v>
                </c:pt>
                <c:pt idx="34">
                  <c:v>4000</c:v>
                </c:pt>
                <c:pt idx="35">
                  <c:v>4500</c:v>
                </c:pt>
                <c:pt idx="36">
                  <c:v>4500</c:v>
                </c:pt>
                <c:pt idx="37">
                  <c:v>4500</c:v>
                </c:pt>
                <c:pt idx="38">
                  <c:v>4500</c:v>
                </c:pt>
                <c:pt idx="39">
                  <c:v>4500</c:v>
                </c:pt>
                <c:pt idx="40">
                  <c:v>4100</c:v>
                </c:pt>
                <c:pt idx="41">
                  <c:v>4100</c:v>
                </c:pt>
                <c:pt idx="42">
                  <c:v>4100</c:v>
                </c:pt>
                <c:pt idx="43">
                  <c:v>4100</c:v>
                </c:pt>
                <c:pt idx="44">
                  <c:v>4100</c:v>
                </c:pt>
                <c:pt idx="45">
                  <c:v>4100</c:v>
                </c:pt>
                <c:pt idx="46">
                  <c:v>4100</c:v>
                </c:pt>
                <c:pt idx="47">
                  <c:v>4100</c:v>
                </c:pt>
                <c:pt idx="48">
                  <c:v>4100</c:v>
                </c:pt>
                <c:pt idx="49">
                  <c:v>4100</c:v>
                </c:pt>
                <c:pt idx="50">
                  <c:v>4100</c:v>
                </c:pt>
                <c:pt idx="51">
                  <c:v>4100</c:v>
                </c:pt>
                <c:pt idx="52">
                  <c:v>4100</c:v>
                </c:pt>
                <c:pt idx="53" c:formatCode="General">
                  <c:v>4000</c:v>
                </c:pt>
                <c:pt idx="54" c:formatCode="General">
                  <c:v>4000</c:v>
                </c:pt>
                <c:pt idx="55" c:formatCode="General">
                  <c:v>4100</c:v>
                </c:pt>
                <c:pt idx="56" c:formatCode="General">
                  <c:v>4100</c:v>
                </c:pt>
                <c:pt idx="57" c:formatCode="General">
                  <c:v>4100</c:v>
                </c:pt>
                <c:pt idx="58" c:formatCode="General">
                  <c:v>4100</c:v>
                </c:pt>
                <c:pt idx="59" c:formatCode="General">
                  <c:v>4100</c:v>
                </c:pt>
                <c:pt idx="60" c:formatCode="General">
                  <c:v>4150</c:v>
                </c:pt>
                <c:pt idx="61" c:formatCode="General">
                  <c:v>4150</c:v>
                </c:pt>
                <c:pt idx="62" c:formatCode="General">
                  <c:v>4150</c:v>
                </c:pt>
                <c:pt idx="63" c:formatCode="General">
                  <c:v>4500</c:v>
                </c:pt>
                <c:pt idx="64" c:formatCode="General">
                  <c:v>4500</c:v>
                </c:pt>
                <c:pt idx="65" c:formatCode="General">
                  <c:v>4500</c:v>
                </c:pt>
                <c:pt idx="66" c:formatCode="General">
                  <c:v>4500</c:v>
                </c:pt>
                <c:pt idx="67" c:formatCode="General">
                  <c:v>4500</c:v>
                </c:pt>
                <c:pt idx="68" c:formatCode="General">
                  <c:v>4500</c:v>
                </c:pt>
                <c:pt idx="69" c:formatCode="General">
                  <c:v>4500</c:v>
                </c:pt>
                <c:pt idx="70" c:formatCode="General">
                  <c:v>4500</c:v>
                </c:pt>
                <c:pt idx="71" c:formatCode="General">
                  <c:v>4500</c:v>
                </c:pt>
                <c:pt idx="72" c:formatCode="General">
                  <c:v>4500</c:v>
                </c:pt>
                <c:pt idx="73" c:formatCode="General">
                  <c:v>4500</c:v>
                </c:pt>
                <c:pt idx="74" c:formatCode="General">
                  <c:v>4500</c:v>
                </c:pt>
                <c:pt idx="75" c:formatCode="General">
                  <c:v>4500</c:v>
                </c:pt>
                <c:pt idx="76" c:formatCode="General">
                  <c:v>4500</c:v>
                </c:pt>
                <c:pt idx="77" c:formatCode="General">
                  <c:v>4500</c:v>
                </c:pt>
                <c:pt idx="78" c:formatCode="General">
                  <c:v>4500</c:v>
                </c:pt>
                <c:pt idx="79" c:formatCode="General">
                  <c:v>5000</c:v>
                </c:pt>
                <c:pt idx="80" c:formatCode="General">
                  <c:v>5000</c:v>
                </c:pt>
                <c:pt idx="81" c:formatCode="General">
                  <c:v>5000</c:v>
                </c:pt>
                <c:pt idx="82" c:formatCode="General">
                  <c:v>5000</c:v>
                </c:pt>
                <c:pt idx="83" c:formatCode="General">
                  <c:v>5000</c:v>
                </c:pt>
                <c:pt idx="84" c:formatCode="General">
                  <c:v>5400</c:v>
                </c:pt>
                <c:pt idx="85" c:formatCode="General">
                  <c:v>5400</c:v>
                </c:pt>
                <c:pt idx="86" c:formatCode="General">
                  <c:v>5400</c:v>
                </c:pt>
                <c:pt idx="87" c:formatCode="General">
                  <c:v>5400</c:v>
                </c:pt>
                <c:pt idx="88" c:formatCode="General">
                  <c:v>5400</c:v>
                </c:pt>
                <c:pt idx="89" c:formatCode="General">
                  <c:v>5400</c:v>
                </c:pt>
                <c:pt idx="90" c:formatCode="General">
                  <c:v>5400</c:v>
                </c:pt>
                <c:pt idx="91" c:formatCode="General">
                  <c:v>5400</c:v>
                </c:pt>
                <c:pt idx="92" c:formatCode="General">
                  <c:v>5400</c:v>
                </c:pt>
                <c:pt idx="93" c:formatCode="General">
                  <c:v>5400</c:v>
                </c:pt>
                <c:pt idx="94" c:formatCode="General">
                  <c:v>5400</c:v>
                </c:pt>
                <c:pt idx="95" c:formatCode="General">
                  <c:v>5400</c:v>
                </c:pt>
                <c:pt idx="96" c:formatCode="General">
                  <c:v>4900</c:v>
                </c:pt>
                <c:pt idx="97" c:formatCode="General">
                  <c:v>5000</c:v>
                </c:pt>
                <c:pt idx="98" c:formatCode="General">
                  <c:v>5000</c:v>
                </c:pt>
                <c:pt idx="99" c:formatCode="General">
                  <c:v>5000</c:v>
                </c:pt>
                <c:pt idx="100" c:formatCode="General">
                  <c:v>5000</c:v>
                </c:pt>
                <c:pt idx="103" c:formatCode="General">
                  <c:v>0</c:v>
                </c:pt>
                <c:pt idx="104" c:formatCode="General">
                  <c:v>5000</c:v>
                </c:pt>
                <c:pt idx="105" c:formatCode="General">
                  <c:v>5000</c:v>
                </c:pt>
                <c:pt idx="106" c:formatCode="General">
                  <c:v>5000</c:v>
                </c:pt>
                <c:pt idx="107" c:formatCode="General">
                  <c:v>5000</c:v>
                </c:pt>
                <c:pt idx="108" c:formatCode="General">
                  <c:v>5000</c:v>
                </c:pt>
                <c:pt idx="109" c:formatCode="General">
                  <c:v>5000</c:v>
                </c:pt>
                <c:pt idx="110" c:formatCode="General">
                  <c:v>5000</c:v>
                </c:pt>
                <c:pt idx="111" c:formatCode="General">
                  <c:v>5000</c:v>
                </c:pt>
                <c:pt idx="112" c:formatCode="General">
                  <c:v>5000</c:v>
                </c:pt>
                <c:pt idx="113" c:formatCode="General">
                  <c:v>5000</c:v>
                </c:pt>
                <c:pt idx="114" c:formatCode="General">
                  <c:v>5000</c:v>
                </c:pt>
                <c:pt idx="115" c:formatCode="General">
                  <c:v>6150</c:v>
                </c:pt>
                <c:pt idx="116" c:formatCode="General">
                  <c:v>6100</c:v>
                </c:pt>
                <c:pt idx="117" c:formatCode="General">
                  <c:v>5950</c:v>
                </c:pt>
                <c:pt idx="118" c:formatCode="General">
                  <c:v>6100</c:v>
                </c:pt>
                <c:pt idx="119" c:formatCode="General">
                  <c:v>6150</c:v>
                </c:pt>
                <c:pt idx="120" c:formatCode="General">
                  <c:v>6300</c:v>
                </c:pt>
                <c:pt idx="121" c:formatCode="General">
                  <c:v>6300</c:v>
                </c:pt>
                <c:pt idx="122" c:formatCode="General">
                  <c:v>6300</c:v>
                </c:pt>
                <c:pt idx="123" c:formatCode="General">
                  <c:v>6250</c:v>
                </c:pt>
                <c:pt idx="124" c:formatCode="General">
                  <c:v>6150</c:v>
                </c:pt>
                <c:pt idx="125" c:formatCode="General">
                  <c:v>6300</c:v>
                </c:pt>
                <c:pt idx="126" c:formatCode="General">
                  <c:v>6150</c:v>
                </c:pt>
                <c:pt idx="127" c:formatCode="General">
                  <c:v>6150</c:v>
                </c:pt>
                <c:pt idx="128" c:formatCode="General">
                  <c:v>6150</c:v>
                </c:pt>
                <c:pt idx="129" c:formatCode="General">
                  <c:v>6150</c:v>
                </c:pt>
                <c:pt idx="130" c:formatCode="General">
                  <c:v>6150</c:v>
                </c:pt>
                <c:pt idx="131" c:formatCode="General">
                  <c:v>6350</c:v>
                </c:pt>
                <c:pt idx="132" c:formatCode="General">
                  <c:v>6250</c:v>
                </c:pt>
                <c:pt idx="133" c:formatCode="General">
                  <c:v>6250</c:v>
                </c:pt>
                <c:pt idx="134" c:formatCode="General">
                  <c:v>6300</c:v>
                </c:pt>
                <c:pt idx="135" c:formatCode="General">
                  <c:v>6350</c:v>
                </c:pt>
                <c:pt idx="136" c:formatCode="General">
                  <c:v>6600</c:v>
                </c:pt>
                <c:pt idx="137" c:formatCode="General">
                  <c:v>6650</c:v>
                </c:pt>
                <c:pt idx="138" c:formatCode="General">
                  <c:v>6650</c:v>
                </c:pt>
                <c:pt idx="139" c:formatCode="General">
                  <c:v>6450</c:v>
                </c:pt>
                <c:pt idx="140" c:formatCode="General">
                  <c:v>6450</c:v>
                </c:pt>
                <c:pt idx="141" c:formatCode="General">
                  <c:v>6450</c:v>
                </c:pt>
                <c:pt idx="142" c:formatCode="General">
                  <c:v>6400</c:v>
                </c:pt>
                <c:pt idx="143" c:formatCode="General">
                  <c:v>6400</c:v>
                </c:pt>
                <c:pt idx="144" c:formatCode="General">
                  <c:v>6650</c:v>
                </c:pt>
                <c:pt idx="145" c:formatCode="General">
                  <c:v>6600</c:v>
                </c:pt>
                <c:pt idx="146" c:formatCode="General">
                  <c:v>6600</c:v>
                </c:pt>
              </c:numCache>
            </c:numRef>
          </c:val>
          <c:smooth val="0"/>
        </c:ser>
        <c:ser>
          <c:idx val="10"/>
          <c:order val="1"/>
          <c:tx>
            <c:strRef>
              <c:f>'[最新溶剂油周报：山东地炼石脑油价格走势图7.20.xls]溶剂油周报-石脑油价格走势图表'!$E$178</c:f>
              <c:strCache>
                <c:ptCount val="1"/>
                <c:pt idx="0">
                  <c:v>利津石化</c:v>
                </c:pt>
              </c:strCache>
            </c:strRef>
          </c:tx>
          <c:spPr>
            <a:ln w="38100" cap="rnd" cmpd="sng" algn="ctr">
              <a:solidFill>
                <a:srgbClr val="00B050"/>
              </a:solidFill>
              <a:prstDash val="solid"/>
              <a:round/>
            </a:ln>
          </c:spPr>
          <c:marker>
            <c:symbol val="none"/>
          </c:marker>
          <c:dLbls>
            <c:delete val="1"/>
          </c:dLbls>
          <c:cat>
            <c:numRef>
              <c:f>'[最新溶剂油周报：山东地炼石脑油价格走势图7.20.xls]溶剂油周报-石脑油价格走势图表'!$A$179:$C$336</c:f>
              <c:numCache>
                <c:formatCode>yyyy/m/d</c:formatCode>
                <c:ptCount val="158"/>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numCache>
            </c:numRef>
          </c:cat>
          <c:val>
            <c:numRef>
              <c:f>'[最新溶剂油周报：山东地炼石脑油价格走势图7.20.xls]溶剂油周报-石脑油价格走势图表'!$E$179:$E$336</c:f>
              <c:numCache>
                <c:formatCode>@</c:formatCode>
                <c:ptCount val="158"/>
                <c:pt idx="0">
                  <c:v>4250</c:v>
                </c:pt>
                <c:pt idx="1">
                  <c:v>4050</c:v>
                </c:pt>
                <c:pt idx="2">
                  <c:v>4300</c:v>
                </c:pt>
                <c:pt idx="3">
                  <c:v>4500</c:v>
                </c:pt>
                <c:pt idx="4">
                  <c:v>4580</c:v>
                </c:pt>
                <c:pt idx="5">
                  <c:v>4580</c:v>
                </c:pt>
                <c:pt idx="6">
                  <c:v>4580</c:v>
                </c:pt>
                <c:pt idx="11">
                  <c:v>4150</c:v>
                </c:pt>
                <c:pt idx="12">
                  <c:v>4100</c:v>
                </c:pt>
                <c:pt idx="13">
                  <c:v>4030</c:v>
                </c:pt>
                <c:pt idx="14">
                  <c:v>3850</c:v>
                </c:pt>
                <c:pt idx="15">
                  <c:v>3550</c:v>
                </c:pt>
                <c:pt idx="16">
                  <c:v>3950</c:v>
                </c:pt>
                <c:pt idx="17">
                  <c:v>3850</c:v>
                </c:pt>
                <c:pt idx="18">
                  <c:v>3650</c:v>
                </c:pt>
                <c:pt idx="19">
                  <c:v>2800</c:v>
                </c:pt>
                <c:pt idx="20">
                  <c:v>2300</c:v>
                </c:pt>
                <c:pt idx="21">
                  <c:v>2800</c:v>
                </c:pt>
                <c:pt idx="22">
                  <c:v>2650</c:v>
                </c:pt>
                <c:pt idx="23">
                  <c:v>2650</c:v>
                </c:pt>
                <c:pt idx="24">
                  <c:v>2900</c:v>
                </c:pt>
                <c:pt idx="25">
                  <c:v>3300</c:v>
                </c:pt>
                <c:pt idx="26">
                  <c:v>3200</c:v>
                </c:pt>
                <c:pt idx="27">
                  <c:v>3400</c:v>
                </c:pt>
                <c:pt idx="28">
                  <c:v>3350</c:v>
                </c:pt>
                <c:pt idx="29">
                  <c:v>3000</c:v>
                </c:pt>
                <c:pt idx="30">
                  <c:v>3250</c:v>
                </c:pt>
                <c:pt idx="31">
                  <c:v>3250</c:v>
                </c:pt>
                <c:pt idx="32">
                  <c:v>3380</c:v>
                </c:pt>
                <c:pt idx="33">
                  <c:v>3430</c:v>
                </c:pt>
                <c:pt idx="34">
                  <c:v>3430</c:v>
                </c:pt>
                <c:pt idx="35">
                  <c:v>3480</c:v>
                </c:pt>
                <c:pt idx="36">
                  <c:v>3480</c:v>
                </c:pt>
                <c:pt idx="37">
                  <c:v>3380</c:v>
                </c:pt>
                <c:pt idx="38">
                  <c:v>3300</c:v>
                </c:pt>
                <c:pt idx="39">
                  <c:v>3050</c:v>
                </c:pt>
                <c:pt idx="40">
                  <c:v>3050</c:v>
                </c:pt>
                <c:pt idx="41">
                  <c:v>3050</c:v>
                </c:pt>
                <c:pt idx="42">
                  <c:v>3050</c:v>
                </c:pt>
                <c:pt idx="43">
                  <c:v>3050</c:v>
                </c:pt>
                <c:pt idx="44">
                  <c:v>3050</c:v>
                </c:pt>
                <c:pt idx="45">
                  <c:v>3050</c:v>
                </c:pt>
                <c:pt idx="46">
                  <c:v>3050</c:v>
                </c:pt>
                <c:pt idx="47">
                  <c:v>3050</c:v>
                </c:pt>
                <c:pt idx="48">
                  <c:v>3050</c:v>
                </c:pt>
                <c:pt idx="49">
                  <c:v>3050</c:v>
                </c:pt>
                <c:pt idx="50">
                  <c:v>3050</c:v>
                </c:pt>
                <c:pt idx="51" c:formatCode="General">
                  <c:v>3450</c:v>
                </c:pt>
                <c:pt idx="52" c:formatCode="General">
                  <c:v>3450</c:v>
                </c:pt>
                <c:pt idx="53" c:formatCode="General">
                  <c:v>3450</c:v>
                </c:pt>
                <c:pt idx="54" c:formatCode="General">
                  <c:v>3450</c:v>
                </c:pt>
                <c:pt idx="55" c:formatCode="General">
                  <c:v>3800</c:v>
                </c:pt>
                <c:pt idx="56" c:formatCode="General">
                  <c:v>4000</c:v>
                </c:pt>
                <c:pt idx="57" c:formatCode="General">
                  <c:v>3900</c:v>
                </c:pt>
                <c:pt idx="58" c:formatCode="General">
                  <c:v>3650</c:v>
                </c:pt>
                <c:pt idx="59" c:formatCode="General">
                  <c:v>3900</c:v>
                </c:pt>
                <c:pt idx="60" c:formatCode="General">
                  <c:v>4000</c:v>
                </c:pt>
                <c:pt idx="61" c:formatCode="General">
                  <c:v>4050</c:v>
                </c:pt>
                <c:pt idx="62" c:formatCode="General">
                  <c:v>4000</c:v>
                </c:pt>
                <c:pt idx="63" c:formatCode="General">
                  <c:v>4150</c:v>
                </c:pt>
                <c:pt idx="64" c:formatCode="General">
                  <c:v>4450</c:v>
                </c:pt>
                <c:pt idx="65" c:formatCode="General">
                  <c:v>4350</c:v>
                </c:pt>
                <c:pt idx="66" c:formatCode="General">
                  <c:v>4000</c:v>
                </c:pt>
                <c:pt idx="67" c:formatCode="General">
                  <c:v>4150</c:v>
                </c:pt>
                <c:pt idx="68" c:formatCode="General">
                  <c:v>4200</c:v>
                </c:pt>
                <c:pt idx="69" c:formatCode="General">
                  <c:v>4250</c:v>
                </c:pt>
                <c:pt idx="70" c:formatCode="General">
                  <c:v>4250</c:v>
                </c:pt>
                <c:pt idx="71" c:formatCode="General">
                  <c:v>4200</c:v>
                </c:pt>
                <c:pt idx="72" c:formatCode="General">
                  <c:v>4500</c:v>
                </c:pt>
                <c:pt idx="73" c:formatCode="General">
                  <c:v>4450</c:v>
                </c:pt>
                <c:pt idx="74" c:formatCode="General">
                  <c:v>4250</c:v>
                </c:pt>
                <c:pt idx="75" c:formatCode="General">
                  <c:v>4100</c:v>
                </c:pt>
                <c:pt idx="76" c:formatCode="General">
                  <c:v>4250</c:v>
                </c:pt>
                <c:pt idx="77" c:formatCode="General">
                  <c:v>4150</c:v>
                </c:pt>
                <c:pt idx="78" c:formatCode="General">
                  <c:v>4100</c:v>
                </c:pt>
                <c:pt idx="79" c:formatCode="General">
                  <c:v>4400</c:v>
                </c:pt>
                <c:pt idx="80" c:formatCode="General">
                  <c:v>4200</c:v>
                </c:pt>
                <c:pt idx="81" c:formatCode="General">
                  <c:v>4230</c:v>
                </c:pt>
                <c:pt idx="82" c:formatCode="General">
                  <c:v>4230</c:v>
                </c:pt>
                <c:pt idx="83" c:formatCode="General">
                  <c:v>4230</c:v>
                </c:pt>
                <c:pt idx="84" c:formatCode="General">
                  <c:v>4230</c:v>
                </c:pt>
                <c:pt idx="85" c:formatCode="General">
                  <c:v>4230</c:v>
                </c:pt>
                <c:pt idx="86" c:formatCode="General">
                  <c:v>4230</c:v>
                </c:pt>
                <c:pt idx="87" c:formatCode="General">
                  <c:v>4230</c:v>
                </c:pt>
                <c:pt idx="88" c:formatCode="General">
                  <c:v>0</c:v>
                </c:pt>
                <c:pt idx="89" c:formatCode="General">
                  <c:v>0</c:v>
                </c:pt>
                <c:pt idx="90" c:formatCode="General">
                  <c:v>0</c:v>
                </c:pt>
                <c:pt idx="91" c:formatCode="General">
                  <c:v>0</c:v>
                </c:pt>
                <c:pt idx="92" c:formatCode="General">
                  <c:v>0</c:v>
                </c:pt>
                <c:pt idx="93" c:formatCode="General">
                  <c:v>0</c:v>
                </c:pt>
                <c:pt idx="94" c:formatCode="General">
                  <c:v>0</c:v>
                </c:pt>
                <c:pt idx="95" c:formatCode="General">
                  <c:v>0</c:v>
                </c:pt>
                <c:pt idx="96" c:formatCode="General">
                  <c:v>0</c:v>
                </c:pt>
                <c:pt idx="97" c:formatCode="General">
                  <c:v>0</c:v>
                </c:pt>
                <c:pt idx="98" c:formatCode="General">
                  <c:v>0</c:v>
                </c:pt>
                <c:pt idx="99" c:formatCode="General">
                  <c:v>0</c:v>
                </c:pt>
                <c:pt idx="100" c:formatCode="General">
                  <c:v>0</c:v>
                </c:pt>
                <c:pt idx="103" c:formatCode="General">
                  <c:v>0</c:v>
                </c:pt>
                <c:pt idx="104" c:formatCode="General">
                  <c:v>0</c:v>
                </c:pt>
                <c:pt idx="105" c:formatCode="General">
                  <c:v>0</c:v>
                </c:pt>
                <c:pt idx="106" c:formatCode="General">
                  <c:v>0</c:v>
                </c:pt>
                <c:pt idx="107" c:formatCode="General">
                  <c:v>0</c:v>
                </c:pt>
                <c:pt idx="108" c:formatCode="General">
                  <c:v>0</c:v>
                </c:pt>
                <c:pt idx="109" c:formatCode="General">
                  <c:v>0</c:v>
                </c:pt>
                <c:pt idx="110" c:formatCode="General">
                  <c:v>0</c:v>
                </c:pt>
                <c:pt idx="111" c:formatCode="General">
                  <c:v>0</c:v>
                </c:pt>
                <c:pt idx="112" c:formatCode="General">
                  <c:v>0</c:v>
                </c:pt>
                <c:pt idx="113" c:formatCode="General">
                  <c:v>0</c:v>
                </c:pt>
                <c:pt idx="114" c:formatCode="General">
                  <c:v>0</c:v>
                </c:pt>
                <c:pt idx="115" c:formatCode="General">
                  <c:v>0</c:v>
                </c:pt>
                <c:pt idx="116" c:formatCode="General">
                  <c:v>0</c:v>
                </c:pt>
                <c:pt idx="117" c:formatCode="General">
                  <c:v>0</c:v>
                </c:pt>
                <c:pt idx="118" c:formatCode="General">
                  <c:v>0</c:v>
                </c:pt>
                <c:pt idx="119" c:formatCode="General">
                  <c:v>0</c:v>
                </c:pt>
                <c:pt idx="120" c:formatCode="General">
                  <c:v>0</c:v>
                </c:pt>
                <c:pt idx="121" c:formatCode="General">
                  <c:v>0</c:v>
                </c:pt>
                <c:pt idx="122" c:formatCode="General">
                  <c:v>0</c:v>
                </c:pt>
                <c:pt idx="123" c:formatCode="General">
                  <c:v>0</c:v>
                </c:pt>
                <c:pt idx="124" c:formatCode="General">
                  <c:v>0</c:v>
                </c:pt>
                <c:pt idx="125" c:formatCode="General">
                  <c:v>0</c:v>
                </c:pt>
                <c:pt idx="126" c:formatCode="General">
                  <c:v>0</c:v>
                </c:pt>
                <c:pt idx="127" c:formatCode="General">
                  <c:v>0</c:v>
                </c:pt>
                <c:pt idx="128" c:formatCode="General">
                  <c:v>0</c:v>
                </c:pt>
                <c:pt idx="129" c:formatCode="General">
                  <c:v>0</c:v>
                </c:pt>
                <c:pt idx="130" c:formatCode="General">
                  <c:v>0</c:v>
                </c:pt>
                <c:pt idx="131" c:formatCode="General">
                  <c:v>0</c:v>
                </c:pt>
                <c:pt idx="132" c:formatCode="General">
                  <c:v>0</c:v>
                </c:pt>
                <c:pt idx="133" c:formatCode="General">
                  <c:v>0</c:v>
                </c:pt>
                <c:pt idx="134" c:formatCode="General">
                  <c:v>0</c:v>
                </c:pt>
                <c:pt idx="135" c:formatCode="General">
                  <c:v>0</c:v>
                </c:pt>
                <c:pt idx="136" c:formatCode="General">
                  <c:v>0</c:v>
                </c:pt>
                <c:pt idx="137" c:formatCode="General">
                  <c:v>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pt idx="145" c:formatCode="General">
                  <c:v>0</c:v>
                </c:pt>
                <c:pt idx="146" c:formatCode="General">
                  <c:v>0</c:v>
                </c:pt>
              </c:numCache>
            </c:numRef>
          </c:val>
          <c:smooth val="0"/>
        </c:ser>
        <c:ser>
          <c:idx val="1"/>
          <c:order val="2"/>
          <c:tx>
            <c:strRef>
              <c:f>'[最新溶剂油周报：山东地炼石脑油价格走势图7.20.xls]溶剂油周报-石脑油价格走势图表'!$F$178</c:f>
              <c:strCache>
                <c:ptCount val="1"/>
                <c:pt idx="0">
                  <c:v>安邦石化</c:v>
                </c:pt>
              </c:strCache>
            </c:strRef>
          </c:tx>
          <c:spPr>
            <a:ln w="38100" cap="rnd" cmpd="sng" algn="ctr">
              <a:solidFill>
                <a:srgbClr val="FF00FF">
                  <a:alpha val="100000"/>
                </a:srgbClr>
              </a:solidFill>
              <a:prstDash val="solid"/>
              <a:round/>
            </a:ln>
          </c:spPr>
          <c:marker>
            <c:symbol val="none"/>
          </c:marker>
          <c:dLbls>
            <c:delete val="1"/>
          </c:dLbls>
          <c:cat>
            <c:numRef>
              <c:f>'[最新溶剂油周报：山东地炼石脑油价格走势图7.20.xls]溶剂油周报-石脑油价格走势图表'!$A$179:$C$336</c:f>
              <c:numCache>
                <c:formatCode>yyyy/m/d</c:formatCode>
                <c:ptCount val="158"/>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numCache>
            </c:numRef>
          </c:cat>
          <c:val>
            <c:numRef>
              <c:f>'[最新溶剂油周报：山东地炼石脑油价格走势图7.20.xls]溶剂油周报-石脑油价格走势图表'!$F$179:$F$336</c:f>
              <c:numCache>
                <c:formatCode>@</c:formatCode>
                <c:ptCount val="158"/>
                <c:pt idx="0">
                  <c:v>4570</c:v>
                </c:pt>
                <c:pt idx="1">
                  <c:v>4570</c:v>
                </c:pt>
                <c:pt idx="2">
                  <c:v>4650</c:v>
                </c:pt>
                <c:pt idx="3">
                  <c:v>4700</c:v>
                </c:pt>
                <c:pt idx="4">
                  <c:v>4700</c:v>
                </c:pt>
                <c:pt idx="5">
                  <c:v>4700</c:v>
                </c:pt>
                <c:pt idx="6">
                  <c:v>4700</c:v>
                </c:pt>
                <c:pt idx="7">
                  <c:v>4530</c:v>
                </c:pt>
                <c:pt idx="8">
                  <c:v>4530</c:v>
                </c:pt>
                <c:pt idx="9">
                  <c:v>4530</c:v>
                </c:pt>
                <c:pt idx="10">
                  <c:v>4530</c:v>
                </c:pt>
                <c:pt idx="11">
                  <c:v>4530</c:v>
                </c:pt>
                <c:pt idx="12">
                  <c:v>4200</c:v>
                </c:pt>
                <c:pt idx="13">
                  <c:v>4200</c:v>
                </c:pt>
                <c:pt idx="14">
                  <c:v>4000</c:v>
                </c:pt>
                <c:pt idx="15">
                  <c:v>3900</c:v>
                </c:pt>
                <c:pt idx="16">
                  <c:v>3900</c:v>
                </c:pt>
                <c:pt idx="17">
                  <c:v>3800</c:v>
                </c:pt>
                <c:pt idx="18">
                  <c:v>3800</c:v>
                </c:pt>
                <c:pt idx="19">
                  <c:v>3500</c:v>
                </c:pt>
                <c:pt idx="20">
                  <c:v>3500</c:v>
                </c:pt>
                <c:pt idx="21">
                  <c:v>3500</c:v>
                </c:pt>
                <c:pt idx="22">
                  <c:v>3500</c:v>
                </c:pt>
                <c:pt idx="23">
                  <c:v>2800</c:v>
                </c:pt>
                <c:pt idx="24">
                  <c:v>3100</c:v>
                </c:pt>
                <c:pt idx="25">
                  <c:v>3600</c:v>
                </c:pt>
                <c:pt idx="26">
                  <c:v>3600</c:v>
                </c:pt>
                <c:pt idx="27">
                  <c:v>3500</c:v>
                </c:pt>
                <c:pt idx="28">
                  <c:v>3500</c:v>
                </c:pt>
                <c:pt idx="29">
                  <c:v>3250</c:v>
                </c:pt>
                <c:pt idx="30">
                  <c:v>3250</c:v>
                </c:pt>
                <c:pt idx="31">
                  <c:v>3200</c:v>
                </c:pt>
                <c:pt idx="32">
                  <c:v>3200</c:v>
                </c:pt>
                <c:pt idx="33">
                  <c:v>3350</c:v>
                </c:pt>
                <c:pt idx="34">
                  <c:v>3530</c:v>
                </c:pt>
                <c:pt idx="35">
                  <c:v>3530</c:v>
                </c:pt>
                <c:pt idx="36">
                  <c:v>3530</c:v>
                </c:pt>
                <c:pt idx="37">
                  <c:v>3400</c:v>
                </c:pt>
                <c:pt idx="38">
                  <c:v>3300</c:v>
                </c:pt>
                <c:pt idx="39">
                  <c:v>3300</c:v>
                </c:pt>
                <c:pt idx="40">
                  <c:v>3400</c:v>
                </c:pt>
                <c:pt idx="41">
                  <c:v>3300</c:v>
                </c:pt>
                <c:pt idx="42">
                  <c:v>3300</c:v>
                </c:pt>
                <c:pt idx="43">
                  <c:v>3300</c:v>
                </c:pt>
                <c:pt idx="44">
                  <c:v>3300</c:v>
                </c:pt>
                <c:pt idx="45">
                  <c:v>3300</c:v>
                </c:pt>
                <c:pt idx="46">
                  <c:v>3300</c:v>
                </c:pt>
                <c:pt idx="47" c:formatCode="General">
                  <c:v>3200</c:v>
                </c:pt>
                <c:pt idx="48" c:formatCode="General">
                  <c:v>3550</c:v>
                </c:pt>
                <c:pt idx="49" c:formatCode="General">
                  <c:v>3600</c:v>
                </c:pt>
                <c:pt idx="50" c:formatCode="General">
                  <c:v>3600</c:v>
                </c:pt>
                <c:pt idx="51" c:formatCode="General">
                  <c:v>3350</c:v>
                </c:pt>
                <c:pt idx="52" c:formatCode="General">
                  <c:v>3550</c:v>
                </c:pt>
                <c:pt idx="53" c:formatCode="General">
                  <c:v>3500</c:v>
                </c:pt>
                <c:pt idx="54" c:formatCode="General">
                  <c:v>3500</c:v>
                </c:pt>
                <c:pt idx="55" c:formatCode="General">
                  <c:v>3800</c:v>
                </c:pt>
                <c:pt idx="56" c:formatCode="General">
                  <c:v>4000</c:v>
                </c:pt>
                <c:pt idx="57" c:formatCode="General">
                  <c:v>4000</c:v>
                </c:pt>
                <c:pt idx="58" c:formatCode="General">
                  <c:v>3900</c:v>
                </c:pt>
                <c:pt idx="59" c:formatCode="General">
                  <c:v>3800</c:v>
                </c:pt>
                <c:pt idx="60" c:formatCode="General">
                  <c:v>3950</c:v>
                </c:pt>
                <c:pt idx="61" c:formatCode="General">
                  <c:v>4000</c:v>
                </c:pt>
                <c:pt idx="62" c:formatCode="General">
                  <c:v>4000</c:v>
                </c:pt>
                <c:pt idx="63" c:formatCode="General">
                  <c:v>4150</c:v>
                </c:pt>
                <c:pt idx="64" c:formatCode="General">
                  <c:v>4500</c:v>
                </c:pt>
                <c:pt idx="65" c:formatCode="General">
                  <c:v>4500</c:v>
                </c:pt>
                <c:pt idx="66" c:formatCode="General">
                  <c:v>4300</c:v>
                </c:pt>
                <c:pt idx="67" c:formatCode="General">
                  <c:v>4300</c:v>
                </c:pt>
                <c:pt idx="68" c:formatCode="General">
                  <c:v>4400</c:v>
                </c:pt>
                <c:pt idx="69" c:formatCode="General">
                  <c:v>4400</c:v>
                </c:pt>
                <c:pt idx="70" c:formatCode="General">
                  <c:v>4400</c:v>
                </c:pt>
                <c:pt idx="71" c:formatCode="General">
                  <c:v>4400</c:v>
                </c:pt>
                <c:pt idx="72" c:formatCode="General">
                  <c:v>4750</c:v>
                </c:pt>
                <c:pt idx="73" c:formatCode="General">
                  <c:v>4800</c:v>
                </c:pt>
                <c:pt idx="74" c:formatCode="General">
                  <c:v>4720</c:v>
                </c:pt>
                <c:pt idx="75" c:formatCode="General">
                  <c:v>4500</c:v>
                </c:pt>
                <c:pt idx="76" c:formatCode="General">
                  <c:v>4600</c:v>
                </c:pt>
                <c:pt idx="77" c:formatCode="General">
                  <c:v>4600</c:v>
                </c:pt>
                <c:pt idx="78" c:formatCode="General">
                  <c:v>4600</c:v>
                </c:pt>
                <c:pt idx="79" c:formatCode="General">
                  <c:v>4650</c:v>
                </c:pt>
                <c:pt idx="80" c:formatCode="General">
                  <c:v>4650</c:v>
                </c:pt>
                <c:pt idx="81" c:formatCode="General">
                  <c:v>4500</c:v>
                </c:pt>
                <c:pt idx="82" c:formatCode="General">
                  <c:v>4500</c:v>
                </c:pt>
                <c:pt idx="83" c:formatCode="General">
                  <c:v>4500</c:v>
                </c:pt>
                <c:pt idx="84" c:formatCode="General">
                  <c:v>4700</c:v>
                </c:pt>
                <c:pt idx="85" c:formatCode="General">
                  <c:v>4750</c:v>
                </c:pt>
                <c:pt idx="86" c:formatCode="General">
                  <c:v>4750</c:v>
                </c:pt>
                <c:pt idx="87" c:formatCode="General">
                  <c:v>4750</c:v>
                </c:pt>
                <c:pt idx="88" c:formatCode="General">
                  <c:v>4850</c:v>
                </c:pt>
                <c:pt idx="89" c:formatCode="General">
                  <c:v>4750</c:v>
                </c:pt>
                <c:pt idx="90" c:formatCode="General">
                  <c:v>4550</c:v>
                </c:pt>
                <c:pt idx="91" c:formatCode="General">
                  <c:v>4600</c:v>
                </c:pt>
                <c:pt idx="92" c:formatCode="General">
                  <c:v>4500</c:v>
                </c:pt>
                <c:pt idx="93" c:formatCode="General">
                  <c:v>4500</c:v>
                </c:pt>
                <c:pt idx="94" c:formatCode="General">
                  <c:v>4600</c:v>
                </c:pt>
                <c:pt idx="95" c:formatCode="General">
                  <c:v>4600</c:v>
                </c:pt>
                <c:pt idx="96" c:formatCode="General">
                  <c:v>4550</c:v>
                </c:pt>
                <c:pt idx="97" c:formatCode="General">
                  <c:v>4660</c:v>
                </c:pt>
                <c:pt idx="98" c:formatCode="General">
                  <c:v>4730</c:v>
                </c:pt>
                <c:pt idx="99" c:formatCode="General">
                  <c:v>4780</c:v>
                </c:pt>
                <c:pt idx="100" c:formatCode="General">
                  <c:v>4840</c:v>
                </c:pt>
                <c:pt idx="103" c:formatCode="General">
                  <c:v>0</c:v>
                </c:pt>
                <c:pt idx="104" c:formatCode="General">
                  <c:v>4900</c:v>
                </c:pt>
                <c:pt idx="105" c:formatCode="General">
                  <c:v>4980</c:v>
                </c:pt>
                <c:pt idx="106" c:formatCode="General">
                  <c:v>5050</c:v>
                </c:pt>
                <c:pt idx="107" c:formatCode="General">
                  <c:v>5160</c:v>
                </c:pt>
                <c:pt idx="108" c:formatCode="General">
                  <c:v>5240</c:v>
                </c:pt>
                <c:pt idx="109" c:formatCode="General">
                  <c:v>5300</c:v>
                </c:pt>
                <c:pt idx="110" c:formatCode="General">
                  <c:v>5530</c:v>
                </c:pt>
                <c:pt idx="111" c:formatCode="General">
                  <c:v>6200</c:v>
                </c:pt>
                <c:pt idx="112" c:formatCode="General">
                  <c:v>6050</c:v>
                </c:pt>
                <c:pt idx="113" c:formatCode="General">
                  <c:v>6150</c:v>
                </c:pt>
                <c:pt idx="114" c:formatCode="General">
                  <c:v>6180</c:v>
                </c:pt>
                <c:pt idx="115" c:formatCode="General">
                  <c:v>6180</c:v>
                </c:pt>
                <c:pt idx="116" c:formatCode="General">
                  <c:v>5900</c:v>
                </c:pt>
                <c:pt idx="117" c:formatCode="General">
                  <c:v>5830</c:v>
                </c:pt>
                <c:pt idx="118" c:formatCode="General">
                  <c:v>6000</c:v>
                </c:pt>
                <c:pt idx="119" c:formatCode="General">
                  <c:v>5960</c:v>
                </c:pt>
                <c:pt idx="120" c:formatCode="General">
                  <c:v>6400</c:v>
                </c:pt>
                <c:pt idx="121" c:formatCode="General">
                  <c:v>6250</c:v>
                </c:pt>
                <c:pt idx="122" c:formatCode="General">
                  <c:v>6200</c:v>
                </c:pt>
                <c:pt idx="123" c:formatCode="General">
                  <c:v>5990</c:v>
                </c:pt>
                <c:pt idx="124" c:formatCode="General">
                  <c:v>5840</c:v>
                </c:pt>
                <c:pt idx="125" c:formatCode="General">
                  <c:v>5950</c:v>
                </c:pt>
                <c:pt idx="126" c:formatCode="General">
                  <c:v>5950</c:v>
                </c:pt>
                <c:pt idx="127" c:formatCode="General">
                  <c:v>5900</c:v>
                </c:pt>
                <c:pt idx="128" c:formatCode="General">
                  <c:v>5920</c:v>
                </c:pt>
                <c:pt idx="129" c:formatCode="General">
                  <c:v>6000</c:v>
                </c:pt>
                <c:pt idx="130" c:formatCode="General">
                  <c:v>6080</c:v>
                </c:pt>
                <c:pt idx="131" c:formatCode="General">
                  <c:v>6130</c:v>
                </c:pt>
                <c:pt idx="132" c:formatCode="General">
                  <c:v>6150</c:v>
                </c:pt>
                <c:pt idx="133" c:formatCode="General">
                  <c:v>6250</c:v>
                </c:pt>
                <c:pt idx="134" c:formatCode="General">
                  <c:v>6150</c:v>
                </c:pt>
                <c:pt idx="135" c:formatCode="General">
                  <c:v>6450</c:v>
                </c:pt>
                <c:pt idx="136" c:formatCode="General">
                  <c:v>6600</c:v>
                </c:pt>
                <c:pt idx="137" c:formatCode="General">
                  <c:v>6650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pt idx="145" c:formatCode="General">
                  <c:v>0</c:v>
                </c:pt>
                <c:pt idx="146" c:formatCode="General">
                  <c:v>0</c:v>
                </c:pt>
              </c:numCache>
            </c:numRef>
          </c:val>
          <c:smooth val="0"/>
        </c:ser>
        <c:ser>
          <c:idx val="5"/>
          <c:order val="3"/>
          <c:tx>
            <c:strRef>
              <c:f>'[最新溶剂油周报：山东地炼石脑油价格走势图7.20.xls]溶剂油周报-石脑油价格走势图表'!$G$178</c:f>
              <c:strCache>
                <c:ptCount val="1"/>
                <c:pt idx="0">
                  <c:v>富海石化</c:v>
                </c:pt>
              </c:strCache>
            </c:strRef>
          </c:tx>
          <c:spPr>
            <a:ln w="38100" cap="rnd" cmpd="sng" algn="ctr">
              <a:solidFill>
                <a:srgbClr val="800000">
                  <a:alpha val="100000"/>
                </a:srgbClr>
              </a:solidFill>
              <a:prstDash val="solid"/>
              <a:round/>
            </a:ln>
          </c:spPr>
          <c:marker>
            <c:symbol val="none"/>
          </c:marker>
          <c:dLbls>
            <c:delete val="1"/>
          </c:dLbls>
          <c:cat>
            <c:numRef>
              <c:f>'[最新溶剂油周报：山东地炼石脑油价格走势图7.20.xls]溶剂油周报-石脑油价格走势图表'!$A$179:$C$336</c:f>
              <c:numCache>
                <c:formatCode>yyyy/m/d</c:formatCode>
                <c:ptCount val="158"/>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numCache>
            </c:numRef>
          </c:cat>
          <c:val>
            <c:numRef>
              <c:f>'[最新溶剂油周报：山东地炼石脑油价格走势图7.20.xls]溶剂油周报-石脑油价格走势图表'!$G$179:$G$336</c:f>
              <c:numCache>
                <c:formatCode>@</c:formatCode>
                <c:ptCount val="158"/>
                <c:pt idx="0">
                  <c:v>4600</c:v>
                </c:pt>
                <c:pt idx="1">
                  <c:v>4600</c:v>
                </c:pt>
                <c:pt idx="2">
                  <c:v>4600</c:v>
                </c:pt>
                <c:pt idx="3">
                  <c:v>4600</c:v>
                </c:pt>
                <c:pt idx="4">
                  <c:v>4600</c:v>
                </c:pt>
                <c:pt idx="5">
                  <c:v>4600</c:v>
                </c:pt>
                <c:pt idx="6">
                  <c:v>4550</c:v>
                </c:pt>
                <c:pt idx="7">
                  <c:v>4550</c:v>
                </c:pt>
                <c:pt idx="8">
                  <c:v>4550</c:v>
                </c:pt>
                <c:pt idx="9">
                  <c:v>4650</c:v>
                </c:pt>
                <c:pt idx="10">
                  <c:v>4600</c:v>
                </c:pt>
                <c:pt idx="11">
                  <c:v>4370</c:v>
                </c:pt>
                <c:pt idx="12">
                  <c:v>4370</c:v>
                </c:pt>
                <c:pt idx="13">
                  <c:v>4220</c:v>
                </c:pt>
                <c:pt idx="14">
                  <c:v>3900</c:v>
                </c:pt>
                <c:pt idx="15">
                  <c:v>3800</c:v>
                </c:pt>
                <c:pt idx="16">
                  <c:v>3900</c:v>
                </c:pt>
                <c:pt idx="17">
                  <c:v>3930</c:v>
                </c:pt>
                <c:pt idx="18">
                  <c:v>3800</c:v>
                </c:pt>
                <c:pt idx="19">
                  <c:v>3300</c:v>
                </c:pt>
                <c:pt idx="20">
                  <c:v>3250</c:v>
                </c:pt>
                <c:pt idx="21">
                  <c:v>3200</c:v>
                </c:pt>
                <c:pt idx="22">
                  <c:v>3068</c:v>
                </c:pt>
                <c:pt idx="23">
                  <c:v>3068</c:v>
                </c:pt>
                <c:pt idx="24">
                  <c:v>3068</c:v>
                </c:pt>
                <c:pt idx="25">
                  <c:v>3870</c:v>
                </c:pt>
                <c:pt idx="26">
                  <c:v>3700</c:v>
                </c:pt>
                <c:pt idx="27">
                  <c:v>3700</c:v>
                </c:pt>
                <c:pt idx="28">
                  <c:v>3700</c:v>
                </c:pt>
                <c:pt idx="29">
                  <c:v>3700</c:v>
                </c:pt>
                <c:pt idx="30">
                  <c:v>3500</c:v>
                </c:pt>
                <c:pt idx="31">
                  <c:v>3550</c:v>
                </c:pt>
                <c:pt idx="32">
                  <c:v>3600</c:v>
                </c:pt>
                <c:pt idx="33">
                  <c:v>3600</c:v>
                </c:pt>
                <c:pt idx="34">
                  <c:v>3480</c:v>
                </c:pt>
                <c:pt idx="35">
                  <c:v>3520</c:v>
                </c:pt>
                <c:pt idx="36">
                  <c:v>3520</c:v>
                </c:pt>
                <c:pt idx="37">
                  <c:v>3520</c:v>
                </c:pt>
                <c:pt idx="38">
                  <c:v>3350</c:v>
                </c:pt>
                <c:pt idx="39">
                  <c:v>3350</c:v>
                </c:pt>
                <c:pt idx="40">
                  <c:v>3230</c:v>
                </c:pt>
                <c:pt idx="41">
                  <c:v>3230</c:v>
                </c:pt>
                <c:pt idx="42">
                  <c:v>3230</c:v>
                </c:pt>
                <c:pt idx="43">
                  <c:v>3230</c:v>
                </c:pt>
                <c:pt idx="44">
                  <c:v>3230</c:v>
                </c:pt>
                <c:pt idx="45">
                  <c:v>3230</c:v>
                </c:pt>
                <c:pt idx="46">
                  <c:v>3230</c:v>
                </c:pt>
                <c:pt idx="47">
                  <c:v>3230</c:v>
                </c:pt>
                <c:pt idx="48" c:formatCode="General">
                  <c:v>3430</c:v>
                </c:pt>
                <c:pt idx="49" c:formatCode="General">
                  <c:v>3460</c:v>
                </c:pt>
                <c:pt idx="50" c:formatCode="General">
                  <c:v>3350</c:v>
                </c:pt>
                <c:pt idx="51" c:formatCode="General">
                  <c:v>3520</c:v>
                </c:pt>
                <c:pt idx="52" c:formatCode="General">
                  <c:v>3520</c:v>
                </c:pt>
                <c:pt idx="53" c:formatCode="General">
                  <c:v>3500</c:v>
                </c:pt>
                <c:pt idx="54" c:formatCode="General">
                  <c:v>3500</c:v>
                </c:pt>
                <c:pt idx="55" c:formatCode="General">
                  <c:v>3850</c:v>
                </c:pt>
                <c:pt idx="56" c:formatCode="General">
                  <c:v>4080</c:v>
                </c:pt>
                <c:pt idx="57" c:formatCode="General">
                  <c:v>3930</c:v>
                </c:pt>
                <c:pt idx="58" c:formatCode="General">
                  <c:v>3900</c:v>
                </c:pt>
                <c:pt idx="59" c:formatCode="General">
                  <c:v>3750</c:v>
                </c:pt>
                <c:pt idx="60" c:formatCode="General">
                  <c:v>3900</c:v>
                </c:pt>
                <c:pt idx="61" c:formatCode="General">
                  <c:v>3930</c:v>
                </c:pt>
                <c:pt idx="62" c:formatCode="General">
                  <c:v>3900</c:v>
                </c:pt>
                <c:pt idx="63" c:formatCode="General">
                  <c:v>4100</c:v>
                </c:pt>
                <c:pt idx="64" c:formatCode="General">
                  <c:v>4500</c:v>
                </c:pt>
                <c:pt idx="65" c:formatCode="General">
                  <c:v>4500</c:v>
                </c:pt>
                <c:pt idx="66" c:formatCode="General">
                  <c:v>4250</c:v>
                </c:pt>
                <c:pt idx="67" c:formatCode="General">
                  <c:v>4180</c:v>
                </c:pt>
                <c:pt idx="68" c:formatCode="General">
                  <c:v>4260</c:v>
                </c:pt>
                <c:pt idx="69" c:formatCode="General">
                  <c:v>4280</c:v>
                </c:pt>
                <c:pt idx="70" c:formatCode="General">
                  <c:v>4280</c:v>
                </c:pt>
                <c:pt idx="71" c:formatCode="General">
                  <c:v>4300</c:v>
                </c:pt>
                <c:pt idx="72" c:formatCode="General">
                  <c:v>4520</c:v>
                </c:pt>
                <c:pt idx="73" c:formatCode="General">
                  <c:v>4520</c:v>
                </c:pt>
                <c:pt idx="74" c:formatCode="General">
                  <c:v>4370</c:v>
                </c:pt>
                <c:pt idx="75" c:formatCode="General">
                  <c:v>4150</c:v>
                </c:pt>
                <c:pt idx="76" c:formatCode="General">
                  <c:v>4330</c:v>
                </c:pt>
                <c:pt idx="77" c:formatCode="General">
                  <c:v>4280</c:v>
                </c:pt>
                <c:pt idx="78" c:formatCode="General">
                  <c:v>4250</c:v>
                </c:pt>
                <c:pt idx="79" c:formatCode="General">
                  <c:v>4480</c:v>
                </c:pt>
                <c:pt idx="80" c:formatCode="General">
                  <c:v>4500</c:v>
                </c:pt>
                <c:pt idx="81" c:formatCode="General">
                  <c:v>4350</c:v>
                </c:pt>
                <c:pt idx="82" c:formatCode="General">
                  <c:v>4250</c:v>
                </c:pt>
                <c:pt idx="83" c:formatCode="General">
                  <c:v>4250</c:v>
                </c:pt>
                <c:pt idx="84" c:formatCode="General">
                  <c:v>4250</c:v>
                </c:pt>
                <c:pt idx="85" c:formatCode="General">
                  <c:v>4250</c:v>
                </c:pt>
                <c:pt idx="86" c:formatCode="General">
                  <c:v>4250</c:v>
                </c:pt>
                <c:pt idx="87" c:formatCode="General">
                  <c:v>4250</c:v>
                </c:pt>
                <c:pt idx="88" c:formatCode="General">
                  <c:v>4250</c:v>
                </c:pt>
                <c:pt idx="89" c:formatCode="General">
                  <c:v>4180</c:v>
                </c:pt>
                <c:pt idx="90" c:formatCode="General">
                  <c:v>3970</c:v>
                </c:pt>
                <c:pt idx="91" c:formatCode="General">
                  <c:v>3970</c:v>
                </c:pt>
                <c:pt idx="92" c:formatCode="General">
                  <c:v>4000</c:v>
                </c:pt>
                <c:pt idx="93" c:formatCode="General">
                  <c:v>4030</c:v>
                </c:pt>
                <c:pt idx="94" c:formatCode="General">
                  <c:v>4100</c:v>
                </c:pt>
                <c:pt idx="95" c:formatCode="General">
                  <c:v>4100</c:v>
                </c:pt>
                <c:pt idx="96" c:formatCode="General">
                  <c:v>4230</c:v>
                </c:pt>
                <c:pt idx="97" c:formatCode="General">
                  <c:v>4370</c:v>
                </c:pt>
                <c:pt idx="98" c:formatCode="General">
                  <c:v>4370</c:v>
                </c:pt>
                <c:pt idx="99" c:formatCode="General">
                  <c:v>4310</c:v>
                </c:pt>
                <c:pt idx="100" c:formatCode="General">
                  <c:v>4310</c:v>
                </c:pt>
                <c:pt idx="103" c:formatCode="General">
                  <c:v>0</c:v>
                </c:pt>
                <c:pt idx="104" c:formatCode="General">
                  <c:v>4310</c:v>
                </c:pt>
                <c:pt idx="105" c:formatCode="General">
                  <c:v>4400</c:v>
                </c:pt>
                <c:pt idx="106" c:formatCode="General">
                  <c:v>4550</c:v>
                </c:pt>
                <c:pt idx="107" c:formatCode="General">
                  <c:v>4520</c:v>
                </c:pt>
                <c:pt idx="108" c:formatCode="General">
                  <c:v>4480</c:v>
                </c:pt>
                <c:pt idx="109" c:formatCode="General">
                  <c:v>4480</c:v>
                </c:pt>
                <c:pt idx="110" c:formatCode="General">
                  <c:v>4690</c:v>
                </c:pt>
                <c:pt idx="111" c:formatCode="General">
                  <c:v>5750</c:v>
                </c:pt>
                <c:pt idx="112" c:formatCode="General">
                  <c:v>5420</c:v>
                </c:pt>
                <c:pt idx="113" c:formatCode="General">
                  <c:v>5400</c:v>
                </c:pt>
                <c:pt idx="114" c:formatCode="General">
                  <c:v>5430</c:v>
                </c:pt>
                <c:pt idx="115" c:formatCode="General">
                  <c:v>5430</c:v>
                </c:pt>
                <c:pt idx="116" c:formatCode="General">
                  <c:v>5210</c:v>
                </c:pt>
                <c:pt idx="117" c:formatCode="General">
                  <c:v>5090</c:v>
                </c:pt>
                <c:pt idx="118" c:formatCode="General">
                  <c:v>5190</c:v>
                </c:pt>
                <c:pt idx="119" c:formatCode="General">
                  <c:v>5210</c:v>
                </c:pt>
                <c:pt idx="120" c:formatCode="General">
                  <c:v>5210</c:v>
                </c:pt>
                <c:pt idx="121" c:formatCode="General">
                  <c:v>5670</c:v>
                </c:pt>
                <c:pt idx="122" c:formatCode="General">
                  <c:v>5500</c:v>
                </c:pt>
                <c:pt idx="123" c:formatCode="General">
                  <c:v>5200</c:v>
                </c:pt>
                <c:pt idx="124" c:formatCode="General">
                  <c:v>5200</c:v>
                </c:pt>
                <c:pt idx="125" c:formatCode="General">
                  <c:v>5290</c:v>
                </c:pt>
                <c:pt idx="126" c:formatCode="General">
                  <c:v>5310</c:v>
                </c:pt>
                <c:pt idx="127" c:formatCode="General">
                  <c:v>5210</c:v>
                </c:pt>
                <c:pt idx="128" c:formatCode="General">
                  <c:v>5080</c:v>
                </c:pt>
                <c:pt idx="129" c:formatCode="General">
                  <c:v>4800</c:v>
                </c:pt>
                <c:pt idx="130" c:formatCode="General">
                  <c:v>4800</c:v>
                </c:pt>
                <c:pt idx="131" c:formatCode="General">
                  <c:v>4800</c:v>
                </c:pt>
                <c:pt idx="132" c:formatCode="General">
                  <c:v>4860</c:v>
                </c:pt>
                <c:pt idx="133" c:formatCode="General">
                  <c:v>4840</c:v>
                </c:pt>
                <c:pt idx="134" c:formatCode="General">
                  <c:v>4760</c:v>
                </c:pt>
                <c:pt idx="135" c:formatCode="General">
                  <c:v>4920</c:v>
                </c:pt>
                <c:pt idx="136" c:formatCode="General">
                  <c:v>5100</c:v>
                </c:pt>
                <c:pt idx="137" c:formatCode="General">
                  <c:v>5110</c:v>
                </c:pt>
                <c:pt idx="138" c:formatCode="General">
                  <c:v>4890</c:v>
                </c:pt>
                <c:pt idx="139" c:formatCode="General">
                  <c:v>4730</c:v>
                </c:pt>
                <c:pt idx="140" c:formatCode="General">
                  <c:v>4760</c:v>
                </c:pt>
                <c:pt idx="141" c:formatCode="General">
                  <c:v>4760</c:v>
                </c:pt>
                <c:pt idx="142" c:formatCode="General">
                  <c:v>4760</c:v>
                </c:pt>
                <c:pt idx="143" c:formatCode="General">
                  <c:v>4780</c:v>
                </c:pt>
                <c:pt idx="144" c:formatCode="General">
                  <c:v>4830</c:v>
                </c:pt>
                <c:pt idx="145" c:formatCode="General">
                  <c:v>5010</c:v>
                </c:pt>
                <c:pt idx="146" c:formatCode="General">
                  <c:v>5010</c:v>
                </c:pt>
              </c:numCache>
            </c:numRef>
          </c:val>
          <c:smooth val="0"/>
        </c:ser>
        <c:ser>
          <c:idx val="6"/>
          <c:order val="4"/>
          <c:tx>
            <c:strRef>
              <c:f>'[最新溶剂油周报：山东地炼石脑油价格走势图7.20.xls]溶剂油周报-石脑油价格走势图表'!$H$178</c:f>
              <c:strCache>
                <c:ptCount val="1"/>
                <c:pt idx="0">
                  <c:v>寿光石化</c:v>
                </c:pt>
              </c:strCache>
            </c:strRef>
          </c:tx>
          <c:spPr>
            <a:ln w="38100" cap="rnd" cmpd="sng" algn="ctr">
              <a:solidFill>
                <a:srgbClr val="0000FF">
                  <a:alpha val="100000"/>
                </a:srgbClr>
              </a:solidFill>
              <a:prstDash val="solid"/>
              <a:round/>
            </a:ln>
          </c:spPr>
          <c:marker>
            <c:symbol val="none"/>
          </c:marker>
          <c:dLbls>
            <c:delete val="1"/>
          </c:dLbls>
          <c:cat>
            <c:numRef>
              <c:f>'[最新溶剂油周报：山东地炼石脑油价格走势图7.20.xls]溶剂油周报-石脑油价格走势图表'!$A$179:$C$336</c:f>
              <c:numCache>
                <c:formatCode>yyyy/m/d</c:formatCode>
                <c:ptCount val="158"/>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numCache>
            </c:numRef>
          </c:cat>
          <c:val>
            <c:numRef>
              <c:f>'[最新溶剂油周报：山东地炼石脑油价格走势图7.20.xls]溶剂油周报-石脑油价格走势图表'!$H$179:$H$336</c:f>
              <c:numCache>
                <c:formatCode>General</c:formatCode>
                <c:ptCount val="158"/>
                <c:pt idx="17" c:formatCode="@">
                  <c:v>3650</c:v>
                </c:pt>
                <c:pt idx="18" c:formatCode="@">
                  <c:v>3650</c:v>
                </c:pt>
                <c:pt idx="19" c:formatCode="@">
                  <c:v>3650</c:v>
                </c:pt>
                <c:pt idx="20" c:formatCode="@">
                  <c:v>3650</c:v>
                </c:pt>
                <c:pt idx="21" c:formatCode="@">
                  <c:v>3650</c:v>
                </c:pt>
                <c:pt idx="22" c:formatCode="@">
                  <c:v>3650</c:v>
                </c:pt>
                <c:pt idx="23" c:formatCode="@">
                  <c:v>3650</c:v>
                </c:pt>
                <c:pt idx="24" c:formatCode="@">
                  <c:v>3650</c:v>
                </c:pt>
                <c:pt idx="25" c:formatCode="@">
                  <c:v>3650</c:v>
                </c:pt>
                <c:pt idx="26" c:formatCode="@">
                  <c:v>3650</c:v>
                </c:pt>
                <c:pt idx="27" c:formatCode="@">
                  <c:v>4000</c:v>
                </c:pt>
                <c:pt idx="28" c:formatCode="@">
                  <c:v>4000</c:v>
                </c:pt>
                <c:pt idx="29" c:formatCode="@">
                  <c:v>4000</c:v>
                </c:pt>
                <c:pt idx="30" c:formatCode="@">
                  <c:v>4000</c:v>
                </c:pt>
                <c:pt idx="31" c:formatCode="@">
                  <c:v>4000</c:v>
                </c:pt>
                <c:pt idx="32" c:formatCode="@">
                  <c:v>4000</c:v>
                </c:pt>
                <c:pt idx="33" c:formatCode="@">
                  <c:v>4000</c:v>
                </c:pt>
                <c:pt idx="34" c:formatCode="@">
                  <c:v>4000</c:v>
                </c:pt>
                <c:pt idx="35" c:formatCode="@">
                  <c:v>4000</c:v>
                </c:pt>
                <c:pt idx="36" c:formatCode="@">
                  <c:v>4000</c:v>
                </c:pt>
                <c:pt idx="37" c:formatCode="@">
                  <c:v>4000</c:v>
                </c:pt>
                <c:pt idx="38" c:formatCode="@">
                  <c:v>4000</c:v>
                </c:pt>
                <c:pt idx="39" c:formatCode="@">
                  <c:v>4000</c:v>
                </c:pt>
                <c:pt idx="40" c:formatCode="@">
                  <c:v>4000</c:v>
                </c:pt>
                <c:pt idx="41" c:formatCode="@">
                  <c:v>4000</c:v>
                </c:pt>
                <c:pt idx="42" c:formatCode="@">
                  <c:v>4000</c:v>
                </c:pt>
                <c:pt idx="43" c:formatCode="@">
                  <c:v>4000</c:v>
                </c:pt>
                <c:pt idx="44" c:formatCode="@">
                  <c:v>4000</c:v>
                </c:pt>
                <c:pt idx="45" c:formatCode="@">
                  <c:v>4000</c:v>
                </c:pt>
                <c:pt idx="46" c:formatCode="@">
                  <c:v>4000</c:v>
                </c:pt>
                <c:pt idx="47" c:formatCode="@">
                  <c:v>4000</c:v>
                </c:pt>
                <c:pt idx="48" c:formatCode="@">
                  <c:v>4000</c:v>
                </c:pt>
                <c:pt idx="49" c:formatCode="@">
                  <c:v>4000</c:v>
                </c:pt>
                <c:pt idx="50" c:formatCode="@">
                  <c:v>4000</c:v>
                </c:pt>
                <c:pt idx="51" c:formatCode="@">
                  <c:v>4000</c:v>
                </c:pt>
                <c:pt idx="52" c:formatCode="@">
                  <c:v>4000</c:v>
                </c:pt>
                <c:pt idx="53" c:formatCode="@">
                  <c:v>4000</c:v>
                </c:pt>
                <c:pt idx="54" c:formatCode="@">
                  <c:v>4000</c:v>
                </c:pt>
                <c:pt idx="55" c:formatCode="@">
                  <c:v>4000</c:v>
                </c:pt>
                <c:pt idx="56" c:formatCode="@">
                  <c:v>4000</c:v>
                </c:pt>
                <c:pt idx="57" c:formatCode="@">
                  <c:v>4000</c:v>
                </c:pt>
                <c:pt idx="58" c:formatCode="@">
                  <c:v>4000</c:v>
                </c:pt>
                <c:pt idx="59" c:formatCode="@">
                  <c:v>4000</c:v>
                </c:pt>
                <c:pt idx="60" c:formatCode="@">
                  <c:v>4000</c:v>
                </c:pt>
                <c:pt idx="61" c:formatCode="@">
                  <c:v>4000</c:v>
                </c:pt>
                <c:pt idx="62" c:formatCode="@">
                  <c:v>4000</c:v>
                </c:pt>
                <c:pt idx="63" c:formatCode="@">
                  <c:v>4000</c:v>
                </c:pt>
                <c:pt idx="64" c:formatCode="@">
                  <c:v>4000</c:v>
                </c:pt>
                <c:pt idx="65" c:formatCode="@">
                  <c:v>4000</c:v>
                </c:pt>
                <c:pt idx="66" c:formatCode="@">
                  <c:v>4000</c:v>
                </c:pt>
                <c:pt idx="67" c:formatCode="@">
                  <c:v>4000</c:v>
                </c:pt>
                <c:pt idx="68" c:formatCode="@">
                  <c:v>4000</c:v>
                </c:pt>
                <c:pt idx="69" c:formatCode="@">
                  <c:v>4000</c:v>
                </c:pt>
                <c:pt idx="70" c:formatCode="@">
                  <c:v>4000</c:v>
                </c:pt>
                <c:pt idx="71">
                  <c:v>4000</c:v>
                </c:pt>
                <c:pt idx="72">
                  <c:v>4000</c:v>
                </c:pt>
                <c:pt idx="73">
                  <c:v>4000</c:v>
                </c:pt>
                <c:pt idx="74">
                  <c:v>4000</c:v>
                </c:pt>
                <c:pt idx="75">
                  <c:v>4000</c:v>
                </c:pt>
                <c:pt idx="76">
                  <c:v>4000</c:v>
                </c:pt>
                <c:pt idx="77">
                  <c:v>4000</c:v>
                </c:pt>
                <c:pt idx="78">
                  <c:v>4000</c:v>
                </c:pt>
                <c:pt idx="79">
                  <c:v>4000</c:v>
                </c:pt>
                <c:pt idx="80">
                  <c:v>4000</c:v>
                </c:pt>
                <c:pt idx="81">
                  <c:v>4000</c:v>
                </c:pt>
                <c:pt idx="82">
                  <c:v>4000</c:v>
                </c:pt>
                <c:pt idx="83">
                  <c:v>4000</c:v>
                </c:pt>
                <c:pt idx="84">
                  <c:v>4000</c:v>
                </c:pt>
                <c:pt idx="85">
                  <c:v>4000</c:v>
                </c:pt>
                <c:pt idx="86">
                  <c:v>4000</c:v>
                </c:pt>
                <c:pt idx="87">
                  <c:v>4000</c:v>
                </c:pt>
                <c:pt idx="88">
                  <c:v>4000</c:v>
                </c:pt>
                <c:pt idx="89">
                  <c:v>4000</c:v>
                </c:pt>
                <c:pt idx="90">
                  <c:v>4000</c:v>
                </c:pt>
                <c:pt idx="91">
                  <c:v>4000</c:v>
                </c:pt>
                <c:pt idx="92">
                  <c:v>4000</c:v>
                </c:pt>
                <c:pt idx="93">
                  <c:v>4000</c:v>
                </c:pt>
                <c:pt idx="94">
                  <c:v>4000</c:v>
                </c:pt>
                <c:pt idx="95">
                  <c:v>4000</c:v>
                </c:pt>
                <c:pt idx="96">
                  <c:v>4000</c:v>
                </c:pt>
                <c:pt idx="97">
                  <c:v>4000</c:v>
                </c:pt>
                <c:pt idx="98">
                  <c:v>4000</c:v>
                </c:pt>
                <c:pt idx="99">
                  <c:v>4000</c:v>
                </c:pt>
                <c:pt idx="100">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numCache>
            </c:numRef>
          </c:val>
          <c:smooth val="0"/>
        </c:ser>
        <c:dLbls>
          <c:showLegendKey val="0"/>
          <c:showVal val="0"/>
          <c:showCatName val="0"/>
          <c:showSerName val="0"/>
          <c:showPercent val="0"/>
          <c:showBubbleSize val="0"/>
        </c:dLbls>
        <c:marker val="0"/>
        <c:smooth val="0"/>
        <c:axId val="744405098"/>
        <c:axId val="245932402"/>
      </c:lineChart>
      <c:dateAx>
        <c:axId val="744405098"/>
        <c:scaling>
          <c:orientation val="minMax"/>
          <c:max val="43308"/>
          <c:min val="42943"/>
        </c:scaling>
        <c:delete val="0"/>
        <c:axPos val="b"/>
        <c:title>
          <c:tx>
            <c:rich>
              <a:bodyPr rot="0" spcFirstLastPara="0" vertOverflow="ellipsis" vert="horz" wrap="square" anchor="ctr" anchorCtr="1"/>
              <a:lstStyle/>
              <a:p>
                <a:pPr defTabSz="914400">
                  <a:defRPr lang="zh-CN" sz="11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000" b="0" i="0" u="none" strike="noStrike" baseline="0">
                    <a:solidFill>
                      <a:srgbClr val="000000"/>
                    </a:solidFill>
                    <a:latin typeface="宋体" panose="02010600030101010101" charset="-122"/>
                    <a:ea typeface="宋体" panose="02010600030101010101" charset="-122"/>
                    <a:cs typeface="宋体" panose="02010600030101010101" charset="-122"/>
                  </a:rPr>
                  <a:t>元/吨</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314024540035944"/>
              <c:y val="0.0750266572680796"/>
            </c:manualLayout>
          </c:layout>
          <c:overlay val="0"/>
        </c:title>
        <c:numFmt formatCode="yyyy/m/d;@" sourceLinked="0"/>
        <c:majorTickMark val="in"/>
        <c:minorTickMark val="none"/>
        <c:tickLblPos val="nextTo"/>
        <c:spPr>
          <a:ln w="3175" cap="flat" cmpd="sng" algn="ctr">
            <a:solidFill>
              <a:srgbClr val="000000">
                <a:alpha val="100000"/>
              </a:srgbClr>
            </a:solidFill>
            <a:prstDash val="solid"/>
            <a:round/>
          </a:ln>
        </c:spPr>
        <c:txPr>
          <a:bodyPr rot="-540000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245932402"/>
        <c:crossesAt val="2000"/>
        <c:auto val="1"/>
        <c:lblOffset val="100"/>
        <c:baseTimeUnit val="days"/>
        <c:majorUnit val="1"/>
        <c:majorTimeUnit val="months"/>
        <c:minorUnit val="1"/>
        <c:minorTimeUnit val="months"/>
      </c:dateAx>
      <c:valAx>
        <c:axId val="245932402"/>
        <c:scaling>
          <c:orientation val="minMax"/>
          <c:max val="7000"/>
          <c:min val="2000"/>
        </c:scaling>
        <c:delete val="0"/>
        <c:axPos val="l"/>
        <c:majorGridlines>
          <c:spPr>
            <a:ln w="3175" cap="flat" cmpd="sng" algn="ctr">
              <a:solidFill>
                <a:srgbClr val="000000">
                  <a:alpha val="100000"/>
                </a:srgbClr>
              </a:solidFill>
              <a:prstDash val="solid"/>
              <a:round/>
            </a:ln>
          </c:spPr>
        </c:majorGridlines>
        <c:numFmt formatCode="@"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744405098"/>
        <c:crossesAt val="42241"/>
        <c:crossBetween val="between"/>
        <c:majorUnit val="500"/>
        <c:minorUnit val="100"/>
      </c:valAx>
      <c:spPr>
        <a:solidFill>
          <a:srgbClr val="FFFFFF">
            <a:alpha val="100000"/>
          </a:srgbClr>
        </a:solidFill>
        <a:ln w="3175">
          <a:noFill/>
        </a:ln>
      </c:spPr>
    </c:plotArea>
    <c:legend>
      <c:legendPos val="r"/>
      <c:layout>
        <c:manualLayout>
          <c:xMode val="edge"/>
          <c:yMode val="edge"/>
          <c:x val="0.0719999655215512"/>
          <c:y val="0.867679191107823"/>
          <c:w val="0.85175"/>
          <c:h val="0.087"/>
        </c:manualLayout>
      </c:layout>
      <c:overlay val="0"/>
      <c:spPr>
        <a:solidFill>
          <a:srgbClr val="FFFFFF">
            <a:alpha val="100000"/>
          </a:srgbClr>
        </a:solidFill>
        <a:ln w="3175">
          <a:noFill/>
        </a:ln>
      </c:spPr>
      <c:txPr>
        <a:bodyPr rot="0" spcFirstLastPara="0" vertOverflow="ellipsis" vert="horz" wrap="square" anchor="ctr" anchorCtr="1"/>
        <a:lstStyle/>
        <a:p>
          <a:pPr>
            <a:defRPr lang="zh-CN" sz="7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EF522-4F2A-46DF-8F19-079103E00AD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3995</Words>
  <Characters>22778</Characters>
  <Lines>189</Lines>
  <Paragraphs>53</Paragraphs>
  <TotalTime>7</TotalTime>
  <ScaleCrop>false</ScaleCrop>
  <LinksUpToDate>false</LinksUpToDate>
  <CharactersWithSpaces>26720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2018-03-02T07:41:00Z</dcterms:created>
  <dc:creator>AutoBVT</dc:creator>
  <cp:lastModifiedBy>梦蝶</cp:lastModifiedBy>
  <dcterms:modified xsi:type="dcterms:W3CDTF">2018-07-27T04:45:19Z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