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6"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pPr>
        <w:outlineLvl w:val="0"/>
        <w:rPr>
          <w:b/>
          <w:sz w:val="32"/>
          <w:szCs w:val="32"/>
        </w:rPr>
      </w:pPr>
      <w: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7429500</wp:posOffset>
                </wp:positionV>
                <wp:extent cx="5322570" cy="1405890"/>
                <wp:effectExtent l="0" t="0" r="0" b="0"/>
                <wp:wrapNone/>
                <wp:docPr id="4" name="文本框 2"/>
                <wp:cNvGraphicFramePr/>
                <a:graphic xmlns:a="http://schemas.openxmlformats.org/drawingml/2006/main">
                  <a:graphicData uri="http://schemas.microsoft.com/office/word/2010/wordprocessingShape">
                    <wps:wsp>
                      <wps:cNvSpPr txBox="1"/>
                      <wps:spPr>
                        <a:xfrm>
                          <a:off x="0" y="0"/>
                          <a:ext cx="5322570" cy="1405890"/>
                        </a:xfrm>
                        <a:prstGeom prst="rect">
                          <a:avLst/>
                        </a:prstGeom>
                        <a:noFill/>
                        <a:ln w="9525">
                          <a:noFill/>
                        </a:ln>
                        <a:effectLst/>
                      </wps:spPr>
                      <wps:txb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2"/>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wps:txbx>
                      <wps:bodyPr upright="1"/>
                    </wps:wsp>
                  </a:graphicData>
                </a:graphic>
              </wp:anchor>
            </w:drawing>
          </mc:Choice>
          <mc:Fallback>
            <w:pict>
              <v:shape id="文本框 2" o:spid="_x0000_s1026" o:spt="202" type="#_x0000_t202" style="position:absolute;left:0pt;margin-left:36.75pt;margin-top:585pt;height:110.7pt;width:419.1pt;z-index:251657216;mso-width-relative:page;mso-height-relative:page;" filled="f" stroked="f" coordsize="21600,21600"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v:fill on="f" focussize="0,0"/>
                <v:stroke on="f"/>
                <v:imagedata o:title=""/>
                <o:lock v:ext="edit" aspectratio="f"/>
                <v:textbo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2"/>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2228215</wp:posOffset>
                </wp:positionH>
                <wp:positionV relativeFrom="paragraph">
                  <wp:posOffset>6231890</wp:posOffset>
                </wp:positionV>
                <wp:extent cx="1607820" cy="68707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607820" cy="687070"/>
                        </a:xfrm>
                        <a:prstGeom prst="rect">
                          <a:avLst/>
                        </a:prstGeom>
                        <a:noFill/>
                        <a:ln w="9525">
                          <a:noFill/>
                        </a:ln>
                        <a:effectLst/>
                      </wps:spPr>
                      <wps:txbx>
                        <w:txbxContent>
                          <w:p>
                            <w:pPr>
                              <w:pStyle w:val="2"/>
                              <w:jc w:val="center"/>
                              <w:rPr>
                                <w:rFonts w:hint="eastAsia" w:eastAsia="黑体"/>
                                <w:kern w:val="2"/>
                                <w:lang w:val="en-US" w:eastAsia="zh-CN"/>
                              </w:rPr>
                            </w:pPr>
                            <w:bookmarkStart w:id="78" w:name="_Toc485828984"/>
                            <w:bookmarkStart w:id="79" w:name="_Toc505349996"/>
                            <w:r>
                              <w:rPr>
                                <w:rFonts w:hint="eastAsia"/>
                                <w:kern w:val="2"/>
                              </w:rPr>
                              <w:t>2018.</w:t>
                            </w:r>
                            <w:bookmarkEnd w:id="78"/>
                            <w:bookmarkEnd w:id="79"/>
                            <w:r>
                              <w:rPr>
                                <w:rFonts w:hint="eastAsia"/>
                                <w:kern w:val="2"/>
                                <w:lang w:val="en-US" w:eastAsia="zh-CN"/>
                              </w:rPr>
                              <w:t>6.1</w:t>
                            </w:r>
                          </w:p>
                          <w:p/>
                        </w:txbxContent>
                      </wps:txbx>
                      <wps:bodyPr upright="1"/>
                    </wps:wsp>
                  </a:graphicData>
                </a:graphic>
              </wp:anchor>
            </w:drawing>
          </mc:Choice>
          <mc:Fallback>
            <w:pict>
              <v:shape id="文本框 3" o:spid="_x0000_s1026" o:spt="202" type="#_x0000_t202" style="position:absolute;left:0pt;margin-left:175.45pt;margin-top:490.7pt;height:54.1pt;width:126.6pt;z-index:251658240;mso-width-relative:page;mso-height-relative:page;" filled="f" stroked="f" coordsize="21600,2160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FTbF9gAAAAMAQAADwAAAAAAAAAB&#10;ACAAAAAiAAAAZHJzL2Rvd25yZXYueG1sUEsBAhQAFAAAAAgAh07iQDEF1GWeAQAAFwMAAA4AAAAA&#10;AAAAAQAgAAAAJwEAAGRycy9lMm9Eb2MueG1sUEsFBgAAAAAGAAYAWQEAADcFAAAAAA==&#10;">
                <v:fill on="f" focussize="0,0"/>
                <v:stroke on="f"/>
                <v:imagedata o:title=""/>
                <o:lock v:ext="edit" aspectratio="f"/>
                <v:textbox>
                  <w:txbxContent>
                    <w:p>
                      <w:pPr>
                        <w:pStyle w:val="2"/>
                        <w:jc w:val="center"/>
                        <w:rPr>
                          <w:rFonts w:hint="eastAsia" w:eastAsia="黑体"/>
                          <w:kern w:val="2"/>
                          <w:lang w:val="en-US" w:eastAsia="zh-CN"/>
                        </w:rPr>
                      </w:pPr>
                      <w:bookmarkStart w:id="78" w:name="_Toc485828984"/>
                      <w:bookmarkStart w:id="79" w:name="_Toc505349996"/>
                      <w:r>
                        <w:rPr>
                          <w:rFonts w:hint="eastAsia"/>
                          <w:kern w:val="2"/>
                        </w:rPr>
                        <w:t>2018.</w:t>
                      </w:r>
                      <w:bookmarkEnd w:id="78"/>
                      <w:bookmarkEnd w:id="79"/>
                      <w:r>
                        <w:rPr>
                          <w:rFonts w:hint="eastAsia"/>
                          <w:kern w:val="2"/>
                          <w:lang w:val="en-US" w:eastAsia="zh-CN"/>
                        </w:rPr>
                        <w:t>6.1</w:t>
                      </w:r>
                    </w:p>
                    <w:p/>
                  </w:txbxContent>
                </v:textbox>
              </v:shape>
            </w:pict>
          </mc:Fallback>
        </mc:AlternateContent>
      </w:r>
      <w:r>
        <w:br w:type="page"/>
      </w:r>
      <w:bookmarkStart w:id="0" w:name="_Toc485828985"/>
      <w:r>
        <w:rPr>
          <w:b/>
          <w:sz w:val="32"/>
          <w:szCs w:val="4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440690</wp:posOffset>
                </wp:positionV>
                <wp:extent cx="6212205" cy="8162290"/>
                <wp:effectExtent l="0" t="0" r="0" b="0"/>
                <wp:wrapNone/>
                <wp:docPr id="6" name="文本框 4"/>
                <wp:cNvGraphicFramePr/>
                <a:graphic xmlns:a="http://schemas.openxmlformats.org/drawingml/2006/main">
                  <a:graphicData uri="http://schemas.microsoft.com/office/word/2010/wordprocessingShape">
                    <wps:wsp>
                      <wps:cNvSpPr txBox="1"/>
                      <wps:spPr>
                        <a:xfrm>
                          <a:off x="0" y="0"/>
                          <a:ext cx="6212205" cy="8162290"/>
                        </a:xfrm>
                        <a:prstGeom prst="rect">
                          <a:avLst/>
                        </a:prstGeom>
                        <a:noFill/>
                        <a:ln w="9525">
                          <a:noFill/>
                        </a:ln>
                        <a:effectLst/>
                      </wps:spPr>
                      <wps:txbx>
                        <w:txbxContent>
                          <w:p>
                            <w:pPr>
                              <w:pStyle w:val="55"/>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w:t>
                            </w:r>
                            <w:r>
                              <w:rPr>
                                <w:rStyle w:val="24"/>
                                <w:rFonts w:hint="eastAsia" w:cs="Arial"/>
                                <w:bCs/>
                                <w:kern w:val="0"/>
                                <w:lang w:val="en-US" w:eastAsia="zh-CN"/>
                              </w:rPr>
                              <w:t>8</w:t>
                            </w:r>
                            <w:r>
                              <w:rPr>
                                <w:rStyle w:val="24"/>
                                <w:rFonts w:hint="eastAsia" w:cs="Arial"/>
                                <w:bCs/>
                                <w:kern w:val="0"/>
                              </w:rPr>
                              <w:t>年</w:t>
                            </w:r>
                            <w:r>
                              <w:rPr>
                                <w:rStyle w:val="24"/>
                                <w:rFonts w:hint="eastAsia" w:cs="Arial"/>
                                <w:bCs/>
                                <w:kern w:val="0"/>
                                <w:lang w:val="en-US" w:eastAsia="zh-CN"/>
                              </w:rPr>
                              <w:t>3</w:t>
                            </w:r>
                            <w:r>
                              <w:rPr>
                                <w:rStyle w:val="24"/>
                                <w:rFonts w:hint="eastAsia" w:cs="Arial"/>
                                <w:bCs/>
                                <w:kern w:val="0"/>
                              </w:rPr>
                              <w:t>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ind w:firstLine="241" w:firstLineChars="100"/>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lang w:val="en-US" w:eastAsia="zh-CN"/>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w:t>
                            </w:r>
                            <w:r>
                              <w:rPr>
                                <w:rStyle w:val="24"/>
                                <w:rFonts w:hint="eastAsia" w:ascii="黑体"/>
                                <w:lang w:val="en-US" w:eastAsia="zh-CN"/>
                              </w:rPr>
                              <w:t>8</w:t>
                            </w:r>
                            <w:r>
                              <w:rPr>
                                <w:rStyle w:val="24"/>
                                <w:rFonts w:hint="eastAsia" w:ascii="黑体"/>
                              </w:rPr>
                              <w:t>年</w:t>
                            </w:r>
                            <w:r>
                              <w:rPr>
                                <w:rStyle w:val="24"/>
                                <w:rFonts w:hint="eastAsia" w:ascii="黑体"/>
                                <w:lang w:val="en-US" w:eastAsia="zh-CN"/>
                              </w:rPr>
                              <w:t>3</w:t>
                            </w:r>
                            <w:r>
                              <w:rPr>
                                <w:rStyle w:val="24"/>
                                <w:rFonts w:hint="eastAsia" w:ascii="黑体"/>
                              </w:rPr>
                              <w:t>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wps:txbx>
                      <wps:bodyPr upright="1"/>
                    </wps:wsp>
                  </a:graphicData>
                </a:graphic>
              </wp:anchor>
            </w:drawing>
          </mc:Choice>
          <mc:Fallback>
            <w:pict>
              <v:shape id="文本框 4" o:spid="_x0000_s1026" o:spt="202" type="#_x0000_t202" style="position:absolute;left:0pt;margin-left:-0.9pt;margin-top:34.7pt;height:642.7pt;width:489.15pt;z-index:251659264;mso-width-relative:page;mso-height-relative:page;" filled="f" stroked="f" coordsize="21600,21600"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gbKUrYAAAACgEAAA8AAAAAAAAA&#10;AQAgAAAAIgAAAGRycy9kb3ducmV2LnhtbFBLAQIUABQAAAAIAIdO4kD5X7+InwEAABgDAAAOAAAA&#10;AAAAAAEAIAAAACcBAABkcnMvZTJvRG9jLnhtbFBLBQYAAAAABgAGAFkBAAA4BQAAAAA=&#10;">
                <v:fill on="f" focussize="0,0"/>
                <v:stroke on="f"/>
                <v:imagedata o:title=""/>
                <o:lock v:ext="edit" aspectratio="f"/>
                <v:textbox>
                  <w:txbxContent>
                    <w:p>
                      <w:pPr>
                        <w:pStyle w:val="55"/>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w:t>
                      </w:r>
                      <w:r>
                        <w:rPr>
                          <w:rStyle w:val="24"/>
                          <w:rFonts w:hint="eastAsia" w:cs="Arial"/>
                          <w:bCs/>
                          <w:kern w:val="0"/>
                          <w:lang w:val="en-US" w:eastAsia="zh-CN"/>
                        </w:rPr>
                        <w:t>8</w:t>
                      </w:r>
                      <w:r>
                        <w:rPr>
                          <w:rStyle w:val="24"/>
                          <w:rFonts w:hint="eastAsia" w:cs="Arial"/>
                          <w:bCs/>
                          <w:kern w:val="0"/>
                        </w:rPr>
                        <w:t>年</w:t>
                      </w:r>
                      <w:r>
                        <w:rPr>
                          <w:rStyle w:val="24"/>
                          <w:rFonts w:hint="eastAsia" w:cs="Arial"/>
                          <w:bCs/>
                          <w:kern w:val="0"/>
                          <w:lang w:val="en-US" w:eastAsia="zh-CN"/>
                        </w:rPr>
                        <w:t>3</w:t>
                      </w:r>
                      <w:r>
                        <w:rPr>
                          <w:rStyle w:val="24"/>
                          <w:rFonts w:hint="eastAsia" w:cs="Arial"/>
                          <w:bCs/>
                          <w:kern w:val="0"/>
                        </w:rPr>
                        <w:t>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ind w:firstLine="241" w:firstLineChars="100"/>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lang w:val="en-US" w:eastAsia="zh-CN"/>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w:t>
                      </w:r>
                      <w:r>
                        <w:rPr>
                          <w:rStyle w:val="24"/>
                          <w:rFonts w:hint="eastAsia" w:ascii="黑体"/>
                          <w:lang w:val="en-US" w:eastAsia="zh-CN"/>
                        </w:rPr>
                        <w:t>8</w:t>
                      </w:r>
                      <w:r>
                        <w:rPr>
                          <w:rStyle w:val="24"/>
                          <w:rFonts w:hint="eastAsia" w:ascii="黑体"/>
                        </w:rPr>
                        <w:t>年</w:t>
                      </w:r>
                      <w:r>
                        <w:rPr>
                          <w:rStyle w:val="24"/>
                          <w:rFonts w:hint="eastAsia" w:ascii="黑体"/>
                          <w:lang w:val="en-US" w:eastAsia="zh-CN"/>
                        </w:rPr>
                        <w:t>3</w:t>
                      </w:r>
                      <w:r>
                        <w:rPr>
                          <w:rStyle w:val="24"/>
                          <w:rFonts w:hint="eastAsia" w:ascii="黑体"/>
                        </w:rPr>
                        <w:t>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v:textbox>
              </v:shape>
            </w:pict>
          </mc:Fallback>
        </mc:AlternateContent>
      </w:r>
      <w:r>
        <w:br w:type="page"/>
      </w:r>
      <w:bookmarkEnd w:id="0"/>
      <w:bookmarkStart w:id="1" w:name="_Toc460250399"/>
      <w:bookmarkStart w:id="2" w:name="_Toc505349997"/>
      <w:r>
        <w:rPr>
          <w:rFonts w:hint="eastAsia" w:ascii="黑体" w:hAnsi="宋体"/>
          <w:b/>
          <w:sz w:val="32"/>
          <w:szCs w:val="32"/>
        </w:rPr>
        <w:t>一、国际原油</w:t>
      </w:r>
      <w:bookmarkEnd w:id="1"/>
      <w:bookmarkEnd w:id="2"/>
    </w:p>
    <w:p>
      <w:pPr>
        <w:outlineLvl w:val="1"/>
        <w:rPr>
          <w:b/>
          <w:sz w:val="32"/>
          <w:szCs w:val="32"/>
        </w:rPr>
      </w:pPr>
      <w:bookmarkStart w:id="3" w:name="_Toc505349998"/>
      <w:r>
        <w:rPr>
          <w:rFonts w:hint="eastAsia" w:ascii="黑体" w:hAnsi="宋体" w:eastAsia="黑体" w:cs="Arial"/>
          <w:b/>
          <w:bCs/>
          <w:kern w:val="0"/>
          <w:sz w:val="30"/>
          <w:szCs w:val="30"/>
        </w:rPr>
        <w:t>（一）、国际原油市场回顾</w:t>
      </w:r>
      <w:bookmarkEnd w:id="3"/>
    </w:p>
    <w:p>
      <w:pPr>
        <w:pStyle w:val="3"/>
        <w:spacing w:line="240" w:lineRule="auto"/>
        <w:ind w:firstLine="298" w:firstLineChars="99"/>
        <w:rPr>
          <w:rFonts w:hint="eastAsia" w:ascii="黑体" w:hAnsi="宋体" w:eastAsia="黑体" w:cs="Arial"/>
          <w:b w:val="0"/>
          <w:kern w:val="0"/>
          <w:sz w:val="30"/>
          <w:szCs w:val="30"/>
        </w:rPr>
      </w:pPr>
      <w:bookmarkStart w:id="4" w:name="_Toc281568195"/>
      <w:bookmarkStart w:id="5" w:name="_Toc296600805"/>
      <w:bookmarkStart w:id="6" w:name="_Toc460250400"/>
      <w:bookmarkStart w:id="7" w:name="_Toc505349999"/>
      <w:r>
        <w:rPr>
          <w:rFonts w:hint="eastAsia" w:ascii="黑体" w:hAnsi="宋体" w:eastAsia="黑体"/>
          <w:kern w:val="0"/>
          <w:sz w:val="30"/>
          <w:szCs w:val="30"/>
        </w:rPr>
        <w:t xml:space="preserve">1. 1  </w:t>
      </w:r>
      <w:bookmarkEnd w:id="4"/>
      <w:bookmarkEnd w:id="5"/>
      <w:bookmarkEnd w:id="6"/>
      <w:r>
        <w:rPr>
          <w:rFonts w:hint="eastAsia" w:ascii="黑体" w:hAnsi="宋体" w:eastAsia="黑体" w:cs="Arial"/>
          <w:b w:val="0"/>
          <w:kern w:val="0"/>
          <w:sz w:val="30"/>
          <w:szCs w:val="30"/>
        </w:rPr>
        <w:t>国际原油收盘价涨跌情况（单位：美元/桶）</w:t>
      </w:r>
      <w:bookmarkEnd w:id="7"/>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21"/>
        <w:gridCol w:w="922"/>
        <w:gridCol w:w="923"/>
        <w:gridCol w:w="6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21"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日期</w:t>
            </w:r>
          </w:p>
        </w:tc>
        <w:tc>
          <w:tcPr>
            <w:tcW w:w="92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纽交所</w:t>
            </w:r>
          </w:p>
        </w:tc>
        <w:tc>
          <w:tcPr>
            <w:tcW w:w="92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伦交所</w:t>
            </w:r>
          </w:p>
        </w:tc>
        <w:tc>
          <w:tcPr>
            <w:tcW w:w="661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影响因素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21"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2018-5-30</w:t>
            </w:r>
          </w:p>
        </w:tc>
        <w:tc>
          <w:tcPr>
            <w:tcW w:w="922" w:type="dxa"/>
            <w:tcBorders>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68.21</w:t>
            </w:r>
          </w:p>
        </w:tc>
        <w:tc>
          <w:tcPr>
            <w:tcW w:w="923" w:type="dxa"/>
            <w:tcBorders>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77.5</w:t>
            </w:r>
          </w:p>
        </w:tc>
        <w:tc>
          <w:tcPr>
            <w:tcW w:w="6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当天，美元走弱提高了以美元计价的石油的投资吸引力。此外，市场也在密切关注美国能源信息局将于31日公布的全国商业原油库存数据。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21"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2018-5-29</w:t>
            </w:r>
          </w:p>
        </w:tc>
        <w:tc>
          <w:tcPr>
            <w:tcW w:w="922" w:type="dxa"/>
            <w:tcBorders>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66.73</w:t>
            </w:r>
          </w:p>
        </w:tc>
        <w:tc>
          <w:tcPr>
            <w:tcW w:w="923" w:type="dxa"/>
            <w:tcBorders>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75.39</w:t>
            </w:r>
          </w:p>
        </w:tc>
        <w:tc>
          <w:tcPr>
            <w:tcW w:w="6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沙特阿拉伯和俄罗斯在讨论将原油日产量提高100万桶的可行性。此外，当天美元进一步走强也降低了以美元计价的石油的投资吸引力。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21"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2018-5-28</w:t>
            </w:r>
          </w:p>
        </w:tc>
        <w:tc>
          <w:tcPr>
            <w:tcW w:w="922" w:type="dxa"/>
            <w:tcBorders>
              <w:bottom w:val="single" w:color="000000" w:sz="4" w:space="0"/>
              <w:right w:val="single" w:color="000000" w:sz="4" w:space="0"/>
            </w:tcBorders>
            <w:vAlign w:val="bottom"/>
          </w:tcPr>
          <w:p>
            <w:pPr>
              <w:jc w:val="center"/>
              <w:rPr>
                <w:rFonts w:hint="eastAsia" w:ascii="华文仿宋" w:hAnsi="华文仿宋" w:eastAsia="华文仿宋" w:cs="华文仿宋"/>
                <w:i w:val="0"/>
                <w:color w:val="000000"/>
                <w:sz w:val="28"/>
                <w:szCs w:val="28"/>
                <w:u w:val="none"/>
              </w:rPr>
            </w:pPr>
          </w:p>
        </w:tc>
        <w:tc>
          <w:tcPr>
            <w:tcW w:w="923" w:type="dxa"/>
            <w:tcBorders>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75.3</w:t>
            </w:r>
          </w:p>
        </w:tc>
        <w:tc>
          <w:tcPr>
            <w:tcW w:w="6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周一是美国阵亡将士纪念日，美股和美国其他的金融市场均休市一天。在国际油价方面，俄罗斯和石油输出国组织（OPEC）潜在的增产计划继续令油价承压。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21"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2018-5-25</w:t>
            </w:r>
          </w:p>
        </w:tc>
        <w:tc>
          <w:tcPr>
            <w:tcW w:w="922" w:type="dxa"/>
            <w:tcBorders>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67.88</w:t>
            </w:r>
          </w:p>
        </w:tc>
        <w:tc>
          <w:tcPr>
            <w:tcW w:w="923" w:type="dxa"/>
            <w:tcBorders>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76.44</w:t>
            </w:r>
          </w:p>
        </w:tc>
        <w:tc>
          <w:tcPr>
            <w:tcW w:w="6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石油输出国组织可能在６月份决定提高原油产量的消息令油价承压。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21"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2018-5-24</w:t>
            </w:r>
          </w:p>
        </w:tc>
        <w:tc>
          <w:tcPr>
            <w:tcW w:w="922" w:type="dxa"/>
            <w:tcBorders>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70.71</w:t>
            </w:r>
          </w:p>
        </w:tc>
        <w:tc>
          <w:tcPr>
            <w:tcW w:w="923" w:type="dxa"/>
            <w:tcBorders>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78.79</w:t>
            </w:r>
          </w:p>
        </w:tc>
        <w:tc>
          <w:tcPr>
            <w:tcW w:w="66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有报道说，石油输出国组织可能在６月份决定提高原油产量。这一消息当天令国际油价承压下行。</w:t>
            </w:r>
          </w:p>
        </w:tc>
      </w:tr>
    </w:tbl>
    <w:p/>
    <w:p>
      <w:pPr>
        <w:ind w:firstLine="400" w:firstLineChars="200"/>
        <w:rPr>
          <w:rFonts w:ascii="宋体" w:hAnsi="宋体" w:cs="宋体"/>
          <w:kern w:val="0"/>
          <w:sz w:val="20"/>
          <w:szCs w:val="20"/>
        </w:rPr>
      </w:pPr>
      <w:r>
        <w:rPr>
          <w:rFonts w:hint="eastAsia" w:ascii="宋体" w:hAnsi="宋体" w:cs="宋体"/>
          <w:kern w:val="0"/>
          <w:sz w:val="20"/>
          <w:szCs w:val="20"/>
        </w:rPr>
        <w:t>单位：美元/桶</w:t>
      </w:r>
    </w:p>
    <w:p>
      <w:pPr>
        <w:rPr>
          <w:rFonts w:ascii="宋体" w:hAnsi="宋体" w:cs="宋体"/>
          <w:kern w:val="0"/>
          <w:sz w:val="20"/>
          <w:szCs w:val="20"/>
        </w:rPr>
      </w:pPr>
    </w:p>
    <w:p>
      <w:pPr>
        <w:spacing w:line="360" w:lineRule="auto"/>
        <w:ind w:firstLine="300" w:firstLineChars="100"/>
        <w:outlineLvl w:val="1"/>
        <w:rPr>
          <w:rFonts w:ascii="黑体" w:eastAsia="黑体"/>
          <w:sz w:val="30"/>
          <w:szCs w:val="30"/>
        </w:rPr>
      </w:pPr>
      <w:bookmarkStart w:id="8" w:name="_Toc505350000"/>
      <w:r>
        <w:rPr>
          <w:rFonts w:hint="eastAsia" w:ascii="黑体" w:eastAsia="黑体"/>
          <w:sz w:val="30"/>
          <w:szCs w:val="30"/>
        </w:rPr>
        <w:t>1. 2  国际原油市场价格走势图</w:t>
      </w:r>
      <w:bookmarkEnd w:id="8"/>
    </w:p>
    <w:p>
      <w:pPr>
        <w:spacing w:line="360" w:lineRule="auto"/>
        <w:jc w:val="center"/>
        <w:rPr>
          <w:sz w:val="20"/>
          <w:szCs w:val="20"/>
        </w:rPr>
      </w:pPr>
    </w:p>
    <w:p>
      <w:pPr>
        <w:spacing w:line="360" w:lineRule="auto"/>
        <w:rPr>
          <w:sz w:val="20"/>
          <w:szCs w:val="20"/>
        </w:rPr>
      </w:pPr>
      <w:r>
        <w:drawing>
          <wp:inline distT="0" distB="0" distL="114300" distR="114300">
            <wp:extent cx="6075680" cy="4267835"/>
            <wp:effectExtent l="0" t="0" r="1270"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6075680" cy="4267835"/>
                    </a:xfrm>
                    <a:prstGeom prst="rect">
                      <a:avLst/>
                    </a:prstGeom>
                    <a:noFill/>
                    <a:ln w="9525">
                      <a:noFill/>
                    </a:ln>
                  </pic:spPr>
                </pic:pic>
              </a:graphicData>
            </a:graphic>
          </wp:inline>
        </w:drawing>
      </w:r>
    </w:p>
    <w:p>
      <w:pPr>
        <w:numPr>
          <w:ilvl w:val="0"/>
          <w:numId w:val="1"/>
        </w:numPr>
        <w:ind w:firstLine="298" w:firstLineChars="99"/>
        <w:outlineLvl w:val="1"/>
        <w:rPr>
          <w:rFonts w:ascii="黑体" w:hAnsi="宋体" w:eastAsia="黑体"/>
          <w:b/>
          <w:sz w:val="30"/>
          <w:szCs w:val="30"/>
        </w:rPr>
      </w:pPr>
      <w:bookmarkStart w:id="9" w:name="_Toc460250402"/>
      <w:bookmarkStart w:id="10" w:name="_Toc505350001"/>
      <w:bookmarkStart w:id="11" w:name="_Toc281568199"/>
      <w:bookmarkStart w:id="12" w:name="_Toc296600809"/>
      <w:bookmarkStart w:id="13" w:name="_Toc158203127"/>
      <w:bookmarkStart w:id="14" w:name="_Toc239847712"/>
      <w:r>
        <w:rPr>
          <w:rFonts w:hint="eastAsia" w:ascii="黑体" w:hAnsi="宋体" w:eastAsia="黑体"/>
          <w:b/>
          <w:sz w:val="30"/>
          <w:szCs w:val="30"/>
        </w:rPr>
        <w:t>.近期影响国际原油市场的主要因素</w:t>
      </w:r>
      <w:bookmarkEnd w:id="9"/>
      <w:bookmarkEnd w:id="10"/>
    </w:p>
    <w:p>
      <w:pPr>
        <w:numPr>
          <w:ilvl w:val="0"/>
          <w:numId w:val="2"/>
        </w:numPr>
        <w:outlineLvl w:val="1"/>
        <w:rPr>
          <w:rFonts w:ascii="黑体" w:hAnsi="宋体" w:eastAsia="黑体"/>
          <w:b/>
          <w:sz w:val="28"/>
          <w:szCs w:val="28"/>
        </w:rPr>
      </w:pPr>
      <w:bookmarkStart w:id="15" w:name="_Toc504051939"/>
      <w:r>
        <w:rPr>
          <w:rFonts w:hint="eastAsia" w:ascii="黑体" w:hAnsi="宋体" w:eastAsia="黑体"/>
          <w:b/>
          <w:sz w:val="28"/>
          <w:szCs w:val="28"/>
        </w:rPr>
        <w:t>美国原油库存情况</w:t>
      </w:r>
      <w:bookmarkEnd w:id="15"/>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国能源信息署(EIA)数据显示，美国上周原油库存意外增加，汽油库存同样增加，馏分油库存减少。截至5月18日当周，美国原油库存增加577.8万桶至4.3813亿桶，市场此前预估为减少156.7万桶。位于俄克拉荷马州库欣的原油库存减少112.3万桶。截至5月18日当周，美国汽油库存增加188.3万桶至2.339亿桶，分析师预估为减少138.8万桶;包括取暖油和柴油在内的馏分油库存减少95.1万桶至1.140亿桶，市场此前预估为减少133.5万桶。过去四周美国汽油平均需求为952万桶/日，较上年同期增加1.0%;过去四周美国馏分油需求为416万桶/日，较上年同期减少1.9%。炼厂原油加工量减少7000桶/日。当周炼厂产能利用率上升0.7个百分点。美国当周原油每日进口量增加137.6万桶。美国石油协会(API)数据显示，上周美国原油和馏分油库存下降，但汽油库存意外增加。截至5月18日当周，美国原油库存下降130万桶，至4.642亿桶，分析师预计为减少160万桶。库欣原油库存减少82.2万桶。截至5月18日当周，美国汽油库存增加98万桶，分析师预计为减少140万桶;馏分油库存减少130万桶，与分析师预估一致。上周美国原油进口减少41.7万桶/日，至780万桶/日。炼厂每日炼油量增加5.5万桶。</w:t>
      </w:r>
    </w:p>
    <w:p>
      <w:pPr>
        <w:pStyle w:val="19"/>
        <w:keepNext w:val="0"/>
        <w:keepLines w:val="0"/>
        <w:widowControl/>
        <w:suppressLineNumbers w:val="0"/>
        <w:wordWrap w:val="0"/>
        <w:spacing w:line="288" w:lineRule="auto"/>
      </w:pPr>
    </w:p>
    <w:p>
      <w:pPr>
        <w:numPr>
          <w:ilvl w:val="0"/>
          <w:numId w:val="0"/>
        </w:numPr>
        <w:outlineLvl w:val="1"/>
        <w:rPr>
          <w:rFonts w:hint="eastAsia" w:ascii="黑体" w:hAnsi="宋体" w:eastAsia="黑体"/>
          <w:b/>
          <w:sz w:val="28"/>
          <w:szCs w:val="28"/>
        </w:rPr>
      </w:pPr>
    </w:p>
    <w:p>
      <w:pPr>
        <w:numPr>
          <w:ilvl w:val="0"/>
          <w:numId w:val="3"/>
        </w:numPr>
        <w:ind w:left="0" w:leftChars="0" w:firstLine="0" w:firstLineChars="0"/>
        <w:outlineLvl w:val="1"/>
        <w:rPr>
          <w:rFonts w:hint="eastAsia" w:ascii="黑体" w:hAnsi="宋体" w:eastAsia="黑体"/>
          <w:b/>
          <w:sz w:val="28"/>
          <w:szCs w:val="28"/>
        </w:rPr>
      </w:pPr>
      <w:bookmarkStart w:id="16" w:name="_Toc504051940"/>
      <w:r>
        <w:rPr>
          <w:rFonts w:hint="eastAsia" w:ascii="黑体" w:hAnsi="宋体" w:eastAsia="黑体"/>
          <w:b/>
          <w:sz w:val="28"/>
          <w:szCs w:val="28"/>
        </w:rPr>
        <w:t>美国经济形势</w:t>
      </w:r>
      <w:bookmarkEnd w:id="16"/>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北京时间31日凌晨，美股周三大幅收高，罗素2000种小型股指数创历史新高。投资者似乎摆脱了意大利政治危机的影响。昨日遭遇重创的银行股普遍反弹，油价大涨推动能源板块攀升。美联储褐皮书称最近美国经济适度增长。</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美东时间5月30日16：00(北京时间5月31日04：00)，道指涨306.33点，或1.26%，报24667.78点;标普500指数涨34.15点，或1.27%，报2724.01点;纳指涨65.86点，或0.89%，报7，462.45点。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罗素2000小型股指数收高23.65点，或1.46%，收于1，647.30点，创历史最高收盘纪录。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美股周三大幅收高，银行板块领涨。波音(358.19, 5.71, 1.62%)、雪佛龙(125.16, 3.77, 3.11%)与3M(198.68, 2.94, 1.50%)等道指成份股大涨，推动道指攀升。</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市场驱动力量是什么?</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在投资者继续权衡意大利政客们下一步会怎样做的同时，周三全球股市以及风险资产站稳了脚跟。意大利股市与国债，以及欧元，均出现反弹。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意大利可能再次出现由反建制政党领导的联合政府。本周初期，这种可能性似乎已被消除。</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据外媒报道，前意大利“五星运动党”党首迪马尤(Di Maio)呼吁疑欧派经济学家萨沃纳(Paolo Savona)放弃经济部长的候选人资格。这一消息令市场感到振奋。</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美贸易问题仍受到市场关注。美国白宫官网29日发表声明，美国将加强对获取美国工业重大技术的相关中国个人和实体实施出口管制，并采取具体投资限制，拟于2018年6月30日前正式公布相关措施，之后不久将正式实施。</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国商务部随即表示，对白宫发布的策略性声明既感到出乎意料，但也在意料之中，这显然有悖于不久前中美双方在华盛顿达成的共识。无论美方出台什么举措，中方都有信心、有能力、有经验捍卫中国人民利益和国家核心利益。中国敦促美方按照联合声明精神相向而行。</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市场策略师如何点评?</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Robert W. Baird公司股市销售交易员Michael Antonelli表示：“市场摆脱了意大利政治危机的影响，这个事实意味着它可能并不严重。”</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他称，最近市场波动性突然大幅提高，提醒投资者应该认识到资本市场是非常脆弱的。</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CMC Markets UK分析师David Madden表示：“今天早上欧洲股市大体上涨，但意大利与西班牙仍然受到政治不确定性因素的影响。”</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他表示：“是空头回补与逢低吸纳推动了股市上涨，但潜在的政治风险远未结束，股市的积极表现难以为继。”</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焦点关注个股</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Salesforce(129.3, 2.42, 1.91%).com(CRM)股价收高1.9%，此前该公司宣布季度业绩与年度业绩展望均超出市场预期。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Michael Kors Holdings(KORS)股价收盘重挫11.45%，该公司公布了财报，并表示公司仍然愿意进行收购。</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惠普(22.16, 0.86, 4.04%)(HPQ)收高4%，该公司在周二晚间公布了财报，其盈利勉强符合预期。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经济数据与美联储褐皮书报告</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ADP机构报告显示，美国5月份的私营层面就业人数增加17.8万。4月份的ADP就业人数下修4.1万，修正为16.3万。</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美国商务部周三报告称，美国2018年第一季度GDP增长2.2%。数据表明美国第一季度经济增长速度稍低于原先报告的估算水平，主要原因是库存增长放缓。GDP数据从上次公布的2.3%下修为2.2%。</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另一份数据表明，美国4月商品贸易赤字下降0.6%，从686亿美元下降至682亿美元。此前接受MarketWatch调查的经济学家平均预期该数字将为710亿美元。</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美国政府将在下周公布整体贸易赤字报告。</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美联储在周三下午公布了美国经济景气状况褐皮书报告。褐皮书称，美国经济在4月和5月的大部分时间录得适度扩张，与此前一个时期相比略有进步，同时几乎没有迹象显示过热。</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根据12家地区联储银行截至5月21日收集的信息编纂的褐皮书经济报告称，制造业呈现“强劲”增长，与此同时就业和物价继续“温和”或“适度”上涨。报告称：“制造业向更高速换档，一半以上的地区报告工业活动回升，三分之一的地区将活动归类为‘强劲’。”</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联储决策层6月12至13日在华盛顿召开下次政策会议时，该报告可能会增强加息的理由。尽管最近几天意大利的政治危机搅乱了债市，但联邦基金利率期货合约定价暗示加息几率仍高于90%。市场普遍预计，美联储在2018年将加息三到四次，包括它在3月的上调利率。</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其他市场表现如何?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欧洲股市方面，欧洲泛欧绩优300指数周三收盘上涨0.03%;英国富时100指数周三收盘上涨0.5%;德国DAX指数周三收盘上涨0.6%;法国CAC指数周三收盘下跌0.5%;西班牙IBEX指数周三收盘下跌0.7%。</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欧元兑美元汇率攀升。ICE美元指数下跌。</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美国10年期国债收益率维持在2.85%左右。周二该项收益率重挫16个基点，降至2.77%，为2016年6月英国脱欧公投后的最大单日跌幅。</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纽约商品交易所8月份交割的黄金期货价格收盘上涨2.40美元，或0.2%，收于1306.50美元/盎司。该合约今日盘中一度跌破1300美元，此后温和反弹。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纽约商品交易所7月交割的西德州中质原油(WTI)期货价格上涨1.48美元，或2.2%，收于68.21美元/桶。在此之前，WTI期货价格已连续5个交易日收跌，为2月9日以来的最长连续下跌时间。</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伦敦洲际交易所(71.66, 1.84, 2.64%)7月份交割的布伦特原油期货价格上涨2.11美元，涨幅2.8%，收于77.50美元/桶。</w:t>
      </w:r>
    </w:p>
    <w:p>
      <w:pPr>
        <w:numPr>
          <w:ilvl w:val="0"/>
          <w:numId w:val="0"/>
        </w:numPr>
        <w:ind w:leftChars="0"/>
        <w:outlineLvl w:val="1"/>
        <w:rPr>
          <w:rFonts w:hint="eastAsia" w:ascii="黑体" w:hAnsi="宋体" w:eastAsia="黑体"/>
          <w:b/>
          <w:sz w:val="28"/>
          <w:szCs w:val="28"/>
        </w:rPr>
      </w:pPr>
    </w:p>
    <w:p>
      <w:pPr>
        <w:pStyle w:val="19"/>
        <w:numPr>
          <w:ilvl w:val="0"/>
          <w:numId w:val="3"/>
        </w:numPr>
        <w:ind w:left="0" w:leftChars="0" w:firstLine="0" w:firstLineChars="0"/>
        <w:outlineLvl w:val="1"/>
        <w:rPr>
          <w:rFonts w:hint="eastAsia" w:ascii="黑体" w:eastAsia="黑体"/>
          <w:b/>
          <w:sz w:val="28"/>
          <w:szCs w:val="28"/>
        </w:rPr>
      </w:pPr>
      <w:bookmarkStart w:id="17" w:name="_Toc504051941"/>
      <w:r>
        <w:rPr>
          <w:rFonts w:hint="eastAsia" w:ascii="黑体" w:eastAsia="黑体"/>
          <w:b/>
          <w:sz w:val="28"/>
          <w:szCs w:val="28"/>
        </w:rPr>
        <w:t>世界经济形势</w:t>
      </w:r>
      <w:bookmarkEnd w:id="17"/>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第十五届上海衍生品市场论坛于2018年5月29日、30日在上海举办。本届论坛由上海期货交易所与中国金融期货交易所联合主办，论坛以“改革新篇章，开放新里程——建设具有国际竞争力的中国特色期货市场”为主旨。</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30日上午，中信期货主办的‘“一带一路”倡议下的国际化机遇与挑战’关联活动如期召开。国家信息中心经济预测部副主任牛犁就“2018下半年全球宏观经济形势展望”作了主题演讲。</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牛犁表示，当前，世界经济低增长、低通胀、低利率的“三低状态”正在打破，2018年全球经济将延续回暖态势。从主要的经济体来看，美国经济增长势头较好，开局良好，美国货币政策有序回归正常。但物价的抬升，美联储的加息进程可能加快，缩表按计划进行。欧洲年初以来经济增速略有放缓，但各项经济数据还在良好状态。日本经济增长有所回暖，新兴经济体增长出现分化。</w:t>
      </w:r>
    </w:p>
    <w:p>
      <w:pPr>
        <w:ind w:firstLine="560" w:firstLineChars="200"/>
        <w:outlineLvl w:val="1"/>
        <w:rPr>
          <w:rFonts w:ascii="黑体" w:hAnsi="宋体" w:eastAsia="黑体"/>
          <w:b/>
          <w:sz w:val="30"/>
          <w:szCs w:val="30"/>
        </w:rPr>
      </w:pPr>
      <w:r>
        <w:rPr>
          <w:rFonts w:ascii="华文仿宋" w:hAnsi="华文仿宋" w:eastAsia="华文仿宋"/>
          <w:sz w:val="28"/>
          <w:szCs w:val="28"/>
        </w:rPr>
        <w:t>对于当前全球经济面临的风险，他介绍，主要有美国货币政策回归正常化带来的溢出效应，特朗普政策不确定性、贸易保护主义、孤立主义和民粹主义，全球宏观经济政策同步收紧，以及恐怖袭击、中东、东北亚地缘政治风险等不确定冲击全球经济增长。</w:t>
      </w:r>
    </w:p>
    <w:p>
      <w:pPr>
        <w:outlineLvl w:val="1"/>
        <w:rPr>
          <w:rFonts w:ascii="宋体" w:hAnsi="宋体" w:cs="Arial"/>
          <w:b/>
          <w:bCs/>
          <w:kern w:val="0"/>
          <w:sz w:val="32"/>
          <w:szCs w:val="32"/>
        </w:rPr>
      </w:pPr>
      <w:bookmarkStart w:id="18" w:name="_Toc505350005"/>
      <w:r>
        <w:rPr>
          <w:rFonts w:hint="eastAsia" w:ascii="仿宋_GB2312" w:eastAsia="仿宋_GB2312"/>
          <w:b/>
          <w:sz w:val="28"/>
          <w:szCs w:val="28"/>
        </w:rPr>
        <w:t>（三）</w:t>
      </w:r>
      <w:r>
        <w:rPr>
          <w:rFonts w:hint="eastAsia" w:ascii="宋体" w:hAnsi="宋体" w:cs="Arial"/>
          <w:b/>
          <w:bCs/>
          <w:kern w:val="0"/>
          <w:sz w:val="32"/>
          <w:szCs w:val="32"/>
        </w:rPr>
        <w:t>、201</w:t>
      </w:r>
      <w:r>
        <w:rPr>
          <w:rFonts w:hint="eastAsia" w:ascii="宋体" w:hAnsi="宋体" w:cs="Arial"/>
          <w:b/>
          <w:bCs/>
          <w:kern w:val="0"/>
          <w:sz w:val="32"/>
          <w:szCs w:val="32"/>
          <w:lang w:val="en-US" w:eastAsia="zh-CN"/>
        </w:rPr>
        <w:t>8</w:t>
      </w:r>
      <w:r>
        <w:rPr>
          <w:rFonts w:hint="eastAsia" w:ascii="宋体" w:hAnsi="宋体" w:cs="Arial"/>
          <w:b/>
          <w:bCs/>
          <w:kern w:val="0"/>
          <w:sz w:val="32"/>
          <w:szCs w:val="32"/>
        </w:rPr>
        <w:t>年</w:t>
      </w:r>
      <w:r>
        <w:rPr>
          <w:rFonts w:hint="eastAsia" w:ascii="宋体" w:hAnsi="宋体" w:cs="Arial"/>
          <w:b/>
          <w:bCs/>
          <w:kern w:val="0"/>
          <w:sz w:val="32"/>
          <w:szCs w:val="32"/>
          <w:lang w:val="en-US" w:eastAsia="zh-CN"/>
        </w:rPr>
        <w:t>3</w:t>
      </w:r>
      <w:r>
        <w:rPr>
          <w:rFonts w:hint="eastAsia" w:ascii="宋体" w:hAnsi="宋体" w:cs="Arial"/>
          <w:b/>
          <w:bCs/>
          <w:kern w:val="0"/>
          <w:sz w:val="32"/>
          <w:szCs w:val="32"/>
        </w:rPr>
        <w:t>月份全国原油进出口统计数据</w:t>
      </w:r>
      <w:bookmarkEnd w:id="18"/>
    </w:p>
    <w:p>
      <w:pPr>
        <w:widowControl/>
        <w:spacing w:line="260" w:lineRule="atLeast"/>
        <w:jc w:val="center"/>
        <w:rPr>
          <w:rFonts w:hint="eastAsia" w:ascii="宋体" w:hAnsi="宋体" w:cs="宋体"/>
          <w:b/>
          <w:bCs/>
          <w:kern w:val="0"/>
          <w:szCs w:val="21"/>
        </w:rPr>
      </w:pPr>
      <w:r>
        <w:rPr>
          <w:rFonts w:hint="eastAsia" w:ascii="宋体" w:hAnsi="宋体" w:cs="宋体"/>
          <w:b/>
          <w:bCs/>
          <w:kern w:val="0"/>
          <w:szCs w:val="21"/>
        </w:rPr>
        <w:t xml:space="preserve">                                                      单位：千克，美元</w:t>
      </w: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817"/>
        <w:gridCol w:w="1917"/>
        <w:gridCol w:w="1751"/>
        <w:gridCol w:w="1705"/>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917"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751"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70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586"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也门共和国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139671930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69119063</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伊拉克</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54934951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25276930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伊朗</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440303947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199663370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1125496577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529265485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刚果</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399235103</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171863588</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利比亚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141476160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67854272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加拿大</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76290531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31718391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加纳</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132613900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67604302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加蓬</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88806062</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40929256</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南苏丹共和国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86617693</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38288189</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卡塔尔</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140308081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68680806</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印度尼西亚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24929000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9956375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厄瓜多尔</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98808670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44149393</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台湾省</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哈萨克斯坦</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118464387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50847984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哥伦比亚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73119341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34614401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喀麦隆</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127234200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61054525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埃及</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82456238</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41579207</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墨西哥</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72940642</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28952365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委内瑞拉</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137333838</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52674864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安哥拉</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317024045</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142854940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巴西</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232662507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114018194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日本</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111802311</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47612621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沙特阿拉伯</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393253610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182238617</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41459901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18538310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澳大利亚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78507300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28973271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科威特</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131271500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65493282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124388784</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64927951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苏丹</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86057871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42347044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英国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135125522</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69997762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蒙古</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3494580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1533530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赤道几内亚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270410190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132949102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越南</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37323920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19945663</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阿拉伯联合酋长国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132441043</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71192358</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阿曼</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130202825</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61214569</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244574704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99332431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香港</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145169178</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65097431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马来西亚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146548051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63398782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spacing w:line="260" w:lineRule="atLeast"/>
        <w:jc w:val="center"/>
        <w:rPr>
          <w:rFonts w:hint="eastAsia" w:ascii="宋体" w:hAnsi="宋体" w:cs="宋体"/>
          <w:b/>
          <w:bCs/>
          <w:kern w:val="0"/>
          <w:szCs w:val="21"/>
        </w:rPr>
      </w:pPr>
    </w:p>
    <w:p>
      <w:pPr>
        <w:widowControl/>
        <w:spacing w:line="260" w:lineRule="atLeast"/>
        <w:jc w:val="center"/>
        <w:rPr>
          <w:rFonts w:hint="eastAsia" w:ascii="宋体" w:hAnsi="宋体" w:cs="宋体"/>
          <w:b/>
          <w:bCs/>
          <w:kern w:val="0"/>
          <w:szCs w:val="21"/>
        </w:rPr>
      </w:pPr>
    </w:p>
    <w:p>
      <w:pPr>
        <w:numPr>
          <w:ilvl w:val="0"/>
          <w:numId w:val="0"/>
        </w:numPr>
        <w:tabs>
          <w:tab w:val="left" w:pos="798"/>
        </w:tabs>
        <w:outlineLvl w:val="1"/>
        <w:rPr>
          <w:rFonts w:hint="eastAsia" w:ascii="仿宋_GB2312" w:hAnsi="宋体" w:eastAsia="仿宋_GB2312" w:cs="Arial"/>
          <w:b/>
          <w:bCs/>
          <w:kern w:val="0"/>
          <w:sz w:val="30"/>
          <w:szCs w:val="30"/>
          <w:lang w:eastAsia="zh-CN"/>
        </w:rPr>
      </w:pPr>
      <w:bookmarkStart w:id="19" w:name="_Toc505350006"/>
    </w:p>
    <w:p>
      <w:pPr>
        <w:numPr>
          <w:ilvl w:val="0"/>
          <w:numId w:val="0"/>
        </w:numPr>
        <w:tabs>
          <w:tab w:val="left" w:pos="798"/>
        </w:tabs>
        <w:outlineLvl w:val="1"/>
        <w:rPr>
          <w:rFonts w:hint="eastAsia" w:ascii="宋体" w:hAnsi="宋体" w:eastAsia="宋体" w:cs="宋体"/>
          <w:b/>
          <w:bCs/>
          <w:kern w:val="0"/>
          <w:sz w:val="32"/>
          <w:szCs w:val="32"/>
        </w:rPr>
      </w:pPr>
      <w:r>
        <w:rPr>
          <w:rFonts w:hint="eastAsia" w:ascii="宋体" w:hAnsi="宋体" w:eastAsia="宋体" w:cs="宋体"/>
          <w:b/>
          <w:bCs/>
          <w:kern w:val="0"/>
          <w:sz w:val="32"/>
          <w:szCs w:val="32"/>
          <w:lang w:eastAsia="zh-CN"/>
        </w:rPr>
        <w:t>（四）</w:t>
      </w:r>
      <w:r>
        <w:rPr>
          <w:rFonts w:hint="eastAsia" w:ascii="宋体" w:hAnsi="宋体" w:eastAsia="宋体" w:cs="宋体"/>
          <w:b/>
          <w:bCs/>
          <w:kern w:val="0"/>
          <w:sz w:val="32"/>
          <w:szCs w:val="32"/>
        </w:rPr>
        <w:t>、后市预测</w:t>
      </w:r>
      <w:bookmarkEnd w:id="19"/>
    </w:p>
    <w:p>
      <w:pPr>
        <w:pStyle w:val="19"/>
        <w:keepNext w:val="0"/>
        <w:keepLines w:val="0"/>
        <w:widowControl/>
        <w:suppressLineNumbers w:val="0"/>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本周WTI原油价格在</w:t>
      </w:r>
      <w:r>
        <w:rPr>
          <w:rFonts w:hint="eastAsia" w:ascii="华文仿宋" w:hAnsi="华文仿宋" w:eastAsia="华文仿宋"/>
          <w:sz w:val="28"/>
          <w:szCs w:val="28"/>
          <w:lang w:val="en-US" w:eastAsia="zh-CN"/>
        </w:rPr>
        <w:t>66.73</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70.71</w:t>
      </w:r>
      <w:r>
        <w:rPr>
          <w:rFonts w:hint="eastAsia" w:ascii="华文仿宋" w:hAnsi="华文仿宋" w:eastAsia="华文仿宋"/>
          <w:sz w:val="28"/>
          <w:szCs w:val="28"/>
        </w:rPr>
        <w:t>美元/桶，布伦特原油价格在</w:t>
      </w:r>
      <w:r>
        <w:rPr>
          <w:rFonts w:hint="eastAsia" w:ascii="华文仿宋" w:hAnsi="华文仿宋" w:eastAsia="华文仿宋"/>
          <w:sz w:val="28"/>
          <w:szCs w:val="28"/>
          <w:lang w:val="en-US" w:eastAsia="zh-CN"/>
        </w:rPr>
        <w:t>75.30</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78.79</w:t>
      </w:r>
      <w:r>
        <w:rPr>
          <w:rFonts w:hint="eastAsia" w:ascii="华文仿宋" w:hAnsi="华文仿宋" w:eastAsia="华文仿宋"/>
          <w:sz w:val="28"/>
          <w:szCs w:val="28"/>
        </w:rPr>
        <w:t>美元/桶震</w:t>
      </w:r>
      <w:r>
        <w:rPr>
          <w:rFonts w:hint="eastAsia" w:ascii="华文仿宋" w:hAnsi="华文仿宋" w:eastAsia="华文仿宋"/>
          <w:sz w:val="28"/>
          <w:szCs w:val="28"/>
          <w:lang w:eastAsia="zh-CN"/>
        </w:rPr>
        <w:t>荡。</w:t>
      </w:r>
      <w:r>
        <w:rPr>
          <w:rFonts w:hint="eastAsia" w:ascii="华文仿宋" w:hAnsi="华文仿宋" w:eastAsia="华文仿宋"/>
          <w:sz w:val="28"/>
          <w:szCs w:val="28"/>
        </w:rPr>
        <w:t>周内国际原油价格受市场对中东原油供应短缺情绪提振，国际原油价格涨势强劲，持续高位运行。周内前期，伊朗制裁忧虑以及委内瑞拉经济危机继续恶化，令投资者对延长减产协议的预期继续升温，这为油价带来有效支撑，但美元继续走高抵消了油价的提振因素，限制了油价涨势，之后，美国国务卿蓬佩奥威胁称，如果伊朗不改变当前的国内外政策方向，将对其实施“史上最强制裁”，这令原油多头信心大受鼓舞，同时美元回撤也为油价带来支撑，国际原油价格稳步走高;周内后期，虽有伊朗核协议以及美国或将开展对委内瑞拉的针对性制裁为油市带来强劲支撑，但随后EIA原油库存意外大增、美油产量持续攀升，同时美联储5月会议纪要释放鹰派信息加强这均对油价形成利空，国际原油期货价格延续十字星走势，美油录得二连阴。此外，美国油服公司贝克休斯(Baker Hughes)周五(5月18日)公布数据显示，截至5月18日当周，美国石油活跃钻井数持平于844座，过去已经连续六周录得增长，目前保持在2015年3月来高位。去年同期美国石油活跃钻井数为720座。石油输出国组织(OPEC)公布的2018年4月月度原油市场报告显示，欧佩克4月原油产出增加1.2万桶/日至3193万桶/日;经合组织3月原油库存下滑至28.29亿桶，较5年均值多出幅度首次降至千万桶以下。整体看来，周内国际原油市场中虽不乏利空消息出现，但还是受伊朗核协议危机等利好因素主导，国际油价盘踞高位。其中WTI期货本周均价71.80美元/桶，较上周上涨0.89%，较上月上涨8.25%;本周布伦特期货均价79.28美元/桶，较上周上涨1.50%，较上月上涨10.48%。后市预测：近期原油消息面支撑充足，一方面，中美贸易争端局势缓解提振市场情绪，加之美元持续上扬增加人民币贬值压力，对原油形成利好支撑;另一方面，美国恢复对伊朗制裁与美国对委内瑞拉的潜在制裁将加剧原油市场供应下滑。同时，美国原油需求逐步回升叠加强劲出口，有效缓解了美国产量增长带来的供给压力。综合看来，当前市场利多共振，预计国际原油将延续偏强走势。预计近期WTI原油期货价格在71～73美元/桶之间浮动，布伦特原油期货均价在78～80美元/桶之间浮动。</w:t>
      </w:r>
    </w:p>
    <w:p>
      <w:pPr>
        <w:numPr>
          <w:ilvl w:val="0"/>
          <w:numId w:val="0"/>
        </w:numPr>
        <w:ind w:leftChars="99"/>
        <w:outlineLvl w:val="1"/>
        <w:rPr>
          <w:rFonts w:hint="eastAsia" w:ascii="仿宋_GB2312" w:hAnsi="宋体" w:eastAsia="仿宋_GB2312" w:cs="Arial"/>
          <w:b/>
          <w:bCs/>
          <w:kern w:val="0"/>
          <w:sz w:val="30"/>
          <w:szCs w:val="30"/>
        </w:rPr>
      </w:pPr>
    </w:p>
    <w:p>
      <w:pPr>
        <w:spacing w:line="360" w:lineRule="auto"/>
        <w:outlineLvl w:val="0"/>
        <w:rPr>
          <w:rFonts w:hint="eastAsia" w:ascii="黑体" w:hAnsi="宋体" w:eastAsia="黑体"/>
          <w:b/>
          <w:sz w:val="28"/>
          <w:szCs w:val="28"/>
        </w:rPr>
      </w:pPr>
      <w:bookmarkStart w:id="20" w:name="_Toc505350007"/>
      <w:r>
        <w:rPr>
          <w:rFonts w:hint="eastAsia" w:ascii="黑体" w:hAnsi="宋体" w:eastAsia="黑体"/>
          <w:b/>
          <w:sz w:val="28"/>
          <w:szCs w:val="28"/>
        </w:rPr>
        <w:t>二、 石脑油</w:t>
      </w:r>
      <w:bookmarkEnd w:id="20"/>
    </w:p>
    <w:p>
      <w:pPr>
        <w:spacing w:line="360" w:lineRule="auto"/>
        <w:outlineLvl w:val="0"/>
        <w:rPr>
          <w:rFonts w:hint="eastAsia" w:ascii="黑体" w:hAnsi="宋体" w:eastAsia="黑体"/>
          <w:b/>
          <w:sz w:val="28"/>
          <w:szCs w:val="28"/>
        </w:rPr>
      </w:pPr>
    </w:p>
    <w:p>
      <w:pPr>
        <w:pStyle w:val="3"/>
        <w:spacing w:line="240" w:lineRule="auto"/>
        <w:rPr>
          <w:rFonts w:ascii="宋体" w:hAnsi="宋体" w:cs="Arial"/>
          <w:b w:val="0"/>
          <w:bCs w:val="0"/>
          <w:kern w:val="0"/>
          <w:szCs w:val="28"/>
        </w:rPr>
      </w:pPr>
      <w:bookmarkStart w:id="21" w:name="_Toc460250404"/>
      <w:bookmarkStart w:id="22" w:name="_Toc505350008"/>
      <w:r>
        <w:rPr>
          <w:rFonts w:hint="eastAsia"/>
        </w:rPr>
        <w:t>2. 1</w:t>
      </w:r>
      <w:r>
        <w:rPr>
          <w:rFonts w:hint="eastAsia"/>
          <w:kern w:val="0"/>
        </w:rPr>
        <w:t>国际石脑油市场价格</w:t>
      </w:r>
      <w:bookmarkEnd w:id="11"/>
      <w:bookmarkEnd w:id="12"/>
      <w:bookmarkEnd w:id="21"/>
      <w:bookmarkEnd w:id="22"/>
    </w:p>
    <w:p>
      <w:pPr>
        <w:widowControl/>
        <w:jc w:val="center"/>
        <w:rPr>
          <w:rFonts w:ascii="宋体" w:hAnsi="宋体" w:cs="宋体"/>
          <w:sz w:val="20"/>
          <w:szCs w:val="20"/>
        </w:rPr>
      </w:pPr>
      <w:r>
        <w:rPr>
          <w:rFonts w:hint="eastAsia" w:ascii="宋体" w:hAnsi="宋体" w:cs="宋体"/>
          <w:sz w:val="20"/>
          <w:szCs w:val="20"/>
        </w:rPr>
        <w:t xml:space="preserve">                                                                 单位：美元/吨  ①单位：美元/桶</w:t>
      </w:r>
    </w:p>
    <w:p>
      <w:pPr>
        <w:widowControl/>
        <w:rPr>
          <w:rFonts w:ascii="宋体" w:hAnsi="宋体" w:cs="宋体"/>
          <w:sz w:val="20"/>
          <w:szCs w:val="20"/>
        </w:rPr>
      </w:pPr>
    </w:p>
    <w:tbl>
      <w:tblPr>
        <w:tblStyle w:val="25"/>
        <w:tblW w:w="9853" w:type="dxa"/>
        <w:tblInd w:w="0" w:type="dxa"/>
        <w:shd w:val="clear" w:color="auto" w:fill="FFFFFF"/>
        <w:tblLayout w:type="fixed"/>
        <w:tblCellMar>
          <w:top w:w="0" w:type="dxa"/>
          <w:left w:w="0" w:type="dxa"/>
          <w:bottom w:w="0" w:type="dxa"/>
          <w:right w:w="0" w:type="dxa"/>
        </w:tblCellMar>
      </w:tblPr>
      <w:tblGrid>
        <w:gridCol w:w="1696"/>
        <w:gridCol w:w="1997"/>
        <w:gridCol w:w="1501"/>
        <w:gridCol w:w="1846"/>
        <w:gridCol w:w="2813"/>
      </w:tblGrid>
      <w:tr>
        <w:tblPrEx>
          <w:shd w:val="clear" w:color="auto" w:fill="FFFFFF"/>
          <w:tblLayout w:type="fixed"/>
          <w:tblCellMar>
            <w:top w:w="0" w:type="dxa"/>
            <w:left w:w="0" w:type="dxa"/>
            <w:bottom w:w="0" w:type="dxa"/>
            <w:right w:w="0" w:type="dxa"/>
          </w:tblCellMar>
        </w:tblPrEx>
        <w:trPr>
          <w:trHeight w:val="675" w:hRule="atLeast"/>
        </w:trPr>
        <w:tc>
          <w:tcPr>
            <w:tcW w:w="1696"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lang w:val="en-US" w:eastAsia="zh-CN"/>
              </w:rPr>
            </w:pPr>
            <w:bookmarkStart w:id="23" w:name="_Toc281568202"/>
            <w:bookmarkStart w:id="24" w:name="_Toc505350009"/>
            <w:bookmarkStart w:id="25" w:name="_Toc239847715"/>
            <w:bookmarkStart w:id="26" w:name="_Toc296600812"/>
            <w:bookmarkStart w:id="27" w:name="_Toc460250405"/>
            <w:r>
              <w:rPr>
                <w:rFonts w:hint="eastAsia" w:ascii="华文仿宋" w:hAnsi="华文仿宋" w:eastAsia="华文仿宋" w:cs="华文仿宋"/>
                <w:color w:val="000000"/>
                <w:sz w:val="28"/>
                <w:szCs w:val="28"/>
                <w:lang w:val="en-US" w:eastAsia="zh-CN"/>
              </w:rPr>
              <w:t>5月31日</w:t>
            </w:r>
          </w:p>
        </w:tc>
        <w:tc>
          <w:tcPr>
            <w:tcW w:w="1997"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低端价（美元/吨）</w:t>
            </w:r>
          </w:p>
        </w:tc>
        <w:tc>
          <w:tcPr>
            <w:tcW w:w="1501"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高端价（美元/吨）</w:t>
            </w:r>
          </w:p>
        </w:tc>
        <w:tc>
          <w:tcPr>
            <w:tcW w:w="1846"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均价涨跌幅</w:t>
            </w:r>
          </w:p>
        </w:tc>
        <w:tc>
          <w:tcPr>
            <w:tcW w:w="2813"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美分/加仑</w:t>
            </w:r>
          </w:p>
        </w:tc>
      </w:tr>
      <w:tr>
        <w:tblPrEx>
          <w:tblLayout w:type="fixed"/>
          <w:tblCellMar>
            <w:top w:w="0" w:type="dxa"/>
            <w:left w:w="0" w:type="dxa"/>
            <w:bottom w:w="0" w:type="dxa"/>
            <w:right w:w="0" w:type="dxa"/>
          </w:tblCellMar>
        </w:tblPrEx>
        <w:trPr>
          <w:trHeight w:val="285" w:hRule="atLeast"/>
        </w:trPr>
        <w:tc>
          <w:tcPr>
            <w:tcW w:w="1696"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新加坡</w:t>
            </w:r>
          </w:p>
        </w:tc>
        <w:tc>
          <w:tcPr>
            <w:tcW w:w="199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74.07美元/桶</w:t>
            </w:r>
          </w:p>
        </w:tc>
        <w:tc>
          <w:tcPr>
            <w:tcW w:w="1501"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74.11美元/桶</w:t>
            </w:r>
          </w:p>
        </w:tc>
        <w:tc>
          <w:tcPr>
            <w:tcW w:w="1846"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0.71美元/桶</w:t>
            </w:r>
          </w:p>
        </w:tc>
        <w:tc>
          <w:tcPr>
            <w:tcW w:w="2813"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176.357-176.45</w:t>
            </w:r>
          </w:p>
        </w:tc>
      </w:tr>
      <w:tr>
        <w:tblPrEx>
          <w:tblLayout w:type="fixed"/>
          <w:tblCellMar>
            <w:top w:w="0" w:type="dxa"/>
            <w:left w:w="0" w:type="dxa"/>
            <w:bottom w:w="0" w:type="dxa"/>
            <w:right w:w="0" w:type="dxa"/>
          </w:tblCellMar>
        </w:tblPrEx>
        <w:trPr>
          <w:trHeight w:val="285" w:hRule="atLeast"/>
        </w:trPr>
        <w:tc>
          <w:tcPr>
            <w:tcW w:w="1696"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日本</w:t>
            </w:r>
          </w:p>
        </w:tc>
        <w:tc>
          <w:tcPr>
            <w:tcW w:w="199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666.00</w:t>
            </w:r>
          </w:p>
        </w:tc>
        <w:tc>
          <w:tcPr>
            <w:tcW w:w="1501"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673.75</w:t>
            </w:r>
          </w:p>
        </w:tc>
        <w:tc>
          <w:tcPr>
            <w:tcW w:w="1846"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7.625</w:t>
            </w:r>
          </w:p>
        </w:tc>
        <w:tc>
          <w:tcPr>
            <w:tcW w:w="2813"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176.190-178.241</w:t>
            </w:r>
          </w:p>
        </w:tc>
      </w:tr>
      <w:tr>
        <w:tblPrEx>
          <w:tblLayout w:type="fixed"/>
          <w:tblCellMar>
            <w:top w:w="0" w:type="dxa"/>
            <w:left w:w="0" w:type="dxa"/>
            <w:bottom w:w="0" w:type="dxa"/>
            <w:right w:w="0" w:type="dxa"/>
          </w:tblCellMar>
        </w:tblPrEx>
        <w:trPr>
          <w:trHeight w:val="285" w:hRule="atLeast"/>
        </w:trPr>
        <w:tc>
          <w:tcPr>
            <w:tcW w:w="1696"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阿拉伯海湾</w:t>
            </w:r>
          </w:p>
        </w:tc>
        <w:tc>
          <w:tcPr>
            <w:tcW w:w="199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640.63</w:t>
            </w:r>
          </w:p>
        </w:tc>
        <w:tc>
          <w:tcPr>
            <w:tcW w:w="1501"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648.38</w:t>
            </w:r>
          </w:p>
        </w:tc>
        <w:tc>
          <w:tcPr>
            <w:tcW w:w="1846"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6.985</w:t>
            </w:r>
          </w:p>
        </w:tc>
        <w:tc>
          <w:tcPr>
            <w:tcW w:w="2813"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  </w:t>
            </w:r>
            <w:r>
              <w:rPr>
                <w:rFonts w:hint="eastAsia" w:ascii="华文仿宋" w:hAnsi="华文仿宋" w:eastAsia="华文仿宋" w:cs="华文仿宋"/>
                <w:b w:val="0"/>
                <w:i w:val="0"/>
                <w:caps w:val="0"/>
                <w:color w:val="000000"/>
                <w:spacing w:val="0"/>
                <w:sz w:val="28"/>
                <w:szCs w:val="28"/>
              </w:rPr>
              <w:t>169.479-171.529</w:t>
            </w:r>
          </w:p>
        </w:tc>
      </w:tr>
      <w:tr>
        <w:tblPrEx>
          <w:tblLayout w:type="fixed"/>
          <w:tblCellMar>
            <w:top w:w="0" w:type="dxa"/>
            <w:left w:w="0" w:type="dxa"/>
            <w:bottom w:w="0" w:type="dxa"/>
            <w:right w:w="0" w:type="dxa"/>
          </w:tblCellMar>
        </w:tblPrEx>
        <w:trPr>
          <w:trHeight w:val="675" w:hRule="atLeast"/>
        </w:trPr>
        <w:tc>
          <w:tcPr>
            <w:tcW w:w="1696"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阿姆斯特丹、鹿特丹、安特卫普到岸价</w:t>
            </w:r>
          </w:p>
        </w:tc>
        <w:tc>
          <w:tcPr>
            <w:tcW w:w="199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665.25</w:t>
            </w:r>
          </w:p>
        </w:tc>
        <w:tc>
          <w:tcPr>
            <w:tcW w:w="1501"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665.75</w:t>
            </w:r>
          </w:p>
        </w:tc>
        <w:tc>
          <w:tcPr>
            <w:tcW w:w="1846"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3.75</w:t>
            </w:r>
          </w:p>
        </w:tc>
        <w:tc>
          <w:tcPr>
            <w:tcW w:w="2813"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177.874-178.008</w:t>
            </w:r>
          </w:p>
        </w:tc>
      </w:tr>
      <w:tr>
        <w:tblPrEx>
          <w:tblLayout w:type="fixed"/>
          <w:tblCellMar>
            <w:top w:w="0" w:type="dxa"/>
            <w:left w:w="0" w:type="dxa"/>
            <w:bottom w:w="0" w:type="dxa"/>
            <w:right w:w="0" w:type="dxa"/>
          </w:tblCellMar>
        </w:tblPrEx>
        <w:trPr>
          <w:trHeight w:val="285" w:hRule="atLeast"/>
        </w:trPr>
        <w:tc>
          <w:tcPr>
            <w:tcW w:w="1696"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鹿特丹船货价</w:t>
            </w:r>
          </w:p>
        </w:tc>
        <w:tc>
          <w:tcPr>
            <w:tcW w:w="199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661.25</w:t>
            </w:r>
          </w:p>
        </w:tc>
        <w:tc>
          <w:tcPr>
            <w:tcW w:w="1501"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661.75</w:t>
            </w:r>
          </w:p>
        </w:tc>
        <w:tc>
          <w:tcPr>
            <w:tcW w:w="1846"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3.75</w:t>
            </w:r>
          </w:p>
        </w:tc>
        <w:tc>
          <w:tcPr>
            <w:tcW w:w="2813"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176.805-176.939</w:t>
            </w:r>
          </w:p>
        </w:tc>
      </w:tr>
      <w:tr>
        <w:tblPrEx>
          <w:tblLayout w:type="fixed"/>
          <w:tblCellMar>
            <w:top w:w="0" w:type="dxa"/>
            <w:left w:w="0" w:type="dxa"/>
            <w:bottom w:w="0" w:type="dxa"/>
            <w:right w:w="0" w:type="dxa"/>
          </w:tblCellMar>
        </w:tblPrEx>
        <w:trPr>
          <w:trHeight w:val="285" w:hRule="atLeast"/>
        </w:trPr>
        <w:tc>
          <w:tcPr>
            <w:tcW w:w="1696"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地中海离岸价</w:t>
            </w:r>
          </w:p>
        </w:tc>
        <w:tc>
          <w:tcPr>
            <w:tcW w:w="199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647.50</w:t>
            </w:r>
          </w:p>
        </w:tc>
        <w:tc>
          <w:tcPr>
            <w:tcW w:w="1501"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648.00</w:t>
            </w:r>
          </w:p>
        </w:tc>
        <w:tc>
          <w:tcPr>
            <w:tcW w:w="1846"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3.75</w:t>
            </w:r>
          </w:p>
        </w:tc>
        <w:tc>
          <w:tcPr>
            <w:tcW w:w="2813"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173.128-173.262</w:t>
            </w:r>
          </w:p>
        </w:tc>
      </w:tr>
      <w:tr>
        <w:tblPrEx>
          <w:tblLayout w:type="fixed"/>
          <w:tblCellMar>
            <w:top w:w="0" w:type="dxa"/>
            <w:left w:w="0" w:type="dxa"/>
            <w:bottom w:w="0" w:type="dxa"/>
            <w:right w:w="0" w:type="dxa"/>
          </w:tblCellMar>
        </w:tblPrEx>
        <w:trPr>
          <w:trHeight w:val="285" w:hRule="atLeast"/>
        </w:trPr>
        <w:tc>
          <w:tcPr>
            <w:tcW w:w="1696"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热那亚到岸价</w:t>
            </w:r>
          </w:p>
        </w:tc>
        <w:tc>
          <w:tcPr>
            <w:tcW w:w="199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657.75</w:t>
            </w:r>
          </w:p>
        </w:tc>
        <w:tc>
          <w:tcPr>
            <w:tcW w:w="1501"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658.25</w:t>
            </w:r>
          </w:p>
        </w:tc>
        <w:tc>
          <w:tcPr>
            <w:tcW w:w="1846"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3.75</w:t>
            </w:r>
          </w:p>
        </w:tc>
        <w:tc>
          <w:tcPr>
            <w:tcW w:w="2813"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175.869-176.003</w:t>
            </w:r>
          </w:p>
        </w:tc>
      </w:tr>
      <w:tr>
        <w:tblPrEx>
          <w:tblLayout w:type="fixed"/>
          <w:tblCellMar>
            <w:top w:w="0" w:type="dxa"/>
            <w:left w:w="0" w:type="dxa"/>
            <w:bottom w:w="0" w:type="dxa"/>
            <w:right w:w="0" w:type="dxa"/>
          </w:tblCellMar>
        </w:tblPrEx>
        <w:trPr>
          <w:trHeight w:val="285" w:hRule="atLeast"/>
        </w:trPr>
        <w:tc>
          <w:tcPr>
            <w:tcW w:w="1696"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美国墨西哥湾</w:t>
            </w:r>
          </w:p>
        </w:tc>
        <w:tc>
          <w:tcPr>
            <w:tcW w:w="199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669.36</w:t>
            </w:r>
          </w:p>
        </w:tc>
        <w:tc>
          <w:tcPr>
            <w:tcW w:w="1501"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669.46</w:t>
            </w:r>
          </w:p>
        </w:tc>
        <w:tc>
          <w:tcPr>
            <w:tcW w:w="1846"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-2.39</w:t>
            </w:r>
            <w:r>
              <w:rPr>
                <w:rFonts w:hint="eastAsia" w:ascii="华文仿宋" w:hAnsi="华文仿宋" w:eastAsia="华文仿宋" w:cs="华文仿宋"/>
                <w:b w:val="0"/>
                <w:i w:val="0"/>
                <w:caps w:val="0"/>
                <w:color w:val="262626"/>
                <w:spacing w:val="0"/>
                <w:sz w:val="28"/>
                <w:szCs w:val="28"/>
                <w:shd w:val="clear" w:fill="FFFFFF"/>
              </w:rPr>
              <w:t>美分/加仑</w:t>
            </w:r>
          </w:p>
        </w:tc>
        <w:tc>
          <w:tcPr>
            <w:tcW w:w="2813"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 191.200-191.300</w:t>
            </w:r>
          </w:p>
        </w:tc>
      </w:tr>
      <w:tr>
        <w:tblPrEx>
          <w:tblLayout w:type="fixed"/>
          <w:tblCellMar>
            <w:top w:w="0" w:type="dxa"/>
            <w:left w:w="0" w:type="dxa"/>
            <w:bottom w:w="0" w:type="dxa"/>
            <w:right w:w="0" w:type="dxa"/>
          </w:tblCellMar>
        </w:tblPrEx>
        <w:trPr>
          <w:trHeight w:val="285" w:hRule="atLeast"/>
        </w:trPr>
        <w:tc>
          <w:tcPr>
            <w:tcW w:w="1696"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加勒比海</w:t>
            </w:r>
          </w:p>
        </w:tc>
        <w:tc>
          <w:tcPr>
            <w:tcW w:w="199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w:t>
            </w:r>
          </w:p>
        </w:tc>
        <w:tc>
          <w:tcPr>
            <w:tcW w:w="1501"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w:t>
            </w:r>
          </w:p>
        </w:tc>
        <w:tc>
          <w:tcPr>
            <w:tcW w:w="1846"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w:t>
            </w:r>
          </w:p>
        </w:tc>
        <w:tc>
          <w:tcPr>
            <w:tcW w:w="2813"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w:t>
            </w:r>
          </w:p>
        </w:tc>
      </w:tr>
    </w:tbl>
    <w:p>
      <w:pPr>
        <w:pStyle w:val="3"/>
        <w:spacing w:line="240" w:lineRule="auto"/>
        <w:rPr>
          <w:rFonts w:ascii="华文仿宋" w:hAnsi="华文仿宋" w:eastAsia="华文仿宋" w:cs="宋体"/>
          <w:b w:val="0"/>
          <w:bCs w:val="0"/>
          <w:kern w:val="0"/>
          <w:szCs w:val="28"/>
        </w:rPr>
      </w:pPr>
    </w:p>
    <w:p>
      <w:pPr>
        <w:pStyle w:val="3"/>
        <w:spacing w:line="240" w:lineRule="auto"/>
        <w:rPr>
          <w:rFonts w:hint="eastAsia" w:cs="Times New Roman" w:asciiTheme="minorEastAsia" w:hAnsiTheme="minorEastAsia" w:eastAsiaTheme="minorEastAsia"/>
          <w:b/>
          <w:bCs w:val="0"/>
          <w:kern w:val="2"/>
          <w:sz w:val="28"/>
          <w:szCs w:val="28"/>
          <w:lang w:val="en-US" w:eastAsia="zh-CN" w:bidi="ar-SA"/>
        </w:rPr>
      </w:pPr>
      <w:r>
        <w:rPr>
          <w:rFonts w:hint="eastAsia" w:cs="Times New Roman" w:asciiTheme="minorEastAsia" w:hAnsiTheme="minorEastAsia" w:eastAsiaTheme="minorEastAsia"/>
          <w:b/>
          <w:bCs w:val="0"/>
          <w:kern w:val="2"/>
          <w:sz w:val="28"/>
          <w:szCs w:val="28"/>
          <w:lang w:val="en-US" w:eastAsia="zh-CN" w:bidi="ar-SA"/>
        </w:rPr>
        <w:t>2.2地炼石脑油市场</w:t>
      </w:r>
      <w:bookmarkEnd w:id="13"/>
      <w:bookmarkEnd w:id="14"/>
      <w:bookmarkEnd w:id="23"/>
      <w:bookmarkEnd w:id="24"/>
      <w:bookmarkEnd w:id="25"/>
      <w:bookmarkEnd w:id="26"/>
      <w:bookmarkEnd w:id="27"/>
      <w:r>
        <w:rPr>
          <w:rFonts w:hint="eastAsia" w:cs="Times New Roman" w:asciiTheme="minorEastAsia" w:hAnsiTheme="minorEastAsia" w:eastAsiaTheme="minorEastAsia"/>
          <w:b/>
          <w:bCs w:val="0"/>
          <w:kern w:val="2"/>
          <w:sz w:val="28"/>
          <w:szCs w:val="28"/>
          <w:lang w:val="en-US" w:eastAsia="zh-CN" w:bidi="ar-SA"/>
        </w:rPr>
        <w:t xml:space="preserve"> </w:t>
      </w:r>
    </w:p>
    <w:p>
      <w:pPr>
        <w:pStyle w:val="19"/>
        <w:keepNext w:val="0"/>
        <w:keepLines w:val="0"/>
        <w:widowControl/>
        <w:suppressLineNumbers w:val="0"/>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本周国内地炼石脑油震荡下行。国际</w:t>
      </w:r>
      <w:r>
        <w:rPr>
          <w:rFonts w:hint="default" w:ascii="华文仿宋" w:hAnsi="华文仿宋" w:eastAsia="华文仿宋"/>
          <w:sz w:val="28"/>
          <w:szCs w:val="28"/>
        </w:rPr>
        <w:t>原油期货价格震荡调整，国内主营炼厂石脑油计价周期录得宽幅上涨，这对国内地炼石脑油流通价格形成了强劲提振，但价格过快推涨脱离了市场供需基本面，石脑油价格底部较为脆弱，本周原油一度收跌而石脑油主力价区价格快速下行修正，地炼新的重整装置开工均有所延迟，难以对当前石脑油市场形成积极提振，而西北煤制油资源近期装车价格连续下行，将对山东、东北等地资源形成倾轧，推测短期地炼石脑油重回前期高位可能性已经较小，下周或将处于弱势盘整期。</w:t>
      </w:r>
    </w:p>
    <w:p/>
    <w:p>
      <w:pPr>
        <w:outlineLvl w:val="1"/>
        <w:rPr>
          <w:rFonts w:asciiTheme="minorEastAsia" w:hAnsiTheme="minorEastAsia" w:eastAsiaTheme="minorEastAsia"/>
          <w:b/>
          <w:sz w:val="28"/>
          <w:szCs w:val="28"/>
        </w:rPr>
      </w:pPr>
      <w:bookmarkStart w:id="28" w:name="_Toc505350010"/>
      <w:bookmarkStart w:id="29" w:name="_Toc281568203"/>
      <w:bookmarkStart w:id="30" w:name="_Toc296600813"/>
      <w:bookmarkStart w:id="31" w:name="_Toc460250406"/>
      <w:r>
        <w:rPr>
          <w:rFonts w:hint="eastAsia" w:asciiTheme="minorEastAsia" w:hAnsiTheme="minorEastAsia" w:eastAsiaTheme="minorEastAsia"/>
          <w:b/>
          <w:sz w:val="28"/>
          <w:szCs w:val="28"/>
        </w:rPr>
        <w:t>2.3本周国内石脑油价格汇总</w:t>
      </w:r>
      <w:bookmarkEnd w:id="28"/>
      <w:bookmarkEnd w:id="29"/>
      <w:bookmarkEnd w:id="30"/>
      <w:bookmarkEnd w:id="31"/>
      <w:r>
        <w:rPr>
          <w:rFonts w:hint="eastAsia" w:asciiTheme="minorEastAsia" w:hAnsiTheme="minorEastAsia" w:eastAsiaTheme="minorEastAsia"/>
          <w:b/>
          <w:sz w:val="28"/>
          <w:szCs w:val="28"/>
        </w:rPr>
        <w:t xml:space="preserve"> </w:t>
      </w:r>
    </w:p>
    <w:p>
      <w:pPr>
        <w:rPr>
          <w:rFonts w:ascii="宋体" w:hAnsi="宋体" w:cs="Arial"/>
          <w:kern w:val="0"/>
          <w:sz w:val="20"/>
          <w:szCs w:val="20"/>
        </w:rPr>
      </w:pPr>
    </w:p>
    <w:p>
      <w:pPr>
        <w:tabs>
          <w:tab w:val="left" w:pos="810"/>
          <w:tab w:val="center" w:pos="4851"/>
        </w:tabs>
        <w:autoSpaceDE w:val="0"/>
        <w:autoSpaceDN w:val="0"/>
        <w:adjustRightInd w:val="0"/>
        <w:rPr>
          <w:rFonts w:ascii="黑体" w:hAnsi="宋体" w:eastAsia="黑体" w:cs="Arial"/>
          <w:kern w:val="0"/>
          <w:sz w:val="24"/>
          <w:szCs w:val="24"/>
        </w:rPr>
      </w:pPr>
      <w:r>
        <w:rPr>
          <w:rFonts w:hint="eastAsia" w:ascii="黑体" w:hAnsi="宋体" w:eastAsia="黑体" w:cs="Arial"/>
          <w:kern w:val="0"/>
          <w:sz w:val="24"/>
          <w:szCs w:val="24"/>
        </w:rPr>
        <w:t>山东地炼石脑油价格汇总</w:t>
      </w:r>
    </w:p>
    <w:p>
      <w:pPr>
        <w:tabs>
          <w:tab w:val="left" w:pos="810"/>
          <w:tab w:val="center" w:pos="4851"/>
        </w:tabs>
        <w:autoSpaceDE w:val="0"/>
        <w:autoSpaceDN w:val="0"/>
        <w:adjustRightInd w:val="0"/>
        <w:ind w:firstLine="520" w:firstLineChars="260"/>
        <w:jc w:val="center"/>
        <w:rPr>
          <w:rFonts w:ascii="宋体" w:hAnsi="宋体" w:cs="Arial"/>
          <w:kern w:val="0"/>
          <w:sz w:val="20"/>
          <w:szCs w:val="20"/>
        </w:rPr>
      </w:pPr>
    </w:p>
    <w:p>
      <w:pPr>
        <w:rPr>
          <w:rFonts w:ascii="宋体" w:hAnsi="宋体" w:cs="Arial"/>
          <w:kern w:val="0"/>
          <w:sz w:val="20"/>
          <w:szCs w:val="20"/>
        </w:rPr>
      </w:pPr>
      <w:r>
        <w:rPr>
          <w:rFonts w:hint="eastAsia" w:ascii="宋体" w:hAnsi="宋体" w:cs="Arial"/>
          <w:kern w:val="0"/>
          <w:sz w:val="20"/>
          <w:szCs w:val="20"/>
        </w:rPr>
        <w:t xml:space="preserve"> 单位：元/吨</w:t>
      </w:r>
    </w:p>
    <w:tbl>
      <w:tblPr>
        <w:tblStyle w:val="25"/>
        <w:tblpPr w:leftFromText="180" w:rightFromText="180" w:vertAnchor="text" w:horzAnchor="page" w:tblpX="1087" w:tblpY="297"/>
        <w:tblOverlap w:val="neve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69"/>
        <w:gridCol w:w="1370"/>
        <w:gridCol w:w="1369"/>
        <w:gridCol w:w="1370"/>
        <w:gridCol w:w="1369"/>
        <w:gridCol w:w="1560"/>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56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2018-6-1</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金城石化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恒源石化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-340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4730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东明石化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中海石化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弘润石化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华星石化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海科石化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广饶石化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5020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鑫泰石化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利津石化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长城石化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安邦石化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-6650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日照源丰</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富海石化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-220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4890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京博石化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6204</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昌邑石化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6680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垦利石化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寿光石化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神驰石化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汇丰石化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5730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宝塔石化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滨化石化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高青宏远石化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河口实业</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rPr>
          <w:rFonts w:hint="eastAsia" w:ascii="宋体" w:hAnsi="宋体" w:cs="Arial"/>
          <w:kern w:val="0"/>
          <w:sz w:val="20"/>
          <w:szCs w:val="20"/>
        </w:rPr>
      </w:pPr>
    </w:p>
    <w:p>
      <w:pPr>
        <w:pStyle w:val="3"/>
        <w:spacing w:line="240" w:lineRule="auto"/>
        <w:jc w:val="left"/>
        <w:rPr>
          <w:rFonts w:ascii="宋体" w:hAnsi="宋体"/>
          <w:b w:val="0"/>
          <w:szCs w:val="28"/>
        </w:rPr>
      </w:pPr>
      <w:bookmarkStart w:id="32" w:name="_Toc460250407"/>
      <w:bookmarkStart w:id="33" w:name="_Toc296600814"/>
      <w:bookmarkStart w:id="34" w:name="_Toc281568204"/>
      <w:bookmarkStart w:id="35" w:name="_Toc158203132"/>
      <w:bookmarkStart w:id="36" w:name="_Toc239847719"/>
    </w:p>
    <w:p>
      <w:pPr>
        <w:pStyle w:val="3"/>
        <w:spacing w:line="240" w:lineRule="auto"/>
        <w:jc w:val="left"/>
        <w:rPr>
          <w:rFonts w:asciiTheme="minorEastAsia" w:hAnsiTheme="minorEastAsia" w:eastAsiaTheme="minorEastAsia"/>
        </w:rPr>
      </w:pPr>
      <w:bookmarkStart w:id="37" w:name="_Toc505350011"/>
      <w:r>
        <w:rPr>
          <w:rFonts w:hint="eastAsia" w:asciiTheme="minorEastAsia" w:hAnsiTheme="minorEastAsia" w:eastAsiaTheme="minorEastAsia"/>
          <w:szCs w:val="28"/>
        </w:rPr>
        <w:t>2.</w:t>
      </w:r>
      <w:r>
        <w:rPr>
          <w:rFonts w:hint="eastAsia" w:asciiTheme="minorEastAsia" w:hAnsiTheme="minorEastAsia" w:eastAsiaTheme="minorEastAsia"/>
          <w:bCs w:val="0"/>
          <w:szCs w:val="28"/>
        </w:rPr>
        <w:t xml:space="preserve"> </w:t>
      </w:r>
      <w:r>
        <w:rPr>
          <w:rFonts w:hint="eastAsia" w:asciiTheme="minorEastAsia" w:hAnsiTheme="minorEastAsia" w:eastAsiaTheme="minorEastAsia"/>
          <w:szCs w:val="28"/>
        </w:rPr>
        <w:t>4山东地炼石脑油价格走势图</w:t>
      </w:r>
      <w:bookmarkEnd w:id="32"/>
      <w:bookmarkEnd w:id="33"/>
      <w:bookmarkEnd w:id="34"/>
      <w:bookmarkEnd w:id="37"/>
    </w:p>
    <w:p>
      <w:pPr>
        <w:widowControl/>
        <w:jc w:val="left"/>
        <w:rPr>
          <w:rFonts w:ascii="宋体" w:hAnsi="宋体" w:cs="宋体"/>
          <w:kern w:val="0"/>
          <w:sz w:val="24"/>
          <w:szCs w:val="24"/>
        </w:rPr>
      </w:pPr>
      <w:r>
        <w:drawing>
          <wp:inline distT="0" distB="0" distL="114300" distR="114300">
            <wp:extent cx="5800725" cy="5928360"/>
            <wp:effectExtent l="0" t="0" r="9525" b="15240"/>
            <wp:docPr id="625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sz w:val="20"/>
          <w:szCs w:val="20"/>
        </w:rPr>
      </w:pPr>
    </w:p>
    <w:p>
      <w:pPr>
        <w:rPr>
          <w:sz w:val="20"/>
          <w:szCs w:val="20"/>
        </w:rPr>
      </w:pPr>
    </w:p>
    <w:bookmarkEnd w:id="35"/>
    <w:bookmarkEnd w:id="36"/>
    <w:p>
      <w:pPr>
        <w:outlineLvl w:val="0"/>
        <w:rPr>
          <w:rFonts w:ascii="黑体" w:eastAsia="黑体"/>
          <w:b/>
          <w:sz w:val="28"/>
          <w:szCs w:val="28"/>
        </w:rPr>
      </w:pPr>
      <w:bookmarkStart w:id="38" w:name="_Toc237428455"/>
      <w:bookmarkStart w:id="39" w:name="_Toc296600816"/>
      <w:bookmarkStart w:id="40" w:name="_Toc460250408"/>
      <w:bookmarkStart w:id="41" w:name="_Toc281568206"/>
      <w:bookmarkStart w:id="42" w:name="_Toc505350012"/>
      <w:r>
        <w:rPr>
          <w:rFonts w:hint="eastAsia" w:ascii="黑体" w:eastAsia="黑体"/>
          <w:b/>
          <w:sz w:val="28"/>
          <w:szCs w:val="28"/>
        </w:rPr>
        <w:t>三、本周国内油品市场分析及预测</w:t>
      </w:r>
      <w:bookmarkEnd w:id="38"/>
      <w:bookmarkEnd w:id="39"/>
      <w:bookmarkEnd w:id="40"/>
      <w:bookmarkEnd w:id="41"/>
      <w:bookmarkEnd w:id="42"/>
      <w:bookmarkStart w:id="43" w:name="_Toc296600817"/>
      <w:bookmarkStart w:id="44" w:name="_Toc281568207"/>
      <w:bookmarkStart w:id="45" w:name="_Toc460250409"/>
      <w:bookmarkStart w:id="46" w:name="_Toc176571903"/>
      <w:bookmarkStart w:id="47" w:name="_Toc237428456"/>
    </w:p>
    <w:p>
      <w:pPr>
        <w:pStyle w:val="2"/>
        <w:spacing w:line="360" w:lineRule="auto"/>
        <w:rPr>
          <w:rFonts w:hint="eastAsia" w:ascii="华文仿宋" w:hAnsi="华文仿宋" w:eastAsia="华文仿宋" w:cs="华文仿宋"/>
          <w:b w:val="0"/>
          <w:bCs w:val="0"/>
          <w:kern w:val="0"/>
          <w:sz w:val="28"/>
          <w:szCs w:val="28"/>
          <w:lang w:val="en-US" w:eastAsia="zh-CN" w:bidi="ar-SA"/>
        </w:rPr>
      </w:pPr>
      <w:bookmarkStart w:id="48" w:name="_Toc505350013"/>
      <w:r>
        <w:rPr>
          <w:rFonts w:hint="eastAsia" w:cs="Times New Roman" w:asciiTheme="minorEastAsia" w:hAnsiTheme="minorEastAsia" w:eastAsiaTheme="minorEastAsia"/>
          <w:b/>
          <w:bCs/>
          <w:kern w:val="2"/>
          <w:sz w:val="28"/>
          <w:szCs w:val="28"/>
          <w:lang w:val="en-US" w:eastAsia="zh-CN" w:bidi="ar-SA"/>
        </w:rPr>
        <w:t>3．1  成品油市场动态</w:t>
      </w:r>
      <w:bookmarkEnd w:id="43"/>
      <w:bookmarkEnd w:id="44"/>
      <w:bookmarkEnd w:id="45"/>
      <w:bookmarkEnd w:id="48"/>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本周，国际原油期货震荡下行，受此影响，国内成品油市场购销氛围持淡，部分地区主营汽柴油价格下调。与此同时，山东地区成品油行情止跌反弹，各炼厂成交保持100元/吨左右优惠。具体来看出货方面：周初，受原油弱势以及成品油下调预期打压，区内油市业者看跌情绪浓重，市场购销氛围寡淡。临近周末，外盘油价大涨提振油市，中下游商家入市采购积极性提升，市场交投气氛升温。后市前瞻：进入下周，国际原油期价将保持高位震荡的态势，WTI运行区间在68-70.5(均值69.25)美元/桶之间。因此山东地区成品油行情涨势难以持续，买卖双方操作理性，市场观望气氛依旧。综上所述，预计下周山东地炼汽柴油价格上涨乏力。</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华北地区成品油行情高位回落，整体成交气氛十分冷淡。具体来看，25日国内成品油零售价兑现并突破年内最大涨幅，但由于区内批发市场早已提前消化此利好，而且随后国际原油接连大跌，导致新周期内变化率转为负向宽幅运行，消息面走弱令本就“超涨”的汽柴油价格承压下挫。场内业者看空情绪凸显，入市采购意愿低迷，实盘成交难寻，因主营出货困难，导致部分单位月度任务仍有欠量。尽管周四原油收盘大幅反弹，但支撑尚不稳固，加之处于月末市场观望气氛浓郁，故市场保持弱势运行。后市来看，国际原油或高位震荡，消息面利空呈现弱化预期，预计下周华北地区成品油行情盘整为主，局部高位则存在跌价预期，交投气氛提升有限。</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华南地区成品油行情窄幅波动，市场交投气氛不佳。具体来看，国际原油期货先抑后扬，变化率负向区间运行，本轮零售价下调概率较大，消息方面指引转空。受此影响，区内主营单位汽柴油价格涨后小幅走低，业者观望心态有增无减，入市操作意向低迷，市场购销氛围偏淡。后市来看，国际原油期货高位震荡为主，本轮零售价下调概率犹存，消息方面利空油市。步入新的销售月份，主营单位暂无销售压力，但不排除部分单位提前促销赶量可能，预计华南汽柴油行情或稳中趋弱，市场交投气氛延续清淡。</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华中地区成品油价格弱势下滑，市场交投气氛难有提量。具体来看，周初，国际原油接连下挫，地炼价格更是大幅走低，主营成品油行情向弱发展，但受零售价刚刚兑现上调的惯性支撑，加上月末主营政策多数稳定，故支撑油价跌幅有限。虽然后期原油跌势放缓继而大幅反弹，但新一轮变化率维持负向宽幅运行，零售价下调预期仍存，主营油价继续承压。尽管部分欠量单位频频降价促销，汽柴价格均下调50元/吨，但场内业者则由于消息面较为震荡，入市操作愈加谨慎，市场购销未有明显改善。后市来看，国际原油仍将延续高位运行态势，新一轮变化率或继续正向区间波动，故预计近期内华中市场成品油价格或延续涨势，但因下游补货意向低迷，涨幅或较为有限。</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华东地区成品油行情承压走低，市场交投氛围颇为清淡。具体来看，近期国际油价明显回落，新一轮变化率负向较大幅度运行，消息面对市场难有支撑。地方炼厂汽柴价格快速下跌，进一步打压区内主营出货，江苏主营销售进度较差，汽柴价格承压走低，浙江地区主营挂牌价波动不大但实际成交优惠加深，上海主营则由于销售任务完成价格保持坚挺。下游用户入市操作稀少，多观望消库为主，市场整体购销行情冷清。后市而言，国际油价或将维持宽幅区间震荡，消息面对市场指引仍显利空。由于当前业者库存已至高位，后期将进入集中消耗期，入市采购将较为有限，主营出货压力较大，故后期华东汽柴行情仍将承压，若消息面持续恶化，价格或继续下跌。</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西北地炼汽柴行情跌后趋稳，市场成交难改平淡。分析来看： 上周五成品油零售价兑现上调，但国际油价大跌，且销售公司前期价格偏高，因此区内汽柴行情不涨反降。虽然汽柴需求面较为旺盛，但前期受消息面提振，业者积极补货，当前库存维持高位。此外，本周国际油价连续走跌，虽然之后价格反弹，但变化率维持负向区间波动，消息面对市场难有指引。业者操作心态维持低迷，周内消耗库存为主，入市操作稀少，市场成交气氛冷淡。下周，国际油价或震荡上行，变化率负向区间收窄，消息面利空或有所减弱。不过，需求面波动有限，业者入市补货谨慎，市场成交或难有明显提升。预计下西北地炼汽柴行情波动空间不大。</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西南地区汽柴行情涨后趋稳，个别单位价格下调，市场成交气氛维持平淡。分析来看：上周五，国内成品油零售价兑现年内最大涨幅，主营单位价格均有所跟涨。但周内国际油价连续大幅走跌，致使新一轮变化率维持负向区间运行。虽然周四原油期价大幅反弹，但下调预期仍存，消息面对市场难有支撑。同时，业者前期积极补货，下游库存涨至高位，周内市场进入去库存阶段，市场成交气氛低迷。不过，多数地区主营销售任务提前完成，价格依旧高位坚挺。仅部分单位仍然欠量，汽柴价格略有回落，且加大成交优惠。进入下周，国际油价或将维持宽幅震荡，后市行情变数较大，消息面对市场难有明确指引。此外，当前汽柴行情维持高位，业者操作心态谨慎，消库之余按需适量补货为主，市场成交难有改善。另外，进入新的销售周期，主营或提前降价促销。综合来看，下周西南地区汽柴行情存一定下行风险。</w:t>
      </w:r>
    </w:p>
    <w:p>
      <w:pPr>
        <w:pStyle w:val="19"/>
        <w:keepNext w:val="0"/>
        <w:keepLines w:val="0"/>
        <w:widowControl/>
        <w:suppressLineNumbers w:val="0"/>
        <w:rPr>
          <w:rFonts w:hint="eastAsia"/>
        </w:rPr>
      </w:pPr>
      <w:r>
        <w:rPr>
          <w:rFonts w:hint="eastAsia" w:ascii="华文仿宋" w:hAnsi="华文仿宋" w:eastAsia="华文仿宋" w:cs="华文仿宋"/>
          <w:b w:val="0"/>
          <w:bCs w:val="0"/>
          <w:kern w:val="0"/>
          <w:sz w:val="28"/>
          <w:szCs w:val="28"/>
          <w:lang w:val="en-US" w:eastAsia="zh-CN" w:bidi="ar-SA"/>
        </w:rPr>
        <w:t>　　进入下周，国际原油期货高位震荡为主，变化率维持负向区间波动，本轮零售价或兑现下调，消息方面指向偏空。供需方面来看，受6月份青岛上合峰会影响，部分山东地炼开工负荷或小幅降低，成品油供应量或有少量缩减。与此同时，受各地高温天气增多影响，车用空调使用频率增加，一定程度上带动汽油需求增多。柴油方面来看，随着夏收季节临近，农业用油消耗量相对增加。步入新的销售月份，主营单位销售压力暂缓，但不排除部分单位提前促销赶量可能。预计下周国内汽柴油行情或稳中趋弱，市场交投氛围延续清淡。</w:t>
      </w:r>
    </w:p>
    <w:bookmarkEnd w:id="46"/>
    <w:bookmarkEnd w:id="47"/>
    <w:p>
      <w:pPr>
        <w:numPr>
          <w:ilvl w:val="0"/>
          <w:numId w:val="0"/>
        </w:numPr>
        <w:outlineLvl w:val="0"/>
        <w:rPr>
          <w:rFonts w:ascii="黑体"/>
          <w:b/>
          <w:bCs/>
          <w:sz w:val="28"/>
          <w:szCs w:val="28"/>
        </w:rPr>
      </w:pPr>
      <w:bookmarkStart w:id="49" w:name="_Toc505350014"/>
      <w:bookmarkStart w:id="50" w:name="_Toc281568208"/>
      <w:bookmarkStart w:id="51" w:name="_Toc180485827"/>
      <w:bookmarkStart w:id="52" w:name="_Toc460250410"/>
      <w:bookmarkStart w:id="53" w:name="_Toc296600818"/>
      <w:bookmarkStart w:id="54" w:name="_Toc369858747"/>
      <w:bookmarkStart w:id="55" w:name="_Toc296600819"/>
      <w:bookmarkStart w:id="56" w:name="_Toc281568211"/>
      <w:r>
        <w:rPr>
          <w:rFonts w:hint="eastAsia" w:ascii="黑体"/>
          <w:b/>
          <w:bCs/>
          <w:sz w:val="28"/>
          <w:szCs w:val="28"/>
          <w:lang w:eastAsia="zh-CN"/>
        </w:rPr>
        <w:t>四、</w:t>
      </w:r>
      <w:r>
        <w:rPr>
          <w:rFonts w:hint="eastAsia" w:ascii="黑体"/>
          <w:b/>
          <w:bCs/>
          <w:sz w:val="28"/>
          <w:szCs w:val="28"/>
        </w:rPr>
        <w:t>国内溶剂油市场综述</w:t>
      </w:r>
      <w:bookmarkEnd w:id="49"/>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sz w:val="21"/>
          <w:szCs w:val="21"/>
        </w:rPr>
        <w:t>　</w:t>
      </w:r>
      <w:r>
        <w:rPr>
          <w:rFonts w:hint="eastAsia" w:ascii="华文仿宋" w:hAnsi="华文仿宋" w:eastAsia="华文仿宋" w:cs="华文仿宋"/>
          <w:b w:val="0"/>
          <w:bCs w:val="0"/>
          <w:kern w:val="0"/>
          <w:sz w:val="28"/>
          <w:szCs w:val="28"/>
          <w:lang w:val="en-US" w:eastAsia="zh-CN" w:bidi="ar-SA"/>
        </w:rPr>
        <w:t xml:space="preserve">  </w:t>
      </w:r>
      <w:bookmarkStart w:id="80" w:name="_GoBack"/>
      <w:r>
        <w:rPr>
          <w:rFonts w:hint="eastAsia" w:ascii="华文仿宋" w:hAnsi="华文仿宋" w:eastAsia="华文仿宋" w:cs="华文仿宋"/>
          <w:b w:val="0"/>
          <w:bCs w:val="0"/>
          <w:kern w:val="0"/>
          <w:sz w:val="28"/>
          <w:szCs w:val="28"/>
          <w:lang w:val="en-US" w:eastAsia="zh-CN" w:bidi="ar-SA"/>
        </w:rPr>
        <w:t xml:space="preserve"> 本周国内溶剂油市场低迷整理，成交清淡为主。原油供应面临多方压力，油价承压大幅下挫，但碍于本轮成品油零售价即将兑现上调，减缓了原油大跌带给市场的影响，溶剂油市场观望氛围较为浓厚。山东区内个别炼厂小幅下调报盘价格以便快速销货，但需求端多持币观望，实单操盘有限。此外，市场前期“买涨”情绪高涨，下游库存涨至高位。当前消息面指向偏弱下，区内商家多场外消库为主，市场鲜有新单达成。另处于月末，各炼厂处于对账期，大幅调整可能性不大，业者多根据自有需求寻货，市场成交小单居多。后市预测：伴随夏收结束以及户外工厂、基建等行业开工有限的影响下，非标200#溶剂油市场承压明显。但是入夏的暑热将加速车内空调的使用频率，从而提振非标 120#销货速度。加之 5 月石脑油结算价连续走高，为后期溶剂油价格走高提供较大助力。然考虑在当前市场货源较为充裕的情况下，仍以消库为主，上涨动力将回受限。综合而言，预计下周溶剂油市场呈现小幅上涨步伐，但涨幅将有限。</w:t>
      </w:r>
    </w:p>
    <w:bookmarkEnd w:id="80"/>
    <w:p>
      <w:pPr>
        <w:pStyle w:val="19"/>
        <w:keepNext w:val="0"/>
        <w:keepLines w:val="0"/>
        <w:widowControl/>
        <w:suppressLineNumbers w:val="0"/>
        <w:rPr>
          <w:rFonts w:hint="eastAsia" w:ascii="华文仿宋" w:hAnsi="华文仿宋" w:eastAsia="华文仿宋" w:cs="华文仿宋"/>
          <w:kern w:val="0"/>
          <w:sz w:val="28"/>
          <w:szCs w:val="28"/>
          <w:lang w:val="en-US" w:eastAsia="zh-CN" w:bidi="ar-SA"/>
        </w:rPr>
      </w:pPr>
    </w:p>
    <w:bookmarkEnd w:id="50"/>
    <w:bookmarkEnd w:id="51"/>
    <w:bookmarkEnd w:id="52"/>
    <w:bookmarkEnd w:id="53"/>
    <w:bookmarkEnd w:id="54"/>
    <w:p>
      <w:pPr>
        <w:pStyle w:val="2"/>
        <w:spacing w:line="360" w:lineRule="auto"/>
        <w:rPr>
          <w:rFonts w:hint="eastAsia" w:ascii="Microsoft YaHei" w:hAnsi="Microsoft YaHei" w:cs="宋体"/>
          <w:kern w:val="0"/>
          <w:sz w:val="23"/>
          <w:szCs w:val="23"/>
        </w:rPr>
      </w:pPr>
      <w:bookmarkStart w:id="57" w:name="_Toc460250411"/>
      <w:bookmarkStart w:id="58" w:name="_Toc505350015"/>
      <w:r>
        <w:rPr>
          <w:rFonts w:hint="eastAsia" w:ascii="黑体" w:hAnsi="宋体"/>
          <w:sz w:val="28"/>
          <w:szCs w:val="28"/>
        </w:rPr>
        <w:t>五、本周国内炼厂溶剂油产品价格对比</w:t>
      </w:r>
      <w:bookmarkEnd w:id="55"/>
      <w:bookmarkEnd w:id="56"/>
      <w:bookmarkEnd w:id="57"/>
      <w:bookmarkEnd w:id="58"/>
    </w:p>
    <w:p>
      <w:pPr>
        <w:rPr>
          <w:rFonts w:ascii="宋体" w:hAnsi="宋体"/>
          <w:sz w:val="20"/>
          <w:szCs w:val="20"/>
        </w:rPr>
      </w:pPr>
      <w:r>
        <w:rPr>
          <w:rFonts w:hint="eastAsia" w:ascii="宋体" w:hAnsi="宋体"/>
          <w:sz w:val="20"/>
          <w:szCs w:val="20"/>
        </w:rPr>
        <w:t>单位：元/吨</w:t>
      </w:r>
    </w:p>
    <w:p>
      <w:pPr>
        <w:rPr>
          <w:rFonts w:ascii="宋体" w:hAnsi="宋体"/>
          <w:sz w:val="20"/>
          <w:szCs w:val="20"/>
        </w:rPr>
      </w:pPr>
    </w:p>
    <w:tbl>
      <w:tblPr>
        <w:tblW w:w="9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90"/>
        <w:gridCol w:w="1951"/>
        <w:gridCol w:w="1090"/>
        <w:gridCol w:w="1091"/>
        <w:gridCol w:w="1090"/>
        <w:gridCol w:w="1091"/>
        <w:gridCol w:w="1244"/>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951"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090"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091"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090"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091"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244"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2018-6-1</w:t>
            </w:r>
          </w:p>
        </w:tc>
        <w:tc>
          <w:tcPr>
            <w:tcW w:w="1126"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5600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山东集兴化工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山东集兴化工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青岛石化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济南炼厂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东明石化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镇海炼化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镇海炼化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高桥石化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高桥石化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杭州炼厂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泰州石化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金陵烷基苯厂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扬州石化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广州赫尔普公司</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广州赫尔普公司</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南海志德</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南海志德</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南方石油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南方石油</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茂名华粤</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茂名华粤</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福建联合</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巴陵石化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巴陵石化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南阳石化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武汉石化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武汉石化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独山子石化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独山子石化</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新疆康佳投资(集团)</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新疆康佳投资(集团)</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5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南充炼厂</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jc w:val="center"/>
        <w:rPr>
          <w:rFonts w:hint="eastAsia"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59" w:name="_Toc296600821"/>
      <w:bookmarkStart w:id="60" w:name="_Toc460250412"/>
      <w:bookmarkStart w:id="61" w:name="_Toc505350016"/>
      <w:bookmarkStart w:id="62" w:name="_Toc281568213"/>
      <w:r>
        <w:rPr>
          <w:rFonts w:hint="eastAsia" w:ascii="黑体" w:hAnsi="宋体"/>
          <w:sz w:val="28"/>
          <w:szCs w:val="28"/>
        </w:rPr>
        <w:t>六、D系列特种溶剂油</w:t>
      </w:r>
      <w:bookmarkEnd w:id="59"/>
      <w:bookmarkEnd w:id="60"/>
      <w:bookmarkEnd w:id="61"/>
      <w:bookmarkEnd w:id="6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本周国内D系列溶剂油价格汇总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单位：元/吨</w:t>
      </w: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09"/>
        <w:gridCol w:w="1232"/>
        <w:gridCol w:w="1233"/>
        <w:gridCol w:w="1233"/>
        <w:gridCol w:w="1232"/>
        <w:gridCol w:w="1404"/>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23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2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2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23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40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2018-6-1</w:t>
            </w:r>
          </w:p>
        </w:tc>
        <w:tc>
          <w:tcPr>
            <w:tcW w:w="123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D20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D75</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D95</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D105</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D110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D120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8150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8550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D110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D70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D95</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D65</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3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3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3" w:name="_Toc505350017"/>
      <w:bookmarkStart w:id="64" w:name="_Toc281568214"/>
      <w:bookmarkStart w:id="65" w:name="_Toc460250413"/>
      <w:bookmarkStart w:id="66" w:name="_Toc296600822"/>
      <w:r>
        <w:rPr>
          <w:rFonts w:hint="eastAsia" w:ascii="华文仿宋" w:hAnsi="华文仿宋" w:eastAsia="华文仿宋"/>
          <w:bCs w:val="0"/>
          <w:kern w:val="2"/>
          <w:sz w:val="28"/>
          <w:szCs w:val="28"/>
        </w:rPr>
        <w:t>七、重芳烃溶剂油</w:t>
      </w:r>
      <w:bookmarkEnd w:id="63"/>
      <w:bookmarkEnd w:id="64"/>
      <w:bookmarkEnd w:id="65"/>
      <w:bookmarkEnd w:id="66"/>
    </w:p>
    <w:p>
      <w:pPr>
        <w:autoSpaceDE w:val="0"/>
        <w:autoSpaceDN w:val="0"/>
        <w:adjustRightInd w:val="0"/>
        <w:ind w:firstLine="140" w:firstLineChars="50"/>
        <w:rPr>
          <w:rFonts w:ascii="华文仿宋" w:hAnsi="华文仿宋" w:eastAsia="华文仿宋"/>
          <w:sz w:val="28"/>
          <w:szCs w:val="28"/>
        </w:rPr>
      </w:pPr>
      <w:r>
        <w:rPr>
          <w:rFonts w:hint="eastAsia" w:ascii="华文仿宋" w:hAnsi="华文仿宋" w:eastAsia="华文仿宋"/>
          <w:sz w:val="28"/>
          <w:szCs w:val="28"/>
        </w:rPr>
        <w:t>单位：元/吨</w:t>
      </w:r>
    </w:p>
    <w:tbl>
      <w:tblPr>
        <w:tblW w:w="9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12"/>
        <w:gridCol w:w="1650"/>
        <w:gridCol w:w="1312"/>
        <w:gridCol w:w="1113"/>
        <w:gridCol w:w="1112"/>
        <w:gridCol w:w="1081"/>
        <w:gridCol w:w="1267"/>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65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31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11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11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081"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26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2018-6-1</w:t>
            </w:r>
          </w:p>
        </w:tc>
        <w:tc>
          <w:tcPr>
            <w:tcW w:w="1126"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辽阳化纤</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盘锦和运实业</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混合芳烃</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燕化高新</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燕化高新</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S100A</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S100B</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天津兴实化工有限公司</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混三甲苯-1</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混三甲苯-3</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丹阳联东化工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混四甲苯</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云合化工厂</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S-2300#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6500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常熟联邦</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5600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S1001#</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S1501#</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S1800A</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溧阳诚兴化工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S1800B</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S100#A</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S100#B</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S100#C</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S180#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江苏华伦化工</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S200#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混合甲乙苯</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混合三甲苯</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洛阳宇晶</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S1000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洛阳宇晶</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S1500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4000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九江华庐</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C9</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九江华庐</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C10</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6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中海油惠州</w:t>
            </w:r>
          </w:p>
        </w:tc>
        <w:tc>
          <w:tcPr>
            <w:tcW w:w="13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芳烃溶剂油</w:t>
            </w:r>
          </w:p>
        </w:tc>
        <w:tc>
          <w:tcPr>
            <w:tcW w:w="111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C9</w:t>
            </w:r>
          </w:p>
        </w:tc>
        <w:tc>
          <w:tcPr>
            <w:tcW w:w="111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jc w:val="center"/>
        <w:rPr>
          <w:rFonts w:hint="eastAsia" w:ascii="华文仿宋" w:hAnsi="华文仿宋" w:eastAsia="华文仿宋"/>
          <w:sz w:val="28"/>
          <w:szCs w:val="28"/>
          <w:lang w:val="en-US" w:eastAsia="zh-CN"/>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7" w:name="_Toc180485835"/>
      <w:bookmarkStart w:id="68" w:name="_Toc296600823"/>
      <w:bookmarkStart w:id="69" w:name="_Toc460250414"/>
      <w:bookmarkStart w:id="70" w:name="_Toc281568215"/>
      <w:bookmarkStart w:id="71" w:name="_Toc505350018"/>
      <w:r>
        <w:rPr>
          <w:rFonts w:hint="eastAsia" w:ascii="华文仿宋" w:hAnsi="华文仿宋" w:eastAsia="华文仿宋"/>
          <w:bCs w:val="0"/>
          <w:kern w:val="2"/>
          <w:sz w:val="28"/>
          <w:szCs w:val="28"/>
        </w:rPr>
        <w:t>八、正己烷</w:t>
      </w:r>
      <w:bookmarkEnd w:id="67"/>
      <w:bookmarkEnd w:id="68"/>
      <w:bookmarkEnd w:id="69"/>
      <w:bookmarkEnd w:id="70"/>
      <w:bookmarkEnd w:id="7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hAnsi="华文仿宋" w:eastAsia="华文仿宋"/>
          <w:sz w:val="28"/>
          <w:szCs w:val="28"/>
        </w:rPr>
      </w:pPr>
      <w:r>
        <w:rPr>
          <w:rFonts w:hint="eastAsia" w:ascii="华文仿宋" w:hAnsi="华文仿宋" w:eastAsia="华文仿宋"/>
          <w:sz w:val="28"/>
          <w:szCs w:val="28"/>
        </w:rPr>
        <w:t>本周国内正己烷价格汇总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 xml:space="preserve">单位：元/吨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902"/>
        <w:gridCol w:w="1903"/>
        <w:gridCol w:w="1902"/>
        <w:gridCol w:w="2167"/>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90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90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216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2018-6-1</w:t>
            </w:r>
          </w:p>
        </w:tc>
        <w:tc>
          <w:tcPr>
            <w:tcW w:w="1902"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7040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300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7400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90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9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hint="eastAsia" w:ascii="华文仿宋" w:hAnsi="华文仿宋" w:eastAsia="华文仿宋"/>
          <w:b w:val="0"/>
          <w:bCs w:val="0"/>
          <w:kern w:val="2"/>
          <w:sz w:val="28"/>
          <w:szCs w:val="28"/>
        </w:rPr>
      </w:pPr>
      <w:bookmarkStart w:id="72" w:name="_Toc296600824"/>
      <w:bookmarkStart w:id="73" w:name="_Toc505350019"/>
      <w:bookmarkStart w:id="74" w:name="_Toc460250415"/>
      <w:bookmarkStart w:id="75" w:name="_Toc281568216"/>
      <w:r>
        <w:rPr>
          <w:rFonts w:hint="eastAsia" w:ascii="华文仿宋" w:hAnsi="华文仿宋" w:eastAsia="华文仿宋"/>
          <w:b w:val="0"/>
          <w:bCs w:val="0"/>
          <w:kern w:val="2"/>
          <w:sz w:val="28"/>
          <w:szCs w:val="28"/>
        </w:rPr>
        <w:t>九、201</w:t>
      </w:r>
      <w:r>
        <w:rPr>
          <w:rFonts w:hint="eastAsia" w:ascii="华文仿宋" w:hAnsi="华文仿宋" w:eastAsia="华文仿宋"/>
          <w:b w:val="0"/>
          <w:bCs w:val="0"/>
          <w:kern w:val="2"/>
          <w:sz w:val="28"/>
          <w:szCs w:val="28"/>
          <w:lang w:val="en-US" w:eastAsia="zh-CN"/>
        </w:rPr>
        <w:t>8</w:t>
      </w:r>
      <w:r>
        <w:rPr>
          <w:rFonts w:hint="eastAsia" w:ascii="华文仿宋" w:hAnsi="华文仿宋" w:eastAsia="华文仿宋"/>
          <w:b w:val="0"/>
          <w:bCs w:val="0"/>
          <w:kern w:val="2"/>
          <w:sz w:val="28"/>
          <w:szCs w:val="28"/>
        </w:rPr>
        <w:t>年</w:t>
      </w:r>
      <w:r>
        <w:rPr>
          <w:rFonts w:hint="eastAsia" w:ascii="华文仿宋" w:hAnsi="华文仿宋" w:eastAsia="华文仿宋"/>
          <w:b w:val="0"/>
          <w:bCs w:val="0"/>
          <w:kern w:val="2"/>
          <w:sz w:val="28"/>
          <w:szCs w:val="28"/>
          <w:lang w:val="en-US" w:eastAsia="zh-CN"/>
        </w:rPr>
        <w:t>3</w:t>
      </w:r>
      <w:r>
        <w:rPr>
          <w:rFonts w:hint="eastAsia" w:ascii="华文仿宋" w:hAnsi="华文仿宋" w:eastAsia="华文仿宋"/>
          <w:b w:val="0"/>
          <w:bCs w:val="0"/>
          <w:kern w:val="2"/>
          <w:sz w:val="28"/>
          <w:szCs w:val="28"/>
        </w:rPr>
        <w:t>月中国溶剂油石脑油进出口数据统计</w:t>
      </w:r>
      <w:bookmarkEnd w:id="72"/>
      <w:bookmarkEnd w:id="73"/>
      <w:bookmarkEnd w:id="74"/>
      <w:bookmarkEnd w:id="75"/>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bookmarkStart w:id="76" w:name="_Toc281568218"/>
      <w:bookmarkStart w:id="77" w:name="_Toc296600826"/>
      <w:r>
        <w:rPr>
          <w:rFonts w:hint="eastAsia" w:ascii="华文仿宋" w:hAnsi="华文仿宋" w:eastAsia="华文仿宋"/>
          <w:sz w:val="28"/>
          <w:szCs w:val="28"/>
        </w:rPr>
        <w:t>201</w:t>
      </w: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月中国</w:t>
      </w:r>
      <w:r>
        <w:rPr>
          <w:rFonts w:ascii="华文仿宋" w:hAnsi="华文仿宋" w:eastAsia="华文仿宋"/>
          <w:sz w:val="28"/>
          <w:szCs w:val="28"/>
        </w:rPr>
        <w:t>橡胶溶剂油、油漆溶剂油、抽提溶剂油</w:t>
      </w:r>
      <w:bookmarkEnd w:id="76"/>
      <w:bookmarkEnd w:id="77"/>
      <w:r>
        <w:rPr>
          <w:rFonts w:hint="eastAsia" w:ascii="华文仿宋" w:hAnsi="华文仿宋" w:eastAsia="华文仿宋"/>
          <w:sz w:val="28"/>
          <w:szCs w:val="28"/>
        </w:rPr>
        <w:t>进出口数据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80"/>
        <w:gridCol w:w="1790"/>
        <w:gridCol w:w="1621"/>
        <w:gridCol w:w="1743"/>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790"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621"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743"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742"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4964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台湾省</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10560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23654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德国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986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新加坡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785199</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1096866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日本</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43468</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92487</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朝鲜</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30020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42028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比利时</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2559</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8202</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法国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12400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12524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628</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4506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荷兰</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1216</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4139</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35760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53998</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香港</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24960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马来西亚</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32600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35244</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201</w:t>
      </w: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月石脑油进出口数据(数量单位：千克/升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55"/>
        <w:gridCol w:w="1955"/>
        <w:gridCol w:w="1956"/>
        <w:gridCol w:w="1955"/>
        <w:gridCol w:w="1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956"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60850458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32928505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印度</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29972525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17664699</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埃及</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36355897</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21572481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日本</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荷兰</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55866332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32618531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阿拉伯联合酋长国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55461759</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32868053</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64861818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37385693</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jc w:val="center"/>
        <w:rPr>
          <w:rFonts w:ascii="华文仿宋" w:hAnsi="华文仿宋" w:eastAsia="华文仿宋"/>
          <w:sz w:val="28"/>
          <w:szCs w:val="28"/>
        </w:rPr>
      </w:pPr>
    </w:p>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Microsoft YaHei">
    <w:altName w:val="Courier New"/>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roman"/>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44</w:t>
    </w:r>
    <w:r>
      <w:rPr>
        <w:b/>
        <w:bCs/>
        <w:sz w:val="24"/>
        <w:szCs w:val="24"/>
      </w:rPr>
      <w:fldChar w:fldCharType="end"/>
    </w:r>
  </w:p>
  <w:p>
    <w:pPr>
      <w:pStyle w:val="1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pPr>
      <w:pStyle w:val="13"/>
      <w:pBdr>
        <w:bottom w:val="none" w:color="auto" w:sz="0" w:space="0"/>
      </w:pBdr>
    </w:pPr>
  </w:p>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D6932"/>
    <w:multiLevelType w:val="singleLevel"/>
    <w:tmpl w:val="F97D6932"/>
    <w:lvl w:ilvl="0" w:tentative="0">
      <w:start w:val="1"/>
      <w:numFmt w:val="decimal"/>
      <w:suff w:val="nothing"/>
      <w:lvlText w:val="%1、"/>
      <w:lvlJc w:val="left"/>
    </w:lvl>
  </w:abstractNum>
  <w:abstractNum w:abstractNumId="1">
    <w:nsid w:val="2E66BECC"/>
    <w:multiLevelType w:val="singleLevel"/>
    <w:tmpl w:val="2E66BECC"/>
    <w:lvl w:ilvl="0" w:tentative="0">
      <w:start w:val="1"/>
      <w:numFmt w:val="decimal"/>
      <w:suff w:val="nothing"/>
      <w:lvlText w:val="%1、"/>
      <w:lvlJc w:val="left"/>
    </w:lvl>
  </w:abstractNum>
  <w:abstractNum w:abstractNumId="2">
    <w:nsid w:val="37716F8E"/>
    <w:multiLevelType w:val="singleLevel"/>
    <w:tmpl w:val="37716F8E"/>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4CFF"/>
    <w:rsid w:val="000071C7"/>
    <w:rsid w:val="00007808"/>
    <w:rsid w:val="000121DE"/>
    <w:rsid w:val="00013FDF"/>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62A0"/>
    <w:rsid w:val="00087B10"/>
    <w:rsid w:val="00096A95"/>
    <w:rsid w:val="00097DEF"/>
    <w:rsid w:val="000A0D0E"/>
    <w:rsid w:val="000B1002"/>
    <w:rsid w:val="000B1594"/>
    <w:rsid w:val="000B2483"/>
    <w:rsid w:val="000B4670"/>
    <w:rsid w:val="000C4C8D"/>
    <w:rsid w:val="000D02E6"/>
    <w:rsid w:val="000D3893"/>
    <w:rsid w:val="000D6DB7"/>
    <w:rsid w:val="000D7C1F"/>
    <w:rsid w:val="000E12DD"/>
    <w:rsid w:val="000E3ED3"/>
    <w:rsid w:val="000E4486"/>
    <w:rsid w:val="000F4930"/>
    <w:rsid w:val="000F6AFC"/>
    <w:rsid w:val="00100B41"/>
    <w:rsid w:val="001028D9"/>
    <w:rsid w:val="00103D77"/>
    <w:rsid w:val="001045A7"/>
    <w:rsid w:val="00111DD8"/>
    <w:rsid w:val="00111F37"/>
    <w:rsid w:val="00113D3C"/>
    <w:rsid w:val="00114C42"/>
    <w:rsid w:val="00114D13"/>
    <w:rsid w:val="00123276"/>
    <w:rsid w:val="00130438"/>
    <w:rsid w:val="001316A0"/>
    <w:rsid w:val="001351B0"/>
    <w:rsid w:val="00137FFE"/>
    <w:rsid w:val="00147D86"/>
    <w:rsid w:val="00167025"/>
    <w:rsid w:val="00183F2A"/>
    <w:rsid w:val="00194FF2"/>
    <w:rsid w:val="00195689"/>
    <w:rsid w:val="001A3318"/>
    <w:rsid w:val="001A58F5"/>
    <w:rsid w:val="001B0F30"/>
    <w:rsid w:val="001B2E5D"/>
    <w:rsid w:val="001B32BE"/>
    <w:rsid w:val="001B7F7D"/>
    <w:rsid w:val="001C077C"/>
    <w:rsid w:val="001C20CD"/>
    <w:rsid w:val="001C37E2"/>
    <w:rsid w:val="001C5CC6"/>
    <w:rsid w:val="001D1279"/>
    <w:rsid w:val="001D2FA8"/>
    <w:rsid w:val="001D35A4"/>
    <w:rsid w:val="001D3943"/>
    <w:rsid w:val="001D408B"/>
    <w:rsid w:val="001D48F1"/>
    <w:rsid w:val="001E2FF2"/>
    <w:rsid w:val="001E7175"/>
    <w:rsid w:val="001F0235"/>
    <w:rsid w:val="001F24AD"/>
    <w:rsid w:val="001F325D"/>
    <w:rsid w:val="001F3557"/>
    <w:rsid w:val="00200758"/>
    <w:rsid w:val="00212A13"/>
    <w:rsid w:val="00214955"/>
    <w:rsid w:val="0021517F"/>
    <w:rsid w:val="00216D04"/>
    <w:rsid w:val="00225CE6"/>
    <w:rsid w:val="00227F5A"/>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74D99"/>
    <w:rsid w:val="00277D2C"/>
    <w:rsid w:val="002828E1"/>
    <w:rsid w:val="00290A13"/>
    <w:rsid w:val="0029167F"/>
    <w:rsid w:val="0029698F"/>
    <w:rsid w:val="002A0B34"/>
    <w:rsid w:val="002A1698"/>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2110B"/>
    <w:rsid w:val="003240B9"/>
    <w:rsid w:val="00324F27"/>
    <w:rsid w:val="00327FC0"/>
    <w:rsid w:val="00344452"/>
    <w:rsid w:val="003530D9"/>
    <w:rsid w:val="00355C68"/>
    <w:rsid w:val="003572B9"/>
    <w:rsid w:val="0035738C"/>
    <w:rsid w:val="0036061A"/>
    <w:rsid w:val="00361079"/>
    <w:rsid w:val="00365DE0"/>
    <w:rsid w:val="00370336"/>
    <w:rsid w:val="00370DF6"/>
    <w:rsid w:val="0037670E"/>
    <w:rsid w:val="00377F89"/>
    <w:rsid w:val="00380D44"/>
    <w:rsid w:val="00381DF6"/>
    <w:rsid w:val="00384C31"/>
    <w:rsid w:val="00387771"/>
    <w:rsid w:val="00391FCD"/>
    <w:rsid w:val="00394660"/>
    <w:rsid w:val="00397D27"/>
    <w:rsid w:val="003A05B5"/>
    <w:rsid w:val="003A177D"/>
    <w:rsid w:val="003A4492"/>
    <w:rsid w:val="003B2552"/>
    <w:rsid w:val="003B4A54"/>
    <w:rsid w:val="003C393A"/>
    <w:rsid w:val="003D18AF"/>
    <w:rsid w:val="003D6166"/>
    <w:rsid w:val="003D632C"/>
    <w:rsid w:val="003E2A66"/>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78A"/>
    <w:rsid w:val="004B2762"/>
    <w:rsid w:val="004B4629"/>
    <w:rsid w:val="004B5ABD"/>
    <w:rsid w:val="004C0320"/>
    <w:rsid w:val="004C1F94"/>
    <w:rsid w:val="004C2578"/>
    <w:rsid w:val="004C515D"/>
    <w:rsid w:val="004D1EB5"/>
    <w:rsid w:val="004D3C9D"/>
    <w:rsid w:val="004D6F1B"/>
    <w:rsid w:val="004E0D9B"/>
    <w:rsid w:val="004E2F19"/>
    <w:rsid w:val="004F3817"/>
    <w:rsid w:val="004F491D"/>
    <w:rsid w:val="004F57CD"/>
    <w:rsid w:val="004F7B37"/>
    <w:rsid w:val="0050120B"/>
    <w:rsid w:val="00501686"/>
    <w:rsid w:val="00501DD8"/>
    <w:rsid w:val="00504E0E"/>
    <w:rsid w:val="00510901"/>
    <w:rsid w:val="0051359C"/>
    <w:rsid w:val="00517918"/>
    <w:rsid w:val="0052375A"/>
    <w:rsid w:val="00524DE5"/>
    <w:rsid w:val="00527E80"/>
    <w:rsid w:val="00530810"/>
    <w:rsid w:val="0053224A"/>
    <w:rsid w:val="00533757"/>
    <w:rsid w:val="005351E4"/>
    <w:rsid w:val="005429EE"/>
    <w:rsid w:val="00542C07"/>
    <w:rsid w:val="005579EC"/>
    <w:rsid w:val="00565438"/>
    <w:rsid w:val="005666EC"/>
    <w:rsid w:val="005670E7"/>
    <w:rsid w:val="005673DC"/>
    <w:rsid w:val="00581114"/>
    <w:rsid w:val="00581F9C"/>
    <w:rsid w:val="00585C56"/>
    <w:rsid w:val="00587D98"/>
    <w:rsid w:val="00595E1A"/>
    <w:rsid w:val="0059652E"/>
    <w:rsid w:val="005965F5"/>
    <w:rsid w:val="00597232"/>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612F43"/>
    <w:rsid w:val="006145D2"/>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745D"/>
    <w:rsid w:val="006D0372"/>
    <w:rsid w:val="006D0B7F"/>
    <w:rsid w:val="006D0C94"/>
    <w:rsid w:val="006D23A3"/>
    <w:rsid w:val="006D6ABD"/>
    <w:rsid w:val="006E195D"/>
    <w:rsid w:val="006E58D9"/>
    <w:rsid w:val="006E7999"/>
    <w:rsid w:val="006F2697"/>
    <w:rsid w:val="006F7170"/>
    <w:rsid w:val="00720A30"/>
    <w:rsid w:val="00721AE4"/>
    <w:rsid w:val="00723454"/>
    <w:rsid w:val="007271CA"/>
    <w:rsid w:val="00730BB5"/>
    <w:rsid w:val="007314A0"/>
    <w:rsid w:val="00731F5F"/>
    <w:rsid w:val="007326DF"/>
    <w:rsid w:val="00742A37"/>
    <w:rsid w:val="00763F6F"/>
    <w:rsid w:val="00765F8B"/>
    <w:rsid w:val="00767C71"/>
    <w:rsid w:val="007752FF"/>
    <w:rsid w:val="00776D2B"/>
    <w:rsid w:val="007815C0"/>
    <w:rsid w:val="00782BC6"/>
    <w:rsid w:val="00783A4E"/>
    <w:rsid w:val="00785313"/>
    <w:rsid w:val="00785EE7"/>
    <w:rsid w:val="007873C3"/>
    <w:rsid w:val="00793DD7"/>
    <w:rsid w:val="00797A26"/>
    <w:rsid w:val="007A3B57"/>
    <w:rsid w:val="007A73BE"/>
    <w:rsid w:val="007A78BE"/>
    <w:rsid w:val="007B38A5"/>
    <w:rsid w:val="007B3E0D"/>
    <w:rsid w:val="007B4C66"/>
    <w:rsid w:val="007C001C"/>
    <w:rsid w:val="007C0E95"/>
    <w:rsid w:val="007C32F6"/>
    <w:rsid w:val="007C748B"/>
    <w:rsid w:val="007D28DE"/>
    <w:rsid w:val="007E52C7"/>
    <w:rsid w:val="007E6808"/>
    <w:rsid w:val="007F0394"/>
    <w:rsid w:val="007F1029"/>
    <w:rsid w:val="007F4B19"/>
    <w:rsid w:val="00806040"/>
    <w:rsid w:val="008156F9"/>
    <w:rsid w:val="008161B2"/>
    <w:rsid w:val="00832565"/>
    <w:rsid w:val="008336D0"/>
    <w:rsid w:val="00835D26"/>
    <w:rsid w:val="00836111"/>
    <w:rsid w:val="00837F73"/>
    <w:rsid w:val="00837FE5"/>
    <w:rsid w:val="008400E1"/>
    <w:rsid w:val="00844D40"/>
    <w:rsid w:val="0085080D"/>
    <w:rsid w:val="00851423"/>
    <w:rsid w:val="00851E9E"/>
    <w:rsid w:val="008526E8"/>
    <w:rsid w:val="00853E97"/>
    <w:rsid w:val="00863FA6"/>
    <w:rsid w:val="00867B6F"/>
    <w:rsid w:val="00871AD9"/>
    <w:rsid w:val="00881178"/>
    <w:rsid w:val="00881E5D"/>
    <w:rsid w:val="0088710F"/>
    <w:rsid w:val="00887728"/>
    <w:rsid w:val="00887BB7"/>
    <w:rsid w:val="00890FEA"/>
    <w:rsid w:val="00894685"/>
    <w:rsid w:val="00897839"/>
    <w:rsid w:val="008A0EA8"/>
    <w:rsid w:val="008A71DE"/>
    <w:rsid w:val="008D3798"/>
    <w:rsid w:val="008D4C33"/>
    <w:rsid w:val="008D6398"/>
    <w:rsid w:val="008E2155"/>
    <w:rsid w:val="008E2C6F"/>
    <w:rsid w:val="008E6CAE"/>
    <w:rsid w:val="008F047D"/>
    <w:rsid w:val="008F309D"/>
    <w:rsid w:val="008F4D12"/>
    <w:rsid w:val="009136FA"/>
    <w:rsid w:val="009166B6"/>
    <w:rsid w:val="00917A6A"/>
    <w:rsid w:val="00920F2D"/>
    <w:rsid w:val="00921A1B"/>
    <w:rsid w:val="00922FF4"/>
    <w:rsid w:val="009347F0"/>
    <w:rsid w:val="00935F33"/>
    <w:rsid w:val="0093638A"/>
    <w:rsid w:val="009378FF"/>
    <w:rsid w:val="00940754"/>
    <w:rsid w:val="00944A63"/>
    <w:rsid w:val="00945B4E"/>
    <w:rsid w:val="00947B06"/>
    <w:rsid w:val="00947B15"/>
    <w:rsid w:val="00952E08"/>
    <w:rsid w:val="00954B41"/>
    <w:rsid w:val="00956005"/>
    <w:rsid w:val="00956999"/>
    <w:rsid w:val="00964933"/>
    <w:rsid w:val="009717D1"/>
    <w:rsid w:val="00974FDE"/>
    <w:rsid w:val="00975BF1"/>
    <w:rsid w:val="00980E9A"/>
    <w:rsid w:val="00987DE6"/>
    <w:rsid w:val="00993180"/>
    <w:rsid w:val="009A3031"/>
    <w:rsid w:val="009A6AB7"/>
    <w:rsid w:val="009B11C6"/>
    <w:rsid w:val="009D30D0"/>
    <w:rsid w:val="009D3DF0"/>
    <w:rsid w:val="009D4EB3"/>
    <w:rsid w:val="009F05BF"/>
    <w:rsid w:val="009F1D70"/>
    <w:rsid w:val="009F5944"/>
    <w:rsid w:val="00A0021E"/>
    <w:rsid w:val="00A0658F"/>
    <w:rsid w:val="00A13F55"/>
    <w:rsid w:val="00A140B5"/>
    <w:rsid w:val="00A2031A"/>
    <w:rsid w:val="00A20C84"/>
    <w:rsid w:val="00A26CD6"/>
    <w:rsid w:val="00A31F3B"/>
    <w:rsid w:val="00A33138"/>
    <w:rsid w:val="00A36CBA"/>
    <w:rsid w:val="00A42D38"/>
    <w:rsid w:val="00A4389F"/>
    <w:rsid w:val="00A4409F"/>
    <w:rsid w:val="00A44808"/>
    <w:rsid w:val="00A504C2"/>
    <w:rsid w:val="00A5136B"/>
    <w:rsid w:val="00A51A65"/>
    <w:rsid w:val="00A53FC4"/>
    <w:rsid w:val="00A6075D"/>
    <w:rsid w:val="00A63181"/>
    <w:rsid w:val="00A74C7D"/>
    <w:rsid w:val="00A773DA"/>
    <w:rsid w:val="00A77796"/>
    <w:rsid w:val="00A77E3A"/>
    <w:rsid w:val="00A81F35"/>
    <w:rsid w:val="00A8382F"/>
    <w:rsid w:val="00A8579A"/>
    <w:rsid w:val="00A93708"/>
    <w:rsid w:val="00AA2A31"/>
    <w:rsid w:val="00AA4211"/>
    <w:rsid w:val="00AA5F39"/>
    <w:rsid w:val="00AB0F41"/>
    <w:rsid w:val="00AB4BB0"/>
    <w:rsid w:val="00AB5344"/>
    <w:rsid w:val="00AC0BBE"/>
    <w:rsid w:val="00AC2EAE"/>
    <w:rsid w:val="00AE6B0A"/>
    <w:rsid w:val="00AF044A"/>
    <w:rsid w:val="00AF2497"/>
    <w:rsid w:val="00AF6EDC"/>
    <w:rsid w:val="00B002B8"/>
    <w:rsid w:val="00B049AB"/>
    <w:rsid w:val="00B079E9"/>
    <w:rsid w:val="00B16FDE"/>
    <w:rsid w:val="00B1736E"/>
    <w:rsid w:val="00B2427E"/>
    <w:rsid w:val="00B26353"/>
    <w:rsid w:val="00B32F59"/>
    <w:rsid w:val="00B330CE"/>
    <w:rsid w:val="00B34DB9"/>
    <w:rsid w:val="00B3655C"/>
    <w:rsid w:val="00B36918"/>
    <w:rsid w:val="00B37BD5"/>
    <w:rsid w:val="00B4089B"/>
    <w:rsid w:val="00B41501"/>
    <w:rsid w:val="00B4252A"/>
    <w:rsid w:val="00B43FD3"/>
    <w:rsid w:val="00B54753"/>
    <w:rsid w:val="00B56DAC"/>
    <w:rsid w:val="00B66525"/>
    <w:rsid w:val="00B7201D"/>
    <w:rsid w:val="00B72D56"/>
    <w:rsid w:val="00B73385"/>
    <w:rsid w:val="00B7660A"/>
    <w:rsid w:val="00B80D78"/>
    <w:rsid w:val="00B80F1F"/>
    <w:rsid w:val="00B81D14"/>
    <w:rsid w:val="00B86CFA"/>
    <w:rsid w:val="00B87EBA"/>
    <w:rsid w:val="00B92B61"/>
    <w:rsid w:val="00B969D4"/>
    <w:rsid w:val="00BA7BA1"/>
    <w:rsid w:val="00BC087F"/>
    <w:rsid w:val="00BC23E1"/>
    <w:rsid w:val="00BC2882"/>
    <w:rsid w:val="00BC31D3"/>
    <w:rsid w:val="00BC3AF2"/>
    <w:rsid w:val="00BC4513"/>
    <w:rsid w:val="00BC476E"/>
    <w:rsid w:val="00BD1EE5"/>
    <w:rsid w:val="00BD3E25"/>
    <w:rsid w:val="00BE0143"/>
    <w:rsid w:val="00BE088D"/>
    <w:rsid w:val="00BE60C2"/>
    <w:rsid w:val="00BF4005"/>
    <w:rsid w:val="00BF56EB"/>
    <w:rsid w:val="00BF5FDD"/>
    <w:rsid w:val="00C010CC"/>
    <w:rsid w:val="00C04234"/>
    <w:rsid w:val="00C143F0"/>
    <w:rsid w:val="00C15280"/>
    <w:rsid w:val="00C21042"/>
    <w:rsid w:val="00C22F47"/>
    <w:rsid w:val="00C25298"/>
    <w:rsid w:val="00C263DA"/>
    <w:rsid w:val="00C30738"/>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D06D5"/>
    <w:rsid w:val="00CD5F66"/>
    <w:rsid w:val="00CE2915"/>
    <w:rsid w:val="00CE48BB"/>
    <w:rsid w:val="00CF1CB7"/>
    <w:rsid w:val="00CF7DD5"/>
    <w:rsid w:val="00D013C8"/>
    <w:rsid w:val="00D03E8B"/>
    <w:rsid w:val="00D06BE0"/>
    <w:rsid w:val="00D13DC7"/>
    <w:rsid w:val="00D16B1B"/>
    <w:rsid w:val="00D30499"/>
    <w:rsid w:val="00D340ED"/>
    <w:rsid w:val="00D414AB"/>
    <w:rsid w:val="00D56268"/>
    <w:rsid w:val="00D57F76"/>
    <w:rsid w:val="00D766DC"/>
    <w:rsid w:val="00D853F5"/>
    <w:rsid w:val="00D859DE"/>
    <w:rsid w:val="00D87D5F"/>
    <w:rsid w:val="00D919D9"/>
    <w:rsid w:val="00D9238E"/>
    <w:rsid w:val="00D9776A"/>
    <w:rsid w:val="00DA4501"/>
    <w:rsid w:val="00DA4F2B"/>
    <w:rsid w:val="00DA5FEE"/>
    <w:rsid w:val="00DA6C7F"/>
    <w:rsid w:val="00DB1006"/>
    <w:rsid w:val="00DB57C9"/>
    <w:rsid w:val="00DB79D6"/>
    <w:rsid w:val="00DC59D6"/>
    <w:rsid w:val="00DC60AC"/>
    <w:rsid w:val="00DD364C"/>
    <w:rsid w:val="00DD4EB3"/>
    <w:rsid w:val="00DD7167"/>
    <w:rsid w:val="00DD7E7D"/>
    <w:rsid w:val="00DE139B"/>
    <w:rsid w:val="00DE34F1"/>
    <w:rsid w:val="00DE40FB"/>
    <w:rsid w:val="00DF65D2"/>
    <w:rsid w:val="00E0381A"/>
    <w:rsid w:val="00E2087D"/>
    <w:rsid w:val="00E222B8"/>
    <w:rsid w:val="00E30A09"/>
    <w:rsid w:val="00E33D32"/>
    <w:rsid w:val="00E36209"/>
    <w:rsid w:val="00E4010A"/>
    <w:rsid w:val="00E508F5"/>
    <w:rsid w:val="00E54015"/>
    <w:rsid w:val="00E57AE9"/>
    <w:rsid w:val="00E6086B"/>
    <w:rsid w:val="00E6237C"/>
    <w:rsid w:val="00E70F83"/>
    <w:rsid w:val="00E71E4A"/>
    <w:rsid w:val="00E73393"/>
    <w:rsid w:val="00E74D23"/>
    <w:rsid w:val="00E75CFD"/>
    <w:rsid w:val="00E8370B"/>
    <w:rsid w:val="00E83EC9"/>
    <w:rsid w:val="00E87184"/>
    <w:rsid w:val="00E87533"/>
    <w:rsid w:val="00E944D7"/>
    <w:rsid w:val="00E94998"/>
    <w:rsid w:val="00EA5E30"/>
    <w:rsid w:val="00EC02F1"/>
    <w:rsid w:val="00EE7555"/>
    <w:rsid w:val="00EE78E5"/>
    <w:rsid w:val="00EF05B9"/>
    <w:rsid w:val="00EF59C3"/>
    <w:rsid w:val="00EF749C"/>
    <w:rsid w:val="00F0222D"/>
    <w:rsid w:val="00F036AB"/>
    <w:rsid w:val="00F051D9"/>
    <w:rsid w:val="00F07784"/>
    <w:rsid w:val="00F137E6"/>
    <w:rsid w:val="00F14617"/>
    <w:rsid w:val="00F14661"/>
    <w:rsid w:val="00F22426"/>
    <w:rsid w:val="00F2698F"/>
    <w:rsid w:val="00F4011D"/>
    <w:rsid w:val="00F4237A"/>
    <w:rsid w:val="00F42600"/>
    <w:rsid w:val="00F43FF4"/>
    <w:rsid w:val="00F53EB5"/>
    <w:rsid w:val="00F54A24"/>
    <w:rsid w:val="00F54FEA"/>
    <w:rsid w:val="00F553FB"/>
    <w:rsid w:val="00F611CA"/>
    <w:rsid w:val="00F61215"/>
    <w:rsid w:val="00F61D33"/>
    <w:rsid w:val="00F6247A"/>
    <w:rsid w:val="00F656E7"/>
    <w:rsid w:val="00F66767"/>
    <w:rsid w:val="00F67AE8"/>
    <w:rsid w:val="00F72F22"/>
    <w:rsid w:val="00F733F0"/>
    <w:rsid w:val="00F80C18"/>
    <w:rsid w:val="00F8269A"/>
    <w:rsid w:val="00F87D35"/>
    <w:rsid w:val="00F9529D"/>
    <w:rsid w:val="00FA0050"/>
    <w:rsid w:val="00FA0D01"/>
    <w:rsid w:val="00FC7592"/>
    <w:rsid w:val="00FC770F"/>
    <w:rsid w:val="00FD2679"/>
    <w:rsid w:val="00FD40EB"/>
    <w:rsid w:val="00FD46B2"/>
    <w:rsid w:val="00FD63AC"/>
    <w:rsid w:val="00FE1CDB"/>
    <w:rsid w:val="00FE2B19"/>
    <w:rsid w:val="00FE3BE9"/>
    <w:rsid w:val="00FE6042"/>
    <w:rsid w:val="00FE6C55"/>
    <w:rsid w:val="00FF269E"/>
    <w:rsid w:val="00FF3251"/>
    <w:rsid w:val="00FF3578"/>
    <w:rsid w:val="034215CC"/>
    <w:rsid w:val="034D1875"/>
    <w:rsid w:val="03A810DA"/>
    <w:rsid w:val="04793982"/>
    <w:rsid w:val="099F699F"/>
    <w:rsid w:val="0C6F4F00"/>
    <w:rsid w:val="0CBA42B6"/>
    <w:rsid w:val="0E220EFD"/>
    <w:rsid w:val="106000A3"/>
    <w:rsid w:val="106D2E5F"/>
    <w:rsid w:val="10C92BDE"/>
    <w:rsid w:val="14BD6DE9"/>
    <w:rsid w:val="151B0610"/>
    <w:rsid w:val="15A51265"/>
    <w:rsid w:val="1602563E"/>
    <w:rsid w:val="1871150E"/>
    <w:rsid w:val="193B0DD2"/>
    <w:rsid w:val="1950525E"/>
    <w:rsid w:val="19995649"/>
    <w:rsid w:val="1A4B0BD2"/>
    <w:rsid w:val="1BB02F43"/>
    <w:rsid w:val="1DBC2256"/>
    <w:rsid w:val="1F57560A"/>
    <w:rsid w:val="20DD1860"/>
    <w:rsid w:val="21416467"/>
    <w:rsid w:val="21467DDF"/>
    <w:rsid w:val="2258468B"/>
    <w:rsid w:val="24977CE4"/>
    <w:rsid w:val="250C493B"/>
    <w:rsid w:val="272712C8"/>
    <w:rsid w:val="29CF7033"/>
    <w:rsid w:val="2FB62CD5"/>
    <w:rsid w:val="316E4BCF"/>
    <w:rsid w:val="32FB3069"/>
    <w:rsid w:val="359C2633"/>
    <w:rsid w:val="378A2746"/>
    <w:rsid w:val="390E2AE7"/>
    <w:rsid w:val="3A2A6D06"/>
    <w:rsid w:val="3C7F4653"/>
    <w:rsid w:val="3D5C793D"/>
    <w:rsid w:val="3E0B15BA"/>
    <w:rsid w:val="3EC639AA"/>
    <w:rsid w:val="3FE24704"/>
    <w:rsid w:val="50A4483B"/>
    <w:rsid w:val="50D54E3C"/>
    <w:rsid w:val="532F052B"/>
    <w:rsid w:val="53CB1533"/>
    <w:rsid w:val="54A90501"/>
    <w:rsid w:val="552402CA"/>
    <w:rsid w:val="56490C7C"/>
    <w:rsid w:val="58343EAC"/>
    <w:rsid w:val="597E6C17"/>
    <w:rsid w:val="5B920EBC"/>
    <w:rsid w:val="5BFA6CAE"/>
    <w:rsid w:val="5D0D24D3"/>
    <w:rsid w:val="5D654113"/>
    <w:rsid w:val="5DB45A4D"/>
    <w:rsid w:val="5E2A7A6D"/>
    <w:rsid w:val="5E3D22F6"/>
    <w:rsid w:val="5F5A3274"/>
    <w:rsid w:val="5F5C54EB"/>
    <w:rsid w:val="5FB62CE4"/>
    <w:rsid w:val="60886E86"/>
    <w:rsid w:val="61426FC7"/>
    <w:rsid w:val="66AD6F06"/>
    <w:rsid w:val="67F355EF"/>
    <w:rsid w:val="68727AEB"/>
    <w:rsid w:val="68CB2404"/>
    <w:rsid w:val="6B353E8E"/>
    <w:rsid w:val="6B7A4196"/>
    <w:rsid w:val="6FE46FB1"/>
    <w:rsid w:val="74605603"/>
    <w:rsid w:val="766E0138"/>
    <w:rsid w:val="76DA4E14"/>
    <w:rsid w:val="78C05101"/>
    <w:rsid w:val="7A0850E0"/>
    <w:rsid w:val="7C4A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rFonts w:eastAsia="黑体"/>
      <w:b/>
      <w:bCs/>
      <w:kern w:val="44"/>
      <w:sz w:val="32"/>
      <w:szCs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1"/>
    <w:qFormat/>
    <w:uiPriority w:val="0"/>
    <w:pPr>
      <w:keepNext/>
      <w:keepLines/>
      <w:spacing w:before="260" w:after="260" w:line="416" w:lineRule="auto"/>
      <w:outlineLvl w:val="2"/>
    </w:pPr>
    <w:rPr>
      <w:bCs/>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6">
    <w:name w:val="Document Map"/>
    <w:basedOn w:val="1"/>
    <w:link w:val="178"/>
    <w:semiHidden/>
    <w:unhideWhenUsed/>
    <w:qFormat/>
    <w:uiPriority w:val="99"/>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3"/>
    <w:basedOn w:val="1"/>
    <w:next w:val="1"/>
    <w:unhideWhenUsed/>
    <w:qFormat/>
    <w:uiPriority w:val="39"/>
    <w:pPr>
      <w:ind w:left="840" w:leftChars="400"/>
    </w:pPr>
  </w:style>
  <w:style w:type="paragraph" w:styleId="9">
    <w:name w:val="Date"/>
    <w:basedOn w:val="1"/>
    <w:next w:val="1"/>
    <w:qFormat/>
    <w:uiPriority w:val="0"/>
    <w:pPr>
      <w:ind w:left="100" w:leftChars="2500"/>
    </w:pPr>
    <w:rPr>
      <w:rFonts w:ascii="宋体"/>
      <w:kern w:val="0"/>
      <w:sz w:val="20"/>
      <w:szCs w:val="20"/>
      <w:lang w:val="zh-CN"/>
    </w:rPr>
  </w:style>
  <w:style w:type="paragraph" w:styleId="10">
    <w:name w:val="Body Text Indent 2"/>
    <w:basedOn w:val="1"/>
    <w:qFormat/>
    <w:uiPriority w:val="0"/>
    <w:pPr>
      <w:tabs>
        <w:tab w:val="left" w:pos="2520"/>
      </w:tabs>
      <w:ind w:firstLine="435"/>
    </w:pPr>
    <w:rPr>
      <w:szCs w:val="24"/>
    </w:rPr>
  </w:style>
  <w:style w:type="paragraph" w:styleId="11">
    <w:name w:val="Balloon Text"/>
    <w:basedOn w:val="1"/>
    <w:link w:val="36"/>
    <w:unhideWhenUsed/>
    <w:uiPriority w:val="99"/>
    <w:rPr>
      <w:kern w:val="0"/>
      <w:sz w:val="18"/>
      <w:szCs w:val="18"/>
    </w:rPr>
  </w:style>
  <w:style w:type="paragraph" w:styleId="12">
    <w:name w:val="footer"/>
    <w:basedOn w:val="1"/>
    <w:link w:val="34"/>
    <w:unhideWhenUsed/>
    <w:qFormat/>
    <w:uiPriority w:val="99"/>
    <w:pPr>
      <w:tabs>
        <w:tab w:val="center" w:pos="4153"/>
        <w:tab w:val="right" w:pos="8306"/>
      </w:tabs>
      <w:snapToGrid w:val="0"/>
      <w:jc w:val="left"/>
    </w:pPr>
    <w:rPr>
      <w:kern w:val="0"/>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pPr>
      <w:tabs>
        <w:tab w:val="right" w:leader="dot" w:pos="9170"/>
      </w:tabs>
      <w:spacing w:before="120" w:after="120"/>
      <w:jc w:val="left"/>
    </w:pPr>
    <w:rPr>
      <w:rFonts w:ascii="宋体" w:hAnsi="宋体"/>
      <w:b/>
      <w:bCs/>
      <w:caps/>
      <w:color w:val="000000"/>
      <w:sz w:val="24"/>
      <w:szCs w:val="24"/>
    </w:rPr>
  </w:style>
  <w:style w:type="paragraph" w:styleId="15">
    <w:name w:val="Subtitle"/>
    <w:basedOn w:val="1"/>
    <w:next w:val="1"/>
    <w:link w:val="38"/>
    <w:qFormat/>
    <w:uiPriority w:val="11"/>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17">
    <w:name w:val="toc 2"/>
    <w:basedOn w:val="1"/>
    <w:next w:val="1"/>
    <w:qFormat/>
    <w:uiPriority w:val="39"/>
    <w:pPr>
      <w:tabs>
        <w:tab w:val="right" w:leader="dot" w:pos="9170"/>
      </w:tabs>
      <w:spacing w:line="360" w:lineRule="auto"/>
      <w:ind w:left="210"/>
      <w:jc w:val="left"/>
    </w:pPr>
    <w:rPr>
      <w:rFonts w:ascii="宋体" w:hAnsi="宋体"/>
      <w:b/>
      <w:smallCaps/>
      <w:color w:val="000000"/>
      <w:sz w:val="24"/>
      <w:szCs w:val="24"/>
    </w:rPr>
  </w:style>
  <w:style w:type="paragraph" w:styleId="1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1">
    <w:name w:val="Strong"/>
    <w:qFormat/>
    <w:uiPriority w:val="0"/>
    <w:rPr>
      <w:b/>
      <w:bCs/>
    </w:rPr>
  </w:style>
  <w:style w:type="character" w:styleId="22">
    <w:name w:val="page number"/>
    <w:basedOn w:val="20"/>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table" w:styleId="26">
    <w:name w:val="Table Theme"/>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3 Char"/>
    <w:uiPriority w:val="0"/>
    <w:rPr>
      <w:rFonts w:eastAsia="宋体"/>
      <w:b/>
      <w:bCs/>
      <w:kern w:val="2"/>
      <w:sz w:val="32"/>
      <w:szCs w:val="32"/>
      <w:lang w:val="en-US" w:eastAsia="zh-CN" w:bidi="ar-SA"/>
    </w:rPr>
  </w:style>
  <w:style w:type="character" w:customStyle="1" w:styleId="28">
    <w:name w:val="页眉 Char"/>
    <w:link w:val="13"/>
    <w:qFormat/>
    <w:uiPriority w:val="99"/>
    <w:rPr>
      <w:sz w:val="18"/>
      <w:szCs w:val="18"/>
    </w:rPr>
  </w:style>
  <w:style w:type="character" w:customStyle="1" w:styleId="29">
    <w:name w:val="showtext"/>
    <w:basedOn w:val="20"/>
    <w:qFormat/>
    <w:uiPriority w:val="0"/>
  </w:style>
  <w:style w:type="character" w:customStyle="1" w:styleId="30">
    <w:name w:val="标题 2 Char1"/>
    <w:link w:val="3"/>
    <w:qFormat/>
    <w:uiPriority w:val="9"/>
    <w:rPr>
      <w:rFonts w:ascii="Cambria" w:hAnsi="Cambria"/>
      <w:b/>
      <w:bCs/>
      <w:kern w:val="2"/>
      <w:sz w:val="28"/>
      <w:szCs w:val="32"/>
    </w:rPr>
  </w:style>
  <w:style w:type="character" w:customStyle="1" w:styleId="31">
    <w:name w:val="普通 (Web) Char Char2"/>
    <w:qFormat/>
    <w:locked/>
    <w:uiPriority w:val="0"/>
    <w:rPr>
      <w:rFonts w:ascii="宋体" w:hAnsi="宋体" w:eastAsia="宋体" w:cs="宋体"/>
      <w:sz w:val="24"/>
      <w:szCs w:val="24"/>
      <w:lang w:val="en-US" w:eastAsia="zh-CN" w:bidi="ar-SA"/>
    </w:rPr>
  </w:style>
  <w:style w:type="character" w:customStyle="1" w:styleId="32">
    <w:name w:val="apple-converted-space"/>
    <w:basedOn w:val="20"/>
    <w:qFormat/>
    <w:uiPriority w:val="0"/>
  </w:style>
  <w:style w:type="character" w:customStyle="1" w:styleId="33">
    <w:name w:val="标题 1 Char"/>
    <w:link w:val="2"/>
    <w:qFormat/>
    <w:uiPriority w:val="9"/>
    <w:rPr>
      <w:rFonts w:eastAsia="黑体"/>
      <w:b/>
      <w:bCs/>
      <w:kern w:val="44"/>
      <w:sz w:val="32"/>
      <w:szCs w:val="44"/>
    </w:rPr>
  </w:style>
  <w:style w:type="character" w:customStyle="1" w:styleId="34">
    <w:name w:val="页脚 Char"/>
    <w:link w:val="12"/>
    <w:qFormat/>
    <w:uiPriority w:val="99"/>
    <w:rPr>
      <w:sz w:val="18"/>
      <w:szCs w:val="18"/>
    </w:rPr>
  </w:style>
  <w:style w:type="character" w:customStyle="1" w:styleId="35">
    <w:name w:val="f21"/>
    <w:uiPriority w:val="0"/>
    <w:rPr>
      <w:rFonts w:hint="eastAsia" w:ascii="宋体" w:hAnsi="宋体" w:eastAsia="宋体"/>
      <w:sz w:val="21"/>
      <w:szCs w:val="21"/>
    </w:rPr>
  </w:style>
  <w:style w:type="character" w:customStyle="1" w:styleId="36">
    <w:name w:val="批注框文本 Char"/>
    <w:link w:val="11"/>
    <w:semiHidden/>
    <w:qFormat/>
    <w:uiPriority w:val="99"/>
    <w:rPr>
      <w:sz w:val="18"/>
      <w:szCs w:val="18"/>
    </w:rPr>
  </w:style>
  <w:style w:type="character" w:customStyle="1" w:styleId="37">
    <w:name w:val="style11"/>
    <w:qFormat/>
    <w:uiPriority w:val="0"/>
    <w:rPr>
      <w:color w:val="999999"/>
      <w:sz w:val="18"/>
      <w:szCs w:val="18"/>
    </w:rPr>
  </w:style>
  <w:style w:type="character" w:customStyle="1" w:styleId="38">
    <w:name w:val="副标题 Char"/>
    <w:link w:val="15"/>
    <w:qFormat/>
    <w:uiPriority w:val="11"/>
    <w:rPr>
      <w:rFonts w:ascii="Cambria" w:hAnsi="Cambria" w:cs="Times New Roman"/>
      <w:b/>
      <w:bCs/>
      <w:kern w:val="28"/>
      <w:sz w:val="32"/>
      <w:szCs w:val="32"/>
    </w:rPr>
  </w:style>
  <w:style w:type="character" w:customStyle="1" w:styleId="39">
    <w:name w:val="标题 2 Char"/>
    <w:qFormat/>
    <w:uiPriority w:val="0"/>
    <w:rPr>
      <w:rFonts w:ascii="Arial" w:hAnsi="Arial" w:eastAsia="黑体"/>
      <w:b/>
      <w:bCs/>
      <w:kern w:val="2"/>
      <w:sz w:val="32"/>
      <w:szCs w:val="32"/>
      <w:lang w:val="en-US" w:eastAsia="zh-CN" w:bidi="ar-SA"/>
    </w:rPr>
  </w:style>
  <w:style w:type="character" w:customStyle="1" w:styleId="40">
    <w:name w:val="style171"/>
    <w:uiPriority w:val="0"/>
    <w:rPr>
      <w:sz w:val="21"/>
      <w:szCs w:val="21"/>
    </w:rPr>
  </w:style>
  <w:style w:type="character" w:customStyle="1" w:styleId="41">
    <w:name w:val="普通 (Web) Char Char"/>
    <w:qFormat/>
    <w:locked/>
    <w:uiPriority w:val="0"/>
    <w:rPr>
      <w:rFonts w:ascii="宋体" w:hAnsi="宋体" w:eastAsia="宋体" w:cs="宋体"/>
      <w:sz w:val="24"/>
      <w:szCs w:val="24"/>
      <w:lang w:val="en-US" w:eastAsia="zh-CN" w:bidi="ar-SA"/>
    </w:rPr>
  </w:style>
  <w:style w:type="character" w:customStyle="1" w:styleId="42">
    <w:name w:val="style61"/>
    <w:qFormat/>
    <w:uiPriority w:val="0"/>
    <w:rPr>
      <w:b/>
      <w:bCs/>
      <w:color w:val="3399FF"/>
      <w:sz w:val="24"/>
      <w:szCs w:val="24"/>
    </w:rPr>
  </w:style>
  <w:style w:type="character" w:customStyle="1" w:styleId="43">
    <w:name w:val="f41"/>
    <w:uiPriority w:val="0"/>
    <w:rPr>
      <w:rFonts w:hint="eastAsia" w:ascii="宋体" w:hAnsi="宋体" w:eastAsia="宋体"/>
      <w:sz w:val="18"/>
      <w:szCs w:val="18"/>
    </w:rPr>
  </w:style>
  <w:style w:type="character" w:customStyle="1" w:styleId="44">
    <w:name w:val="标题 3 Char1"/>
    <w:qFormat/>
    <w:uiPriority w:val="0"/>
    <w:rPr>
      <w:rFonts w:eastAsia="宋体"/>
      <w:b/>
      <w:bCs/>
      <w:kern w:val="2"/>
      <w:sz w:val="32"/>
      <w:szCs w:val="32"/>
      <w:lang w:val="en-US" w:eastAsia="zh-CN" w:bidi="ar-SA"/>
    </w:rPr>
  </w:style>
  <w:style w:type="character" w:customStyle="1" w:styleId="45">
    <w:name w:val="style161"/>
    <w:qFormat/>
    <w:uiPriority w:val="0"/>
    <w:rPr>
      <w:sz w:val="24"/>
      <w:szCs w:val="24"/>
    </w:rPr>
  </w:style>
  <w:style w:type="character" w:customStyle="1" w:styleId="46">
    <w:name w:val="f31"/>
    <w:uiPriority w:val="0"/>
    <w:rPr>
      <w:rFonts w:hint="default" w:ascii="ˎ̥" w:hAnsi="ˎ̥"/>
      <w:color w:val="999999"/>
      <w:sz w:val="16"/>
      <w:szCs w:val="16"/>
    </w:rPr>
  </w:style>
  <w:style w:type="paragraph" w:customStyle="1" w:styleId="4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48">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4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50">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5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52">
    <w:name w:val="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53">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4">
    <w:name w:val="f8"/>
    <w:basedOn w:val="1"/>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5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7">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8">
    <w:name w:val="xl10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2">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6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5">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6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7">
    <w:name w:val="xl10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69">
    <w:name w:val="为440"/>
    <w:basedOn w:val="1"/>
    <w:qFormat/>
    <w:uiPriority w:val="0"/>
    <w:pPr>
      <w:adjustRightInd w:val="0"/>
      <w:spacing w:line="360" w:lineRule="atLeast"/>
      <w:jc w:val="left"/>
      <w:textAlignment w:val="baseline"/>
    </w:pPr>
    <w:rPr>
      <w:kern w:val="0"/>
      <w:sz w:val="24"/>
      <w:szCs w:val="20"/>
    </w:rPr>
  </w:style>
  <w:style w:type="paragraph" w:customStyle="1" w:styleId="70">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7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7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73">
    <w:name w:val="f2"/>
    <w:basedOn w:val="1"/>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74">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5">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7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77">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7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79">
    <w:name w:val="xl4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80">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81">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82">
    <w:name w:val="f7"/>
    <w:basedOn w:val="1"/>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83">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85">
    <w:name w:val="xl4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87">
    <w:name w:val="font9"/>
    <w:basedOn w:val="1"/>
    <w:qFormat/>
    <w:uiPriority w:val="0"/>
    <w:pPr>
      <w:widowControl/>
      <w:spacing w:before="100" w:beforeAutospacing="1" w:after="100" w:afterAutospacing="1"/>
      <w:jc w:val="left"/>
    </w:pPr>
    <w:rPr>
      <w:kern w:val="0"/>
      <w:sz w:val="20"/>
      <w:szCs w:val="20"/>
    </w:rPr>
  </w:style>
  <w:style w:type="paragraph" w:customStyle="1" w:styleId="88">
    <w:name w:val="xl110"/>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89">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9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93">
    <w:name w:val="stedit"/>
    <w:basedOn w:val="1"/>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94">
    <w:name w:val="unnamed1"/>
    <w:basedOn w:val="1"/>
    <w:uiPriority w:val="0"/>
    <w:pPr>
      <w:widowControl/>
      <w:spacing w:line="330" w:lineRule="atLeast"/>
      <w:jc w:val="left"/>
    </w:pPr>
    <w:rPr>
      <w:rFonts w:ascii="宋体" w:hAnsi="宋体" w:cs="宋体"/>
      <w:kern w:val="0"/>
      <w:szCs w:val="21"/>
    </w:rPr>
  </w:style>
  <w:style w:type="paragraph" w:customStyle="1" w:styleId="95">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96">
    <w:name w:val="xl3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99">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00">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01">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02">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10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104">
    <w:name w:val="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05">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106">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8">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109">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11">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
    <w:name w:val="fgj02"/>
    <w:basedOn w:val="1"/>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1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szCs w:val="24"/>
    </w:rPr>
  </w:style>
  <w:style w:type="paragraph" w:customStyle="1" w:styleId="114">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5">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6">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7">
    <w:name w:val="table302"/>
    <w:basedOn w:val="1"/>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8">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9">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2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21">
    <w:name w:val="font10"/>
    <w:basedOn w:val="1"/>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122">
    <w:name w:val="font11"/>
    <w:basedOn w:val="1"/>
    <w:uiPriority w:val="0"/>
    <w:pPr>
      <w:widowControl/>
      <w:spacing w:before="100" w:beforeAutospacing="1" w:after="100" w:afterAutospacing="1"/>
      <w:jc w:val="left"/>
    </w:pPr>
    <w:rPr>
      <w:b/>
      <w:bCs/>
      <w:color w:val="FFFFFF"/>
      <w:kern w:val="0"/>
      <w:sz w:val="18"/>
      <w:szCs w:val="18"/>
    </w:rPr>
  </w:style>
  <w:style w:type="paragraph" w:customStyle="1" w:styleId="123">
    <w:name w:val="xl44"/>
    <w:basedOn w:val="1"/>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124">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2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1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2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128">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29">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30">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131">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133">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34">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5">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6">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8">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139">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0">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141">
    <w:name w:val="xl69"/>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2">
    <w:name w:val="xl70"/>
    <w:basedOn w:val="1"/>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43">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44">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5">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46">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7">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8">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9">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50">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5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52">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53">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54">
    <w:name w:val="xl82"/>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5">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156">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9">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160">
    <w:name w:val="xl94"/>
    <w:basedOn w:val="1"/>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1">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162">
    <w:name w:val="xl10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3">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4">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6">
    <w:name w:val="xl93"/>
    <w:basedOn w:val="1"/>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8">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9">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0">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1">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2">
    <w:name w:val="xl10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3">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5">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76">
    <w:name w:val="z-窗体底端1"/>
    <w:basedOn w:val="1"/>
    <w:next w:val="1"/>
    <w:uiPriority w:val="0"/>
    <w:pPr>
      <w:widowControl/>
      <w:pBdr>
        <w:top w:val="single" w:color="auto" w:sz="6" w:space="1"/>
      </w:pBdr>
      <w:jc w:val="center"/>
    </w:pPr>
    <w:rPr>
      <w:rFonts w:ascii="Arial" w:hAnsi="Arial" w:cs="Arial"/>
      <w:vanish/>
      <w:kern w:val="0"/>
      <w:sz w:val="16"/>
      <w:szCs w:val="16"/>
    </w:rPr>
  </w:style>
  <w:style w:type="paragraph" w:customStyle="1" w:styleId="177">
    <w:name w:val="Default"/>
    <w:qFormat/>
    <w:uiPriority w:val="0"/>
    <w:pPr>
      <w:widowControl w:val="0"/>
      <w:autoSpaceDE w:val="0"/>
      <w:autoSpaceDN w:val="0"/>
      <w:adjustRightInd w:val="0"/>
    </w:pPr>
    <w:rPr>
      <w:rFonts w:ascii="Microsoft YaHei" w:hAnsi="Microsoft YaHei" w:eastAsia="宋体" w:cs="Microsoft YaHei"/>
      <w:color w:val="000000"/>
      <w:sz w:val="24"/>
      <w:szCs w:val="24"/>
      <w:lang w:val="en-US" w:eastAsia="zh-CN" w:bidi="ar-SA"/>
    </w:rPr>
  </w:style>
  <w:style w:type="character" w:customStyle="1" w:styleId="178">
    <w:name w:val="文档结构图 Char"/>
    <w:basedOn w:val="20"/>
    <w:link w:val="6"/>
    <w:semiHidden/>
    <w:uiPriority w:val="99"/>
    <w:rPr>
      <w:rFonts w:ascii="宋体"/>
      <w:kern w:val="2"/>
      <w:sz w:val="18"/>
      <w:szCs w:val="18"/>
    </w:rPr>
  </w:style>
  <w:style w:type="paragraph" w:styleId="17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21407;&#27833;\&#26368;&#26032;&#28342;&#21058;&#27833;&#21608;&#25253;&#65306;&#23665;&#19996;&#22320;&#28860;&#30707;&#33041;&#27833;&#20215;&#26684;&#36208;&#21183;&#22270;5.2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山东地炼石脑油价格走势图</a:t>
            </a:r>
            <a:endParaRPr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50511875670714"/>
          <c:y val="0.0288483151015519"/>
        </c:manualLayout>
      </c:layout>
      <c:overlay val="0"/>
    </c:title>
    <c:autoTitleDeleted val="0"/>
    <c:plotArea>
      <c:layout>
        <c:manualLayout>
          <c:layoutTarget val="inner"/>
          <c:xMode val="edge"/>
          <c:yMode val="edge"/>
          <c:x val="0.0792580101180438"/>
          <c:y val="0.142857210012928"/>
          <c:w val="0.858347386172007"/>
          <c:h val="0.591837324455242"/>
        </c:manualLayout>
      </c:layout>
      <c:lineChart>
        <c:grouping val="standard"/>
        <c:varyColors val="0"/>
        <c:ser>
          <c:idx val="8"/>
          <c:order val="0"/>
          <c:tx>
            <c:strRef>
              <c:f>'[最新溶剂油周报：山东地炼石脑油价格走势图5.25.xls]溶剂油周报-石脑油价格走势图表'!$D$178</c:f>
              <c:strCache>
                <c:ptCount val="1"/>
                <c:pt idx="0">
                  <c:v>鑫泰石化</c:v>
                </c:pt>
              </c:strCache>
            </c:strRef>
          </c:tx>
          <c:spPr>
            <a:ln w="38100" cap="rnd" cmpd="sng" algn="ctr">
              <a:solidFill>
                <a:srgbClr val="000000">
                  <a:alpha val="100000"/>
                </a:srgbClr>
              </a:solidFill>
              <a:prstDash val="solid"/>
              <a:round/>
            </a:ln>
          </c:spPr>
          <c:marker>
            <c:symbol val="none"/>
          </c:marker>
          <c:dLbls>
            <c:delete val="1"/>
          </c:dLbls>
          <c:cat>
            <c:numRef>
              <c:f>'[最新溶剂油周报：山东地炼石脑油价格走势图5.25.xls]溶剂油周报-石脑油价格走势图表'!$A$179:$C$325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pt idx="138" c:formatCode="yyyy/m/d">
                  <c:v>43252</c:v>
                </c:pt>
              </c:numCache>
            </c:numRef>
          </c:cat>
          <c:val>
            <c:numRef>
              <c:f>'[最新溶剂油周报：山东地炼石脑油价格走势图5.25.xls]溶剂油周报-石脑油价格走势图表'!$D$179:$D$325</c:f>
              <c:numCache>
                <c:formatCode>@</c:formatCode>
                <c:ptCount val="147"/>
                <c:pt idx="0">
                  <c:v>5250</c:v>
                </c:pt>
                <c:pt idx="1">
                  <c:v>5250</c:v>
                </c:pt>
                <c:pt idx="2">
                  <c:v>5250</c:v>
                </c:pt>
                <c:pt idx="3">
                  <c:v>5250</c:v>
                </c:pt>
                <c:pt idx="4">
                  <c:v>5250</c:v>
                </c:pt>
                <c:pt idx="5">
                  <c:v>5250</c:v>
                </c:pt>
                <c:pt idx="6">
                  <c:v>5250</c:v>
                </c:pt>
                <c:pt idx="7">
                  <c:v>5250</c:v>
                </c:pt>
                <c:pt idx="8">
                  <c:v>5250</c:v>
                </c:pt>
                <c:pt idx="9">
                  <c:v>5250</c:v>
                </c:pt>
                <c:pt idx="10">
                  <c:v>4980</c:v>
                </c:pt>
                <c:pt idx="11">
                  <c:v>4980</c:v>
                </c:pt>
                <c:pt idx="12">
                  <c:v>4980</c:v>
                </c:pt>
                <c:pt idx="13">
                  <c:v>4800</c:v>
                </c:pt>
                <c:pt idx="14">
                  <c:v>4800</c:v>
                </c:pt>
                <c:pt idx="15">
                  <c:v>4800</c:v>
                </c:pt>
                <c:pt idx="16">
                  <c:v>4800</c:v>
                </c:pt>
                <c:pt idx="17">
                  <c:v>5500</c:v>
                </c:pt>
                <c:pt idx="18">
                  <c:v>5500</c:v>
                </c:pt>
                <c:pt idx="19">
                  <c:v>5500</c:v>
                </c:pt>
                <c:pt idx="20">
                  <c:v>5500</c:v>
                </c:pt>
                <c:pt idx="21">
                  <c:v>5500</c:v>
                </c:pt>
                <c:pt idx="22">
                  <c:v>3700</c:v>
                </c:pt>
                <c:pt idx="23">
                  <c:v>3700</c:v>
                </c:pt>
                <c:pt idx="24">
                  <c:v>3700</c:v>
                </c:pt>
                <c:pt idx="25">
                  <c:v>4200</c:v>
                </c:pt>
                <c:pt idx="26">
                  <c:v>4400</c:v>
                </c:pt>
                <c:pt idx="27">
                  <c:v>4400</c:v>
                </c:pt>
                <c:pt idx="28">
                  <c:v>4000</c:v>
                </c:pt>
                <c:pt idx="29">
                  <c:v>4000</c:v>
                </c:pt>
                <c:pt idx="30">
                  <c:v>4000</c:v>
                </c:pt>
                <c:pt idx="31">
                  <c:v>4000</c:v>
                </c:pt>
                <c:pt idx="32">
                  <c:v>4000</c:v>
                </c:pt>
                <c:pt idx="33">
                  <c:v>4000</c:v>
                </c:pt>
                <c:pt idx="34">
                  <c:v>4000</c:v>
                </c:pt>
                <c:pt idx="35">
                  <c:v>4500</c:v>
                </c:pt>
                <c:pt idx="36">
                  <c:v>4500</c:v>
                </c:pt>
                <c:pt idx="37">
                  <c:v>4500</c:v>
                </c:pt>
                <c:pt idx="38">
                  <c:v>4500</c:v>
                </c:pt>
                <c:pt idx="39">
                  <c:v>4500</c:v>
                </c:pt>
                <c:pt idx="40">
                  <c:v>4100</c:v>
                </c:pt>
                <c:pt idx="41">
                  <c:v>4100</c:v>
                </c:pt>
                <c:pt idx="42">
                  <c:v>4100</c:v>
                </c:pt>
                <c:pt idx="43">
                  <c:v>4100</c:v>
                </c:pt>
                <c:pt idx="44">
                  <c:v>4100</c:v>
                </c:pt>
                <c:pt idx="45">
                  <c:v>4100</c:v>
                </c:pt>
                <c:pt idx="46">
                  <c:v>4100</c:v>
                </c:pt>
                <c:pt idx="47">
                  <c:v>4100</c:v>
                </c:pt>
                <c:pt idx="48">
                  <c:v>4100</c:v>
                </c:pt>
                <c:pt idx="49">
                  <c:v>4100</c:v>
                </c:pt>
                <c:pt idx="50">
                  <c:v>4100</c:v>
                </c:pt>
                <c:pt idx="51">
                  <c:v>4100</c:v>
                </c:pt>
                <c:pt idx="52">
                  <c:v>4100</c:v>
                </c:pt>
                <c:pt idx="53" c:formatCode="General">
                  <c:v>4000</c:v>
                </c:pt>
                <c:pt idx="54" c:formatCode="General">
                  <c:v>4000</c:v>
                </c:pt>
                <c:pt idx="55" c:formatCode="General">
                  <c:v>4100</c:v>
                </c:pt>
                <c:pt idx="56" c:formatCode="General">
                  <c:v>4100</c:v>
                </c:pt>
                <c:pt idx="57" c:formatCode="General">
                  <c:v>4100</c:v>
                </c:pt>
                <c:pt idx="58" c:formatCode="General">
                  <c:v>4100</c:v>
                </c:pt>
                <c:pt idx="59" c:formatCode="General">
                  <c:v>4100</c:v>
                </c:pt>
                <c:pt idx="60" c:formatCode="General">
                  <c:v>4150</c:v>
                </c:pt>
                <c:pt idx="61" c:formatCode="General">
                  <c:v>4150</c:v>
                </c:pt>
                <c:pt idx="62" c:formatCode="General">
                  <c:v>4150</c:v>
                </c:pt>
                <c:pt idx="63" c:formatCode="General">
                  <c:v>4500</c:v>
                </c:pt>
                <c:pt idx="64" c:formatCode="General">
                  <c:v>4500</c:v>
                </c:pt>
                <c:pt idx="65" c:formatCode="General">
                  <c:v>4500</c:v>
                </c:pt>
                <c:pt idx="66" c:formatCode="General">
                  <c:v>4500</c:v>
                </c:pt>
                <c:pt idx="67" c:formatCode="General">
                  <c:v>4500</c:v>
                </c:pt>
                <c:pt idx="68" c:formatCode="General">
                  <c:v>4500</c:v>
                </c:pt>
                <c:pt idx="69" c:formatCode="General">
                  <c:v>4500</c:v>
                </c:pt>
                <c:pt idx="70" c:formatCode="General">
                  <c:v>4500</c:v>
                </c:pt>
                <c:pt idx="71" c:formatCode="General">
                  <c:v>4500</c:v>
                </c:pt>
                <c:pt idx="72" c:formatCode="General">
                  <c:v>4500</c:v>
                </c:pt>
                <c:pt idx="73" c:formatCode="General">
                  <c:v>4500</c:v>
                </c:pt>
                <c:pt idx="74" c:formatCode="General">
                  <c:v>4500</c:v>
                </c:pt>
                <c:pt idx="75" c:formatCode="General">
                  <c:v>4500</c:v>
                </c:pt>
                <c:pt idx="76" c:formatCode="General">
                  <c:v>4500</c:v>
                </c:pt>
                <c:pt idx="77" c:formatCode="General">
                  <c:v>4500</c:v>
                </c:pt>
                <c:pt idx="78" c:formatCode="General">
                  <c:v>4500</c:v>
                </c:pt>
                <c:pt idx="79" c:formatCode="General">
                  <c:v>5000</c:v>
                </c:pt>
                <c:pt idx="80" c:formatCode="General">
                  <c:v>5000</c:v>
                </c:pt>
                <c:pt idx="81" c:formatCode="General">
                  <c:v>5000</c:v>
                </c:pt>
                <c:pt idx="82" c:formatCode="General">
                  <c:v>5000</c:v>
                </c:pt>
                <c:pt idx="83" c:formatCode="General">
                  <c:v>5000</c:v>
                </c:pt>
                <c:pt idx="84" c:formatCode="General">
                  <c:v>5400</c:v>
                </c:pt>
                <c:pt idx="85" c:formatCode="General">
                  <c:v>5400</c:v>
                </c:pt>
                <c:pt idx="86" c:formatCode="General">
                  <c:v>5400</c:v>
                </c:pt>
                <c:pt idx="87" c:formatCode="General">
                  <c:v>5400</c:v>
                </c:pt>
                <c:pt idx="88" c:formatCode="General">
                  <c:v>5400</c:v>
                </c:pt>
                <c:pt idx="89" c:formatCode="General">
                  <c:v>5400</c:v>
                </c:pt>
                <c:pt idx="90" c:formatCode="General">
                  <c:v>5400</c:v>
                </c:pt>
                <c:pt idx="91" c:formatCode="General">
                  <c:v>5400</c:v>
                </c:pt>
                <c:pt idx="92" c:formatCode="General">
                  <c:v>5400</c:v>
                </c:pt>
                <c:pt idx="93" c:formatCode="General">
                  <c:v>5400</c:v>
                </c:pt>
                <c:pt idx="94" c:formatCode="General">
                  <c:v>5400</c:v>
                </c:pt>
                <c:pt idx="95" c:formatCode="General">
                  <c:v>5400</c:v>
                </c:pt>
                <c:pt idx="96" c:formatCode="General">
                  <c:v>4900</c:v>
                </c:pt>
                <c:pt idx="97" c:formatCode="General">
                  <c:v>5000</c:v>
                </c:pt>
                <c:pt idx="98" c:formatCode="General">
                  <c:v>5000</c:v>
                </c:pt>
                <c:pt idx="99" c:formatCode="General">
                  <c:v>5000</c:v>
                </c:pt>
                <c:pt idx="100" c:formatCode="General">
                  <c:v>5000</c:v>
                </c:pt>
                <c:pt idx="103" c:formatCode="General">
                  <c:v>0</c:v>
                </c:pt>
                <c:pt idx="104" c:formatCode="General">
                  <c:v>5000</c:v>
                </c:pt>
                <c:pt idx="105" c:formatCode="General">
                  <c:v>5000</c:v>
                </c:pt>
                <c:pt idx="106" c:formatCode="General">
                  <c:v>5000</c:v>
                </c:pt>
                <c:pt idx="107" c:formatCode="General">
                  <c:v>5000</c:v>
                </c:pt>
                <c:pt idx="108" c:formatCode="General">
                  <c:v>5000</c:v>
                </c:pt>
                <c:pt idx="109" c:formatCode="General">
                  <c:v>5000</c:v>
                </c:pt>
                <c:pt idx="110" c:formatCode="General">
                  <c:v>5000</c:v>
                </c:pt>
                <c:pt idx="111" c:formatCode="General">
                  <c:v>5000</c:v>
                </c:pt>
                <c:pt idx="112" c:formatCode="General">
                  <c:v>5000</c:v>
                </c:pt>
                <c:pt idx="113" c:formatCode="General">
                  <c:v>5000</c:v>
                </c:pt>
                <c:pt idx="114" c:formatCode="General">
                  <c:v>5000</c:v>
                </c:pt>
                <c:pt idx="115" c:formatCode="General">
                  <c:v>6150</c:v>
                </c:pt>
                <c:pt idx="116" c:formatCode="General">
                  <c:v>6100</c:v>
                </c:pt>
                <c:pt idx="117" c:formatCode="General">
                  <c:v>5950</c:v>
                </c:pt>
                <c:pt idx="118" c:formatCode="General">
                  <c:v>6100</c:v>
                </c:pt>
                <c:pt idx="119" c:formatCode="General">
                  <c:v>6150</c:v>
                </c:pt>
                <c:pt idx="120" c:formatCode="General">
                  <c:v>6300</c:v>
                </c:pt>
                <c:pt idx="121" c:formatCode="General">
                  <c:v>6300</c:v>
                </c:pt>
                <c:pt idx="122" c:formatCode="General">
                  <c:v>6300</c:v>
                </c:pt>
                <c:pt idx="123" c:formatCode="General">
                  <c:v>6250</c:v>
                </c:pt>
                <c:pt idx="124" c:formatCode="General">
                  <c:v>6150</c:v>
                </c:pt>
                <c:pt idx="125" c:formatCode="General">
                  <c:v>6300</c:v>
                </c:pt>
                <c:pt idx="126" c:formatCode="General">
                  <c:v>6150</c:v>
                </c:pt>
                <c:pt idx="127" c:formatCode="General">
                  <c:v>6150</c:v>
                </c:pt>
                <c:pt idx="128" c:formatCode="General">
                  <c:v>6150</c:v>
                </c:pt>
                <c:pt idx="129" c:formatCode="General">
                  <c:v>6150</c:v>
                </c:pt>
                <c:pt idx="130" c:formatCode="General">
                  <c:v>6150</c:v>
                </c:pt>
                <c:pt idx="131" c:formatCode="General">
                  <c:v>6350</c:v>
                </c:pt>
                <c:pt idx="132" c:formatCode="General">
                  <c:v>6250</c:v>
                </c:pt>
                <c:pt idx="133" c:formatCode="General">
                  <c:v>6250</c:v>
                </c:pt>
                <c:pt idx="134" c:formatCode="General">
                  <c:v>6300</c:v>
                </c:pt>
                <c:pt idx="135" c:formatCode="General">
                  <c:v>6350</c:v>
                </c:pt>
                <c:pt idx="136" c:formatCode="General">
                  <c:v>6600</c:v>
                </c:pt>
                <c:pt idx="137" c:formatCode="General">
                  <c:v>6650</c:v>
                </c:pt>
                <c:pt idx="138" c:formatCode="General">
                  <c:v>6650</c:v>
                </c:pt>
              </c:numCache>
            </c:numRef>
          </c:val>
          <c:smooth val="0"/>
        </c:ser>
        <c:ser>
          <c:idx val="10"/>
          <c:order val="1"/>
          <c:tx>
            <c:strRef>
              <c:f>'[最新溶剂油周报：山东地炼石脑油价格走势图5.25.xls]溶剂油周报-石脑油价格走势图表'!$E$178</c:f>
              <c:strCache>
                <c:ptCount val="1"/>
                <c:pt idx="0">
                  <c:v>利津石化</c:v>
                </c:pt>
              </c:strCache>
            </c:strRef>
          </c:tx>
          <c:spPr>
            <a:ln w="38100" cap="rnd" cmpd="sng" algn="ctr">
              <a:solidFill>
                <a:srgbClr val="00B050"/>
              </a:solidFill>
              <a:prstDash val="solid"/>
              <a:round/>
            </a:ln>
          </c:spPr>
          <c:marker>
            <c:symbol val="none"/>
          </c:marker>
          <c:dLbls>
            <c:delete val="1"/>
          </c:dLbls>
          <c:cat>
            <c:numRef>
              <c:f>'[最新溶剂油周报：山东地炼石脑油价格走势图5.25.xls]溶剂油周报-石脑油价格走势图表'!$A$179:$C$325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pt idx="138" c:formatCode="yyyy/m/d">
                  <c:v>43252</c:v>
                </c:pt>
              </c:numCache>
            </c:numRef>
          </c:cat>
          <c:val>
            <c:numRef>
              <c:f>'[最新溶剂油周报：山东地炼石脑油价格走势图5.25.xls]溶剂油周报-石脑油价格走势图表'!$E$179:$E$325</c:f>
              <c:numCache>
                <c:formatCode>@</c:formatCode>
                <c:ptCount val="147"/>
                <c:pt idx="0">
                  <c:v>4250</c:v>
                </c:pt>
                <c:pt idx="1">
                  <c:v>4050</c:v>
                </c:pt>
                <c:pt idx="2">
                  <c:v>4300</c:v>
                </c:pt>
                <c:pt idx="3">
                  <c:v>4500</c:v>
                </c:pt>
                <c:pt idx="4">
                  <c:v>4580</c:v>
                </c:pt>
                <c:pt idx="5">
                  <c:v>4580</c:v>
                </c:pt>
                <c:pt idx="6">
                  <c:v>4580</c:v>
                </c:pt>
                <c:pt idx="11">
                  <c:v>4150</c:v>
                </c:pt>
                <c:pt idx="12">
                  <c:v>4100</c:v>
                </c:pt>
                <c:pt idx="13">
                  <c:v>4030</c:v>
                </c:pt>
                <c:pt idx="14">
                  <c:v>3850</c:v>
                </c:pt>
                <c:pt idx="15">
                  <c:v>3550</c:v>
                </c:pt>
                <c:pt idx="16">
                  <c:v>3950</c:v>
                </c:pt>
                <c:pt idx="17">
                  <c:v>3850</c:v>
                </c:pt>
                <c:pt idx="18">
                  <c:v>3650</c:v>
                </c:pt>
                <c:pt idx="19">
                  <c:v>2800</c:v>
                </c:pt>
                <c:pt idx="20">
                  <c:v>2300</c:v>
                </c:pt>
                <c:pt idx="21">
                  <c:v>2800</c:v>
                </c:pt>
                <c:pt idx="22">
                  <c:v>2650</c:v>
                </c:pt>
                <c:pt idx="23">
                  <c:v>2650</c:v>
                </c:pt>
                <c:pt idx="24">
                  <c:v>2900</c:v>
                </c:pt>
                <c:pt idx="25">
                  <c:v>3300</c:v>
                </c:pt>
                <c:pt idx="26">
                  <c:v>3200</c:v>
                </c:pt>
                <c:pt idx="27">
                  <c:v>3400</c:v>
                </c:pt>
                <c:pt idx="28">
                  <c:v>3350</c:v>
                </c:pt>
                <c:pt idx="29">
                  <c:v>3000</c:v>
                </c:pt>
                <c:pt idx="30">
                  <c:v>3250</c:v>
                </c:pt>
                <c:pt idx="31">
                  <c:v>3250</c:v>
                </c:pt>
                <c:pt idx="32">
                  <c:v>3380</c:v>
                </c:pt>
                <c:pt idx="33">
                  <c:v>3430</c:v>
                </c:pt>
                <c:pt idx="34">
                  <c:v>3430</c:v>
                </c:pt>
                <c:pt idx="35">
                  <c:v>3480</c:v>
                </c:pt>
                <c:pt idx="36">
                  <c:v>3480</c:v>
                </c:pt>
                <c:pt idx="37">
                  <c:v>3380</c:v>
                </c:pt>
                <c:pt idx="38">
                  <c:v>3300</c:v>
                </c:pt>
                <c:pt idx="39">
                  <c:v>3050</c:v>
                </c:pt>
                <c:pt idx="40">
                  <c:v>3050</c:v>
                </c:pt>
                <c:pt idx="41">
                  <c:v>3050</c:v>
                </c:pt>
                <c:pt idx="42">
                  <c:v>3050</c:v>
                </c:pt>
                <c:pt idx="43">
                  <c:v>3050</c:v>
                </c:pt>
                <c:pt idx="44">
                  <c:v>3050</c:v>
                </c:pt>
                <c:pt idx="45">
                  <c:v>3050</c:v>
                </c:pt>
                <c:pt idx="46">
                  <c:v>3050</c:v>
                </c:pt>
                <c:pt idx="47">
                  <c:v>3050</c:v>
                </c:pt>
                <c:pt idx="48">
                  <c:v>3050</c:v>
                </c:pt>
                <c:pt idx="49">
                  <c:v>3050</c:v>
                </c:pt>
                <c:pt idx="50">
                  <c:v>3050</c:v>
                </c:pt>
                <c:pt idx="51" c:formatCode="General">
                  <c:v>3450</c:v>
                </c:pt>
                <c:pt idx="52" c:formatCode="General">
                  <c:v>3450</c:v>
                </c:pt>
                <c:pt idx="53" c:formatCode="General">
                  <c:v>3450</c:v>
                </c:pt>
                <c:pt idx="54" c:formatCode="General">
                  <c:v>3450</c:v>
                </c:pt>
                <c:pt idx="55" c:formatCode="General">
                  <c:v>3800</c:v>
                </c:pt>
                <c:pt idx="56" c:formatCode="General">
                  <c:v>4000</c:v>
                </c:pt>
                <c:pt idx="57" c:formatCode="General">
                  <c:v>3900</c:v>
                </c:pt>
                <c:pt idx="58" c:formatCode="General">
                  <c:v>3650</c:v>
                </c:pt>
                <c:pt idx="59" c:formatCode="General">
                  <c:v>3900</c:v>
                </c:pt>
                <c:pt idx="60" c:formatCode="General">
                  <c:v>4000</c:v>
                </c:pt>
                <c:pt idx="61" c:formatCode="General">
                  <c:v>4050</c:v>
                </c:pt>
                <c:pt idx="62" c:formatCode="General">
                  <c:v>4000</c:v>
                </c:pt>
                <c:pt idx="63" c:formatCode="General">
                  <c:v>4150</c:v>
                </c:pt>
                <c:pt idx="64" c:formatCode="General">
                  <c:v>4450</c:v>
                </c:pt>
                <c:pt idx="65" c:formatCode="General">
                  <c:v>4350</c:v>
                </c:pt>
                <c:pt idx="66" c:formatCode="General">
                  <c:v>4000</c:v>
                </c:pt>
                <c:pt idx="67" c:formatCode="General">
                  <c:v>4150</c:v>
                </c:pt>
                <c:pt idx="68" c:formatCode="General">
                  <c:v>4200</c:v>
                </c:pt>
                <c:pt idx="69" c:formatCode="General">
                  <c:v>4250</c:v>
                </c:pt>
                <c:pt idx="70" c:formatCode="General">
                  <c:v>4250</c:v>
                </c:pt>
                <c:pt idx="71" c:formatCode="General">
                  <c:v>4200</c:v>
                </c:pt>
                <c:pt idx="72" c:formatCode="General">
                  <c:v>4500</c:v>
                </c:pt>
                <c:pt idx="73" c:formatCode="General">
                  <c:v>4450</c:v>
                </c:pt>
                <c:pt idx="74" c:formatCode="General">
                  <c:v>4250</c:v>
                </c:pt>
                <c:pt idx="75" c:formatCode="General">
                  <c:v>4100</c:v>
                </c:pt>
                <c:pt idx="76" c:formatCode="General">
                  <c:v>4250</c:v>
                </c:pt>
                <c:pt idx="77" c:formatCode="General">
                  <c:v>4150</c:v>
                </c:pt>
                <c:pt idx="78" c:formatCode="General">
                  <c:v>4100</c:v>
                </c:pt>
                <c:pt idx="79" c:formatCode="General">
                  <c:v>4400</c:v>
                </c:pt>
                <c:pt idx="80" c:formatCode="General">
                  <c:v>4200</c:v>
                </c:pt>
                <c:pt idx="81" c:formatCode="General">
                  <c:v>4230</c:v>
                </c:pt>
                <c:pt idx="82" c:formatCode="General">
                  <c:v>4230</c:v>
                </c:pt>
                <c:pt idx="83" c:formatCode="General">
                  <c:v>4230</c:v>
                </c:pt>
                <c:pt idx="84" c:formatCode="General">
                  <c:v>4230</c:v>
                </c:pt>
                <c:pt idx="85" c:formatCode="General">
                  <c:v>4230</c:v>
                </c:pt>
                <c:pt idx="86" c:formatCode="General">
                  <c:v>4230</c:v>
                </c:pt>
                <c:pt idx="87" c:formatCode="General">
                  <c:v>4230</c:v>
                </c:pt>
                <c:pt idx="88" c:formatCode="General">
                  <c:v>0</c:v>
                </c:pt>
                <c:pt idx="89" c:formatCode="General">
                  <c:v>0</c:v>
                </c:pt>
                <c:pt idx="90" c:formatCode="General">
                  <c:v>0</c:v>
                </c:pt>
                <c:pt idx="91" c:formatCode="General">
                  <c:v>0</c:v>
                </c:pt>
                <c:pt idx="92" c:formatCode="General">
                  <c:v>0</c:v>
                </c:pt>
                <c:pt idx="93" c:formatCode="General">
                  <c:v>0</c:v>
                </c:pt>
                <c:pt idx="94" c:formatCode="General">
                  <c:v>0</c:v>
                </c:pt>
                <c:pt idx="95" c:formatCode="General">
                  <c:v>0</c:v>
                </c:pt>
                <c:pt idx="96" c:formatCode="General">
                  <c:v>0</c:v>
                </c:pt>
                <c:pt idx="97" c:formatCode="General">
                  <c:v>0</c:v>
                </c:pt>
                <c:pt idx="98" c:formatCode="General">
                  <c:v>0</c:v>
                </c:pt>
                <c:pt idx="99" c:formatCode="General">
                  <c:v>0</c:v>
                </c:pt>
                <c:pt idx="100" c:formatCode="General">
                  <c:v>0</c:v>
                </c:pt>
                <c:pt idx="103" c:formatCode="General">
                  <c:v>0</c:v>
                </c:pt>
                <c:pt idx="104" c:formatCode="General">
                  <c:v>0</c:v>
                </c:pt>
                <c:pt idx="105" c:formatCode="General">
                  <c:v>0</c:v>
                </c:pt>
                <c:pt idx="106" c:formatCode="General">
                  <c:v>0</c:v>
                </c:pt>
                <c:pt idx="107" c:formatCode="General">
                  <c:v>0</c:v>
                </c:pt>
                <c:pt idx="108" c:formatCode="General">
                  <c:v>0</c:v>
                </c:pt>
                <c:pt idx="109" c:formatCode="General">
                  <c:v>0</c:v>
                </c:pt>
                <c:pt idx="110" c:formatCode="General">
                  <c:v>0</c:v>
                </c:pt>
                <c:pt idx="111" c:formatCode="General">
                  <c:v>0</c:v>
                </c:pt>
                <c:pt idx="112" c:formatCode="General">
                  <c:v>0</c:v>
                </c:pt>
                <c:pt idx="113" c:formatCode="General">
                  <c:v>0</c:v>
                </c:pt>
                <c:pt idx="114" c:formatCode="General">
                  <c:v>0</c:v>
                </c:pt>
                <c:pt idx="115" c:formatCode="General">
                  <c:v>0</c:v>
                </c:pt>
                <c:pt idx="116" c:formatCode="General">
                  <c:v>0</c:v>
                </c:pt>
                <c:pt idx="117" c:formatCode="General">
                  <c:v>0</c:v>
                </c:pt>
                <c:pt idx="118" c:formatCode="General">
                  <c:v>0</c:v>
                </c:pt>
                <c:pt idx="119" c:formatCode="General">
                  <c:v>0</c:v>
                </c:pt>
                <c:pt idx="120" c:formatCode="General">
                  <c:v>0</c:v>
                </c:pt>
                <c:pt idx="121" c:formatCode="General">
                  <c:v>0</c:v>
                </c:pt>
                <c:pt idx="122" c:formatCode="General">
                  <c:v>0</c:v>
                </c:pt>
                <c:pt idx="123" c:formatCode="General">
                  <c:v>0</c:v>
                </c:pt>
                <c:pt idx="124" c:formatCode="General">
                  <c:v>0</c:v>
                </c:pt>
                <c:pt idx="125" c:formatCode="General">
                  <c:v>0</c:v>
                </c:pt>
                <c:pt idx="126" c:formatCode="General">
                  <c:v>0</c:v>
                </c:pt>
                <c:pt idx="127" c:formatCode="General">
                  <c:v>0</c:v>
                </c:pt>
                <c:pt idx="128" c:formatCode="General">
                  <c:v>0</c:v>
                </c:pt>
                <c:pt idx="129" c:formatCode="General">
                  <c:v>0</c:v>
                </c:pt>
                <c:pt idx="130" c:formatCode="General">
                  <c:v>0</c:v>
                </c:pt>
                <c:pt idx="131" c:formatCode="General">
                  <c:v>0</c:v>
                </c:pt>
                <c:pt idx="132" c:formatCode="General">
                  <c:v>0</c:v>
                </c:pt>
                <c:pt idx="133" c:formatCode="General">
                  <c:v>0</c:v>
                </c:pt>
                <c:pt idx="134" c:formatCode="General">
                  <c:v>0</c:v>
                </c:pt>
                <c:pt idx="135" c:formatCode="General">
                  <c:v>0</c:v>
                </c:pt>
                <c:pt idx="136" c:formatCode="General">
                  <c:v>0</c:v>
                </c:pt>
                <c:pt idx="137" c:formatCode="General">
                  <c:v>0</c:v>
                </c:pt>
                <c:pt idx="138" c:formatCode="General">
                  <c:v>0</c:v>
                </c:pt>
              </c:numCache>
            </c:numRef>
          </c:val>
          <c:smooth val="0"/>
        </c:ser>
        <c:ser>
          <c:idx val="1"/>
          <c:order val="2"/>
          <c:tx>
            <c:strRef>
              <c:f>'[最新溶剂油周报：山东地炼石脑油价格走势图5.25.xls]溶剂油周报-石脑油价格走势图表'!$F$178</c:f>
              <c:strCache>
                <c:ptCount val="1"/>
                <c:pt idx="0">
                  <c:v>安邦石化</c:v>
                </c:pt>
              </c:strCache>
            </c:strRef>
          </c:tx>
          <c:spPr>
            <a:ln w="38100" cap="rnd" cmpd="sng" algn="ctr">
              <a:solidFill>
                <a:srgbClr val="FF00FF">
                  <a:alpha val="100000"/>
                </a:srgbClr>
              </a:solidFill>
              <a:prstDash val="solid"/>
              <a:round/>
            </a:ln>
          </c:spPr>
          <c:marker>
            <c:symbol val="none"/>
          </c:marker>
          <c:dLbls>
            <c:delete val="1"/>
          </c:dLbls>
          <c:cat>
            <c:numRef>
              <c:f>'[最新溶剂油周报：山东地炼石脑油价格走势图5.25.xls]溶剂油周报-石脑油价格走势图表'!$A$179:$C$325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pt idx="138" c:formatCode="yyyy/m/d">
                  <c:v>43252</c:v>
                </c:pt>
              </c:numCache>
            </c:numRef>
          </c:cat>
          <c:val>
            <c:numRef>
              <c:f>'[最新溶剂油周报：山东地炼石脑油价格走势图5.25.xls]溶剂油周报-石脑油价格走势图表'!$F$179:$F$325</c:f>
              <c:numCache>
                <c:formatCode>@</c:formatCode>
                <c:ptCount val="147"/>
                <c:pt idx="0">
                  <c:v>4570</c:v>
                </c:pt>
                <c:pt idx="1">
                  <c:v>4570</c:v>
                </c:pt>
                <c:pt idx="2">
                  <c:v>4650</c:v>
                </c:pt>
                <c:pt idx="3">
                  <c:v>4700</c:v>
                </c:pt>
                <c:pt idx="4">
                  <c:v>4700</c:v>
                </c:pt>
                <c:pt idx="5">
                  <c:v>4700</c:v>
                </c:pt>
                <c:pt idx="6">
                  <c:v>4700</c:v>
                </c:pt>
                <c:pt idx="7">
                  <c:v>4530</c:v>
                </c:pt>
                <c:pt idx="8">
                  <c:v>4530</c:v>
                </c:pt>
                <c:pt idx="9">
                  <c:v>4530</c:v>
                </c:pt>
                <c:pt idx="10">
                  <c:v>4530</c:v>
                </c:pt>
                <c:pt idx="11">
                  <c:v>4530</c:v>
                </c:pt>
                <c:pt idx="12">
                  <c:v>4200</c:v>
                </c:pt>
                <c:pt idx="13">
                  <c:v>4200</c:v>
                </c:pt>
                <c:pt idx="14">
                  <c:v>4000</c:v>
                </c:pt>
                <c:pt idx="15">
                  <c:v>3900</c:v>
                </c:pt>
                <c:pt idx="16">
                  <c:v>3900</c:v>
                </c:pt>
                <c:pt idx="17">
                  <c:v>3800</c:v>
                </c:pt>
                <c:pt idx="18">
                  <c:v>3800</c:v>
                </c:pt>
                <c:pt idx="19">
                  <c:v>3500</c:v>
                </c:pt>
                <c:pt idx="20">
                  <c:v>3500</c:v>
                </c:pt>
                <c:pt idx="21">
                  <c:v>3500</c:v>
                </c:pt>
                <c:pt idx="22">
                  <c:v>3500</c:v>
                </c:pt>
                <c:pt idx="23">
                  <c:v>2800</c:v>
                </c:pt>
                <c:pt idx="24">
                  <c:v>3100</c:v>
                </c:pt>
                <c:pt idx="25">
                  <c:v>3600</c:v>
                </c:pt>
                <c:pt idx="26">
                  <c:v>3600</c:v>
                </c:pt>
                <c:pt idx="27">
                  <c:v>3500</c:v>
                </c:pt>
                <c:pt idx="28">
                  <c:v>3500</c:v>
                </c:pt>
                <c:pt idx="29">
                  <c:v>3250</c:v>
                </c:pt>
                <c:pt idx="30">
                  <c:v>3250</c:v>
                </c:pt>
                <c:pt idx="31">
                  <c:v>3200</c:v>
                </c:pt>
                <c:pt idx="32">
                  <c:v>3200</c:v>
                </c:pt>
                <c:pt idx="33">
                  <c:v>3350</c:v>
                </c:pt>
                <c:pt idx="34">
                  <c:v>3530</c:v>
                </c:pt>
                <c:pt idx="35">
                  <c:v>3530</c:v>
                </c:pt>
                <c:pt idx="36">
                  <c:v>3530</c:v>
                </c:pt>
                <c:pt idx="37">
                  <c:v>3400</c:v>
                </c:pt>
                <c:pt idx="38">
                  <c:v>3300</c:v>
                </c:pt>
                <c:pt idx="39">
                  <c:v>3300</c:v>
                </c:pt>
                <c:pt idx="40">
                  <c:v>3400</c:v>
                </c:pt>
                <c:pt idx="41">
                  <c:v>3300</c:v>
                </c:pt>
                <c:pt idx="42">
                  <c:v>3300</c:v>
                </c:pt>
                <c:pt idx="43">
                  <c:v>3300</c:v>
                </c:pt>
                <c:pt idx="44">
                  <c:v>3300</c:v>
                </c:pt>
                <c:pt idx="45">
                  <c:v>3300</c:v>
                </c:pt>
                <c:pt idx="46">
                  <c:v>3300</c:v>
                </c:pt>
                <c:pt idx="47" c:formatCode="General">
                  <c:v>3200</c:v>
                </c:pt>
                <c:pt idx="48" c:formatCode="General">
                  <c:v>3550</c:v>
                </c:pt>
                <c:pt idx="49" c:formatCode="General">
                  <c:v>3600</c:v>
                </c:pt>
                <c:pt idx="50" c:formatCode="General">
                  <c:v>3600</c:v>
                </c:pt>
                <c:pt idx="51" c:formatCode="General">
                  <c:v>3350</c:v>
                </c:pt>
                <c:pt idx="52" c:formatCode="General">
                  <c:v>3550</c:v>
                </c:pt>
                <c:pt idx="53" c:formatCode="General">
                  <c:v>3500</c:v>
                </c:pt>
                <c:pt idx="54" c:formatCode="General">
                  <c:v>3500</c:v>
                </c:pt>
                <c:pt idx="55" c:formatCode="General">
                  <c:v>3800</c:v>
                </c:pt>
                <c:pt idx="56" c:formatCode="General">
                  <c:v>4000</c:v>
                </c:pt>
                <c:pt idx="57" c:formatCode="General">
                  <c:v>4000</c:v>
                </c:pt>
                <c:pt idx="58" c:formatCode="General">
                  <c:v>3900</c:v>
                </c:pt>
                <c:pt idx="59" c:formatCode="General">
                  <c:v>3800</c:v>
                </c:pt>
                <c:pt idx="60" c:formatCode="General">
                  <c:v>3950</c:v>
                </c:pt>
                <c:pt idx="61" c:formatCode="General">
                  <c:v>4000</c:v>
                </c:pt>
                <c:pt idx="62" c:formatCode="General">
                  <c:v>4000</c:v>
                </c:pt>
                <c:pt idx="63" c:formatCode="General">
                  <c:v>4150</c:v>
                </c:pt>
                <c:pt idx="64" c:formatCode="General">
                  <c:v>4500</c:v>
                </c:pt>
                <c:pt idx="65" c:formatCode="General">
                  <c:v>4500</c:v>
                </c:pt>
                <c:pt idx="66" c:formatCode="General">
                  <c:v>4300</c:v>
                </c:pt>
                <c:pt idx="67" c:formatCode="General">
                  <c:v>4300</c:v>
                </c:pt>
                <c:pt idx="68" c:formatCode="General">
                  <c:v>4400</c:v>
                </c:pt>
                <c:pt idx="69" c:formatCode="General">
                  <c:v>4400</c:v>
                </c:pt>
                <c:pt idx="70" c:formatCode="General">
                  <c:v>4400</c:v>
                </c:pt>
                <c:pt idx="71" c:formatCode="General">
                  <c:v>4400</c:v>
                </c:pt>
                <c:pt idx="72" c:formatCode="General">
                  <c:v>4750</c:v>
                </c:pt>
                <c:pt idx="73" c:formatCode="General">
                  <c:v>4800</c:v>
                </c:pt>
                <c:pt idx="74" c:formatCode="General">
                  <c:v>4720</c:v>
                </c:pt>
                <c:pt idx="75" c:formatCode="General">
                  <c:v>4500</c:v>
                </c:pt>
                <c:pt idx="76" c:formatCode="General">
                  <c:v>4600</c:v>
                </c:pt>
                <c:pt idx="77" c:formatCode="General">
                  <c:v>4600</c:v>
                </c:pt>
                <c:pt idx="78" c:formatCode="General">
                  <c:v>4600</c:v>
                </c:pt>
                <c:pt idx="79" c:formatCode="General">
                  <c:v>4650</c:v>
                </c:pt>
                <c:pt idx="80" c:formatCode="General">
                  <c:v>4650</c:v>
                </c:pt>
                <c:pt idx="81" c:formatCode="General">
                  <c:v>4500</c:v>
                </c:pt>
                <c:pt idx="82" c:formatCode="General">
                  <c:v>4500</c:v>
                </c:pt>
                <c:pt idx="83" c:formatCode="General">
                  <c:v>4500</c:v>
                </c:pt>
                <c:pt idx="84" c:formatCode="General">
                  <c:v>4700</c:v>
                </c:pt>
                <c:pt idx="85" c:formatCode="General">
                  <c:v>4750</c:v>
                </c:pt>
                <c:pt idx="86" c:formatCode="General">
                  <c:v>4750</c:v>
                </c:pt>
                <c:pt idx="87" c:formatCode="General">
                  <c:v>4750</c:v>
                </c:pt>
                <c:pt idx="88" c:formatCode="General">
                  <c:v>4850</c:v>
                </c:pt>
                <c:pt idx="89" c:formatCode="General">
                  <c:v>4750</c:v>
                </c:pt>
                <c:pt idx="90" c:formatCode="General">
                  <c:v>4550</c:v>
                </c:pt>
                <c:pt idx="91" c:formatCode="General">
                  <c:v>4600</c:v>
                </c:pt>
                <c:pt idx="92" c:formatCode="General">
                  <c:v>4500</c:v>
                </c:pt>
                <c:pt idx="93" c:formatCode="General">
                  <c:v>4500</c:v>
                </c:pt>
                <c:pt idx="94" c:formatCode="General">
                  <c:v>4600</c:v>
                </c:pt>
                <c:pt idx="95" c:formatCode="General">
                  <c:v>4600</c:v>
                </c:pt>
                <c:pt idx="96" c:formatCode="General">
                  <c:v>4550</c:v>
                </c:pt>
                <c:pt idx="97" c:formatCode="General">
                  <c:v>4660</c:v>
                </c:pt>
                <c:pt idx="98" c:formatCode="General">
                  <c:v>4730</c:v>
                </c:pt>
                <c:pt idx="99" c:formatCode="General">
                  <c:v>4780</c:v>
                </c:pt>
                <c:pt idx="100" c:formatCode="General">
                  <c:v>4840</c:v>
                </c:pt>
                <c:pt idx="103" c:formatCode="General">
                  <c:v>0</c:v>
                </c:pt>
                <c:pt idx="104" c:formatCode="General">
                  <c:v>4900</c:v>
                </c:pt>
                <c:pt idx="105" c:formatCode="General">
                  <c:v>4980</c:v>
                </c:pt>
                <c:pt idx="106" c:formatCode="General">
                  <c:v>5050</c:v>
                </c:pt>
                <c:pt idx="107" c:formatCode="General">
                  <c:v>5160</c:v>
                </c:pt>
                <c:pt idx="108" c:formatCode="General">
                  <c:v>5240</c:v>
                </c:pt>
                <c:pt idx="109" c:formatCode="General">
                  <c:v>5300</c:v>
                </c:pt>
                <c:pt idx="110" c:formatCode="General">
                  <c:v>5530</c:v>
                </c:pt>
                <c:pt idx="111" c:formatCode="General">
                  <c:v>6200</c:v>
                </c:pt>
                <c:pt idx="112" c:formatCode="General">
                  <c:v>6050</c:v>
                </c:pt>
                <c:pt idx="113" c:formatCode="General">
                  <c:v>6150</c:v>
                </c:pt>
                <c:pt idx="114" c:formatCode="General">
                  <c:v>6180</c:v>
                </c:pt>
                <c:pt idx="115" c:formatCode="General">
                  <c:v>6180</c:v>
                </c:pt>
                <c:pt idx="116" c:formatCode="General">
                  <c:v>5900</c:v>
                </c:pt>
                <c:pt idx="117" c:formatCode="General">
                  <c:v>5830</c:v>
                </c:pt>
                <c:pt idx="118" c:formatCode="General">
                  <c:v>6000</c:v>
                </c:pt>
                <c:pt idx="119" c:formatCode="General">
                  <c:v>5960</c:v>
                </c:pt>
                <c:pt idx="120" c:formatCode="General">
                  <c:v>6400</c:v>
                </c:pt>
                <c:pt idx="121" c:formatCode="General">
                  <c:v>6250</c:v>
                </c:pt>
                <c:pt idx="122" c:formatCode="General">
                  <c:v>6200</c:v>
                </c:pt>
                <c:pt idx="123" c:formatCode="General">
                  <c:v>5990</c:v>
                </c:pt>
                <c:pt idx="124" c:formatCode="General">
                  <c:v>5840</c:v>
                </c:pt>
                <c:pt idx="125" c:formatCode="General">
                  <c:v>5950</c:v>
                </c:pt>
                <c:pt idx="126" c:formatCode="General">
                  <c:v>5950</c:v>
                </c:pt>
                <c:pt idx="127" c:formatCode="General">
                  <c:v>5900</c:v>
                </c:pt>
                <c:pt idx="128" c:formatCode="General">
                  <c:v>5920</c:v>
                </c:pt>
                <c:pt idx="129" c:formatCode="General">
                  <c:v>6000</c:v>
                </c:pt>
                <c:pt idx="130" c:formatCode="General">
                  <c:v>6080</c:v>
                </c:pt>
                <c:pt idx="131" c:formatCode="General">
                  <c:v>6130</c:v>
                </c:pt>
                <c:pt idx="132" c:formatCode="General">
                  <c:v>6150</c:v>
                </c:pt>
                <c:pt idx="133" c:formatCode="General">
                  <c:v>6250</c:v>
                </c:pt>
                <c:pt idx="134" c:formatCode="General">
                  <c:v>6150</c:v>
                </c:pt>
                <c:pt idx="135" c:formatCode="General">
                  <c:v>6450</c:v>
                </c:pt>
                <c:pt idx="136" c:formatCode="General">
                  <c:v>6600</c:v>
                </c:pt>
                <c:pt idx="137" c:formatCode="General">
                  <c:v>6650</c:v>
                </c:pt>
                <c:pt idx="138" c:formatCode="General">
                  <c:v>0</c:v>
                </c:pt>
              </c:numCache>
            </c:numRef>
          </c:val>
          <c:smooth val="0"/>
        </c:ser>
        <c:ser>
          <c:idx val="5"/>
          <c:order val="3"/>
          <c:tx>
            <c:strRef>
              <c:f>'[最新溶剂油周报：山东地炼石脑油价格走势图5.25.xls]溶剂油周报-石脑油价格走势图表'!$G$178</c:f>
              <c:strCache>
                <c:ptCount val="1"/>
                <c:pt idx="0">
                  <c:v>富海石化</c:v>
                </c:pt>
              </c:strCache>
            </c:strRef>
          </c:tx>
          <c:spPr>
            <a:ln w="38100" cap="rnd" cmpd="sng" algn="ctr">
              <a:solidFill>
                <a:srgbClr val="800000">
                  <a:alpha val="100000"/>
                </a:srgbClr>
              </a:solidFill>
              <a:prstDash val="solid"/>
              <a:round/>
            </a:ln>
          </c:spPr>
          <c:marker>
            <c:symbol val="none"/>
          </c:marker>
          <c:dLbls>
            <c:delete val="1"/>
          </c:dLbls>
          <c:cat>
            <c:numRef>
              <c:f>'[最新溶剂油周报：山东地炼石脑油价格走势图5.25.xls]溶剂油周报-石脑油价格走势图表'!$A$179:$C$325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pt idx="138" c:formatCode="yyyy/m/d">
                  <c:v>43252</c:v>
                </c:pt>
              </c:numCache>
            </c:numRef>
          </c:cat>
          <c:val>
            <c:numRef>
              <c:f>'[最新溶剂油周报：山东地炼石脑油价格走势图5.25.xls]溶剂油周报-石脑油价格走势图表'!$G$179:$G$325</c:f>
              <c:numCache>
                <c:formatCode>@</c:formatCode>
                <c:ptCount val="147"/>
                <c:pt idx="0">
                  <c:v>4600</c:v>
                </c:pt>
                <c:pt idx="1">
                  <c:v>4600</c:v>
                </c:pt>
                <c:pt idx="2">
                  <c:v>4600</c:v>
                </c:pt>
                <c:pt idx="3">
                  <c:v>4600</c:v>
                </c:pt>
                <c:pt idx="4">
                  <c:v>4600</c:v>
                </c:pt>
                <c:pt idx="5">
                  <c:v>4600</c:v>
                </c:pt>
                <c:pt idx="6">
                  <c:v>4550</c:v>
                </c:pt>
                <c:pt idx="7">
                  <c:v>4550</c:v>
                </c:pt>
                <c:pt idx="8">
                  <c:v>4550</c:v>
                </c:pt>
                <c:pt idx="9">
                  <c:v>4650</c:v>
                </c:pt>
                <c:pt idx="10">
                  <c:v>4600</c:v>
                </c:pt>
                <c:pt idx="11">
                  <c:v>4370</c:v>
                </c:pt>
                <c:pt idx="12">
                  <c:v>4370</c:v>
                </c:pt>
                <c:pt idx="13">
                  <c:v>4220</c:v>
                </c:pt>
                <c:pt idx="14">
                  <c:v>3900</c:v>
                </c:pt>
                <c:pt idx="15">
                  <c:v>3800</c:v>
                </c:pt>
                <c:pt idx="16">
                  <c:v>3900</c:v>
                </c:pt>
                <c:pt idx="17">
                  <c:v>3930</c:v>
                </c:pt>
                <c:pt idx="18">
                  <c:v>3800</c:v>
                </c:pt>
                <c:pt idx="19">
                  <c:v>3300</c:v>
                </c:pt>
                <c:pt idx="20">
                  <c:v>3250</c:v>
                </c:pt>
                <c:pt idx="21">
                  <c:v>3200</c:v>
                </c:pt>
                <c:pt idx="22">
                  <c:v>3068</c:v>
                </c:pt>
                <c:pt idx="23">
                  <c:v>3068</c:v>
                </c:pt>
                <c:pt idx="24">
                  <c:v>3068</c:v>
                </c:pt>
                <c:pt idx="25">
                  <c:v>3870</c:v>
                </c:pt>
                <c:pt idx="26">
                  <c:v>3700</c:v>
                </c:pt>
                <c:pt idx="27">
                  <c:v>3700</c:v>
                </c:pt>
                <c:pt idx="28">
                  <c:v>3700</c:v>
                </c:pt>
                <c:pt idx="29">
                  <c:v>3700</c:v>
                </c:pt>
                <c:pt idx="30">
                  <c:v>3500</c:v>
                </c:pt>
                <c:pt idx="31">
                  <c:v>3550</c:v>
                </c:pt>
                <c:pt idx="32">
                  <c:v>3600</c:v>
                </c:pt>
                <c:pt idx="33">
                  <c:v>3600</c:v>
                </c:pt>
                <c:pt idx="34">
                  <c:v>3480</c:v>
                </c:pt>
                <c:pt idx="35">
                  <c:v>3520</c:v>
                </c:pt>
                <c:pt idx="36">
                  <c:v>3520</c:v>
                </c:pt>
                <c:pt idx="37">
                  <c:v>3520</c:v>
                </c:pt>
                <c:pt idx="38">
                  <c:v>3350</c:v>
                </c:pt>
                <c:pt idx="39">
                  <c:v>3350</c:v>
                </c:pt>
                <c:pt idx="40">
                  <c:v>3230</c:v>
                </c:pt>
                <c:pt idx="41">
                  <c:v>3230</c:v>
                </c:pt>
                <c:pt idx="42">
                  <c:v>3230</c:v>
                </c:pt>
                <c:pt idx="43">
                  <c:v>3230</c:v>
                </c:pt>
                <c:pt idx="44">
                  <c:v>3230</c:v>
                </c:pt>
                <c:pt idx="45">
                  <c:v>3230</c:v>
                </c:pt>
                <c:pt idx="46">
                  <c:v>3230</c:v>
                </c:pt>
                <c:pt idx="47">
                  <c:v>3230</c:v>
                </c:pt>
                <c:pt idx="48" c:formatCode="General">
                  <c:v>3430</c:v>
                </c:pt>
                <c:pt idx="49" c:formatCode="General">
                  <c:v>3460</c:v>
                </c:pt>
                <c:pt idx="50" c:formatCode="General">
                  <c:v>3350</c:v>
                </c:pt>
                <c:pt idx="51" c:formatCode="General">
                  <c:v>3520</c:v>
                </c:pt>
                <c:pt idx="52" c:formatCode="General">
                  <c:v>3520</c:v>
                </c:pt>
                <c:pt idx="53" c:formatCode="General">
                  <c:v>3500</c:v>
                </c:pt>
                <c:pt idx="54" c:formatCode="General">
                  <c:v>3500</c:v>
                </c:pt>
                <c:pt idx="55" c:formatCode="General">
                  <c:v>3850</c:v>
                </c:pt>
                <c:pt idx="56" c:formatCode="General">
                  <c:v>4080</c:v>
                </c:pt>
                <c:pt idx="57" c:formatCode="General">
                  <c:v>3930</c:v>
                </c:pt>
                <c:pt idx="58" c:formatCode="General">
                  <c:v>3900</c:v>
                </c:pt>
                <c:pt idx="59" c:formatCode="General">
                  <c:v>3750</c:v>
                </c:pt>
                <c:pt idx="60" c:formatCode="General">
                  <c:v>3900</c:v>
                </c:pt>
                <c:pt idx="61" c:formatCode="General">
                  <c:v>3930</c:v>
                </c:pt>
                <c:pt idx="62" c:formatCode="General">
                  <c:v>3900</c:v>
                </c:pt>
                <c:pt idx="63" c:formatCode="General">
                  <c:v>4100</c:v>
                </c:pt>
                <c:pt idx="64" c:formatCode="General">
                  <c:v>4500</c:v>
                </c:pt>
                <c:pt idx="65" c:formatCode="General">
                  <c:v>4500</c:v>
                </c:pt>
                <c:pt idx="66" c:formatCode="General">
                  <c:v>4250</c:v>
                </c:pt>
                <c:pt idx="67" c:formatCode="General">
                  <c:v>4180</c:v>
                </c:pt>
                <c:pt idx="68" c:formatCode="General">
                  <c:v>4260</c:v>
                </c:pt>
                <c:pt idx="69" c:formatCode="General">
                  <c:v>4280</c:v>
                </c:pt>
                <c:pt idx="70" c:formatCode="General">
                  <c:v>4280</c:v>
                </c:pt>
                <c:pt idx="71" c:formatCode="General">
                  <c:v>4300</c:v>
                </c:pt>
                <c:pt idx="72" c:formatCode="General">
                  <c:v>4520</c:v>
                </c:pt>
                <c:pt idx="73" c:formatCode="General">
                  <c:v>4520</c:v>
                </c:pt>
                <c:pt idx="74" c:formatCode="General">
                  <c:v>4370</c:v>
                </c:pt>
                <c:pt idx="75" c:formatCode="General">
                  <c:v>4150</c:v>
                </c:pt>
                <c:pt idx="76" c:formatCode="General">
                  <c:v>4330</c:v>
                </c:pt>
                <c:pt idx="77" c:formatCode="General">
                  <c:v>4280</c:v>
                </c:pt>
                <c:pt idx="78" c:formatCode="General">
                  <c:v>4250</c:v>
                </c:pt>
                <c:pt idx="79" c:formatCode="General">
                  <c:v>4480</c:v>
                </c:pt>
                <c:pt idx="80" c:formatCode="General">
                  <c:v>4500</c:v>
                </c:pt>
                <c:pt idx="81" c:formatCode="General">
                  <c:v>4350</c:v>
                </c:pt>
                <c:pt idx="82" c:formatCode="General">
                  <c:v>4250</c:v>
                </c:pt>
                <c:pt idx="83" c:formatCode="General">
                  <c:v>4250</c:v>
                </c:pt>
                <c:pt idx="84" c:formatCode="General">
                  <c:v>4250</c:v>
                </c:pt>
                <c:pt idx="85" c:formatCode="General">
                  <c:v>4250</c:v>
                </c:pt>
                <c:pt idx="86" c:formatCode="General">
                  <c:v>4250</c:v>
                </c:pt>
                <c:pt idx="87" c:formatCode="General">
                  <c:v>4250</c:v>
                </c:pt>
                <c:pt idx="88" c:formatCode="General">
                  <c:v>4250</c:v>
                </c:pt>
                <c:pt idx="89" c:formatCode="General">
                  <c:v>4180</c:v>
                </c:pt>
                <c:pt idx="90" c:formatCode="General">
                  <c:v>3970</c:v>
                </c:pt>
                <c:pt idx="91" c:formatCode="General">
                  <c:v>3970</c:v>
                </c:pt>
                <c:pt idx="92" c:formatCode="General">
                  <c:v>4000</c:v>
                </c:pt>
                <c:pt idx="93" c:formatCode="General">
                  <c:v>4030</c:v>
                </c:pt>
                <c:pt idx="94" c:formatCode="General">
                  <c:v>4100</c:v>
                </c:pt>
                <c:pt idx="95" c:formatCode="General">
                  <c:v>4100</c:v>
                </c:pt>
                <c:pt idx="96" c:formatCode="General">
                  <c:v>4230</c:v>
                </c:pt>
                <c:pt idx="97" c:formatCode="General">
                  <c:v>4370</c:v>
                </c:pt>
                <c:pt idx="98" c:formatCode="General">
                  <c:v>4370</c:v>
                </c:pt>
                <c:pt idx="99" c:formatCode="General">
                  <c:v>4310</c:v>
                </c:pt>
                <c:pt idx="100" c:formatCode="General">
                  <c:v>4310</c:v>
                </c:pt>
                <c:pt idx="103" c:formatCode="General">
                  <c:v>0</c:v>
                </c:pt>
                <c:pt idx="104" c:formatCode="General">
                  <c:v>4310</c:v>
                </c:pt>
                <c:pt idx="105" c:formatCode="General">
                  <c:v>4400</c:v>
                </c:pt>
                <c:pt idx="106" c:formatCode="General">
                  <c:v>4550</c:v>
                </c:pt>
                <c:pt idx="107" c:formatCode="General">
                  <c:v>4520</c:v>
                </c:pt>
                <c:pt idx="108" c:formatCode="General">
                  <c:v>4480</c:v>
                </c:pt>
                <c:pt idx="109" c:formatCode="General">
                  <c:v>4480</c:v>
                </c:pt>
                <c:pt idx="110" c:formatCode="General">
                  <c:v>4690</c:v>
                </c:pt>
                <c:pt idx="111" c:formatCode="General">
                  <c:v>5750</c:v>
                </c:pt>
                <c:pt idx="112" c:formatCode="General">
                  <c:v>5420</c:v>
                </c:pt>
                <c:pt idx="113" c:formatCode="General">
                  <c:v>5400</c:v>
                </c:pt>
                <c:pt idx="114" c:formatCode="General">
                  <c:v>5430</c:v>
                </c:pt>
                <c:pt idx="115" c:formatCode="General">
                  <c:v>5430</c:v>
                </c:pt>
                <c:pt idx="116" c:formatCode="General">
                  <c:v>5210</c:v>
                </c:pt>
                <c:pt idx="117" c:formatCode="General">
                  <c:v>5090</c:v>
                </c:pt>
                <c:pt idx="118" c:formatCode="General">
                  <c:v>5190</c:v>
                </c:pt>
                <c:pt idx="119" c:formatCode="General">
                  <c:v>5210</c:v>
                </c:pt>
                <c:pt idx="120" c:formatCode="General">
                  <c:v>5210</c:v>
                </c:pt>
                <c:pt idx="121" c:formatCode="General">
                  <c:v>5670</c:v>
                </c:pt>
                <c:pt idx="122" c:formatCode="General">
                  <c:v>5500</c:v>
                </c:pt>
                <c:pt idx="123" c:formatCode="General">
                  <c:v>5200</c:v>
                </c:pt>
                <c:pt idx="124" c:formatCode="General">
                  <c:v>5200</c:v>
                </c:pt>
                <c:pt idx="125" c:formatCode="General">
                  <c:v>5290</c:v>
                </c:pt>
                <c:pt idx="126" c:formatCode="General">
                  <c:v>5310</c:v>
                </c:pt>
                <c:pt idx="127" c:formatCode="General">
                  <c:v>5210</c:v>
                </c:pt>
                <c:pt idx="128" c:formatCode="General">
                  <c:v>5080</c:v>
                </c:pt>
                <c:pt idx="129" c:formatCode="General">
                  <c:v>4800</c:v>
                </c:pt>
                <c:pt idx="130" c:formatCode="General">
                  <c:v>4800</c:v>
                </c:pt>
                <c:pt idx="131" c:formatCode="General">
                  <c:v>4800</c:v>
                </c:pt>
                <c:pt idx="132" c:formatCode="General">
                  <c:v>4860</c:v>
                </c:pt>
                <c:pt idx="133" c:formatCode="General">
                  <c:v>4840</c:v>
                </c:pt>
                <c:pt idx="134" c:formatCode="General">
                  <c:v>4760</c:v>
                </c:pt>
                <c:pt idx="135" c:formatCode="General">
                  <c:v>4920</c:v>
                </c:pt>
                <c:pt idx="136" c:formatCode="General">
                  <c:v>5100</c:v>
                </c:pt>
                <c:pt idx="137" c:formatCode="General">
                  <c:v>5110</c:v>
                </c:pt>
                <c:pt idx="138" c:formatCode="General">
                  <c:v>4890</c:v>
                </c:pt>
              </c:numCache>
            </c:numRef>
          </c:val>
          <c:smooth val="0"/>
        </c:ser>
        <c:ser>
          <c:idx val="6"/>
          <c:order val="4"/>
          <c:tx>
            <c:strRef>
              <c:f>'[最新溶剂油周报：山东地炼石脑油价格走势图5.25.xls]溶剂油周报-石脑油价格走势图表'!$H$178</c:f>
              <c:strCache>
                <c:ptCount val="1"/>
                <c:pt idx="0">
                  <c:v>寿光石化</c:v>
                </c:pt>
              </c:strCache>
            </c:strRef>
          </c:tx>
          <c:spPr>
            <a:ln w="38100" cap="rnd" cmpd="sng" algn="ctr">
              <a:solidFill>
                <a:srgbClr val="0000FF">
                  <a:alpha val="100000"/>
                </a:srgbClr>
              </a:solidFill>
              <a:prstDash val="solid"/>
              <a:round/>
            </a:ln>
          </c:spPr>
          <c:marker>
            <c:symbol val="none"/>
          </c:marker>
          <c:dLbls>
            <c:delete val="1"/>
          </c:dLbls>
          <c:cat>
            <c:numRef>
              <c:f>'[最新溶剂油周报：山东地炼石脑油价格走势图5.25.xls]溶剂油周报-石脑油价格走势图表'!$A$179:$C$325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pt idx="138" c:formatCode="yyyy/m/d">
                  <c:v>43252</c:v>
                </c:pt>
              </c:numCache>
            </c:numRef>
          </c:cat>
          <c:val>
            <c:numRef>
              <c:f>'[最新溶剂油周报：山东地炼石脑油价格走势图5.25.xls]溶剂油周报-石脑油价格走势图表'!$H$179:$H$325</c:f>
              <c:numCache>
                <c:formatCode>General</c:formatCode>
                <c:ptCount val="147"/>
                <c:pt idx="17" c:formatCode="@">
                  <c:v>3650</c:v>
                </c:pt>
                <c:pt idx="18" c:formatCode="@">
                  <c:v>3650</c:v>
                </c:pt>
                <c:pt idx="19" c:formatCode="@">
                  <c:v>3650</c:v>
                </c:pt>
                <c:pt idx="20" c:formatCode="@">
                  <c:v>3650</c:v>
                </c:pt>
                <c:pt idx="21" c:formatCode="@">
                  <c:v>3650</c:v>
                </c:pt>
                <c:pt idx="22" c:formatCode="@">
                  <c:v>3650</c:v>
                </c:pt>
                <c:pt idx="23" c:formatCode="@">
                  <c:v>3650</c:v>
                </c:pt>
                <c:pt idx="24" c:formatCode="@">
                  <c:v>3650</c:v>
                </c:pt>
                <c:pt idx="25" c:formatCode="@">
                  <c:v>3650</c:v>
                </c:pt>
                <c:pt idx="26" c:formatCode="@">
                  <c:v>3650</c:v>
                </c:pt>
                <c:pt idx="27" c:formatCode="@">
                  <c:v>4000</c:v>
                </c:pt>
                <c:pt idx="28" c:formatCode="@">
                  <c:v>4000</c:v>
                </c:pt>
                <c:pt idx="29" c:formatCode="@">
                  <c:v>4000</c:v>
                </c:pt>
                <c:pt idx="30" c:formatCode="@">
                  <c:v>4000</c:v>
                </c:pt>
                <c:pt idx="31" c:formatCode="@">
                  <c:v>4000</c:v>
                </c:pt>
                <c:pt idx="32" c:formatCode="@">
                  <c:v>4000</c:v>
                </c:pt>
                <c:pt idx="33" c:formatCode="@">
                  <c:v>4000</c:v>
                </c:pt>
                <c:pt idx="34" c:formatCode="@">
                  <c:v>4000</c:v>
                </c:pt>
                <c:pt idx="35" c:formatCode="@">
                  <c:v>4000</c:v>
                </c:pt>
                <c:pt idx="36" c:formatCode="@">
                  <c:v>4000</c:v>
                </c:pt>
                <c:pt idx="37" c:formatCode="@">
                  <c:v>4000</c:v>
                </c:pt>
                <c:pt idx="38" c:formatCode="@">
                  <c:v>4000</c:v>
                </c:pt>
                <c:pt idx="39" c:formatCode="@">
                  <c:v>4000</c:v>
                </c:pt>
                <c:pt idx="40" c:formatCode="@">
                  <c:v>4000</c:v>
                </c:pt>
                <c:pt idx="41" c:formatCode="@">
                  <c:v>4000</c:v>
                </c:pt>
                <c:pt idx="42" c:formatCode="@">
                  <c:v>4000</c:v>
                </c:pt>
                <c:pt idx="43" c:formatCode="@">
                  <c:v>4000</c:v>
                </c:pt>
                <c:pt idx="44" c:formatCode="@">
                  <c:v>4000</c:v>
                </c:pt>
                <c:pt idx="45" c:formatCode="@">
                  <c:v>4000</c:v>
                </c:pt>
                <c:pt idx="46" c:formatCode="@">
                  <c:v>4000</c:v>
                </c:pt>
                <c:pt idx="47" c:formatCode="@">
                  <c:v>4000</c:v>
                </c:pt>
                <c:pt idx="48" c:formatCode="@">
                  <c:v>4000</c:v>
                </c:pt>
                <c:pt idx="49" c:formatCode="@">
                  <c:v>4000</c:v>
                </c:pt>
                <c:pt idx="50" c:formatCode="@">
                  <c:v>4000</c:v>
                </c:pt>
                <c:pt idx="51" c:formatCode="@">
                  <c:v>4000</c:v>
                </c:pt>
                <c:pt idx="52" c:formatCode="@">
                  <c:v>4000</c:v>
                </c:pt>
                <c:pt idx="53" c:formatCode="@">
                  <c:v>4000</c:v>
                </c:pt>
                <c:pt idx="54" c:formatCode="@">
                  <c:v>4000</c:v>
                </c:pt>
                <c:pt idx="55" c:formatCode="@">
                  <c:v>4000</c:v>
                </c:pt>
                <c:pt idx="56" c:formatCode="@">
                  <c:v>4000</c:v>
                </c:pt>
                <c:pt idx="57" c:formatCode="@">
                  <c:v>4000</c:v>
                </c:pt>
                <c:pt idx="58" c:formatCode="@">
                  <c:v>4000</c:v>
                </c:pt>
                <c:pt idx="59" c:formatCode="@">
                  <c:v>4000</c:v>
                </c:pt>
                <c:pt idx="60" c:formatCode="@">
                  <c:v>4000</c:v>
                </c:pt>
                <c:pt idx="61" c:formatCode="@">
                  <c:v>4000</c:v>
                </c:pt>
                <c:pt idx="62" c:formatCode="@">
                  <c:v>4000</c:v>
                </c:pt>
                <c:pt idx="63" c:formatCode="@">
                  <c:v>4000</c:v>
                </c:pt>
                <c:pt idx="64" c:formatCode="@">
                  <c:v>4000</c:v>
                </c:pt>
                <c:pt idx="65" c:formatCode="@">
                  <c:v>4000</c:v>
                </c:pt>
                <c:pt idx="66" c:formatCode="@">
                  <c:v>4000</c:v>
                </c:pt>
                <c:pt idx="67" c:formatCode="@">
                  <c:v>4000</c:v>
                </c:pt>
                <c:pt idx="68" c:formatCode="@">
                  <c:v>4000</c:v>
                </c:pt>
                <c:pt idx="69" c:formatCode="@">
                  <c:v>4000</c:v>
                </c:pt>
                <c:pt idx="70" c:formatCode="@">
                  <c:v>4000</c:v>
                </c:pt>
                <c:pt idx="71">
                  <c:v>4000</c:v>
                </c:pt>
                <c:pt idx="72">
                  <c:v>4000</c:v>
                </c:pt>
                <c:pt idx="73">
                  <c:v>4000</c:v>
                </c:pt>
                <c:pt idx="74">
                  <c:v>4000</c:v>
                </c:pt>
                <c:pt idx="75">
                  <c:v>4000</c:v>
                </c:pt>
                <c:pt idx="76">
                  <c:v>4000</c:v>
                </c:pt>
                <c:pt idx="77">
                  <c:v>4000</c:v>
                </c:pt>
                <c:pt idx="78">
                  <c:v>4000</c:v>
                </c:pt>
                <c:pt idx="79">
                  <c:v>4000</c:v>
                </c:pt>
                <c:pt idx="80">
                  <c:v>4000</c:v>
                </c:pt>
                <c:pt idx="81">
                  <c:v>4000</c:v>
                </c:pt>
                <c:pt idx="82">
                  <c:v>4000</c:v>
                </c:pt>
                <c:pt idx="83">
                  <c:v>4000</c:v>
                </c:pt>
                <c:pt idx="84">
                  <c:v>4000</c:v>
                </c:pt>
                <c:pt idx="85">
                  <c:v>4000</c:v>
                </c:pt>
                <c:pt idx="86">
                  <c:v>4000</c:v>
                </c:pt>
                <c:pt idx="87">
                  <c:v>4000</c:v>
                </c:pt>
                <c:pt idx="88">
                  <c:v>4000</c:v>
                </c:pt>
                <c:pt idx="89">
                  <c:v>4000</c:v>
                </c:pt>
                <c:pt idx="90">
                  <c:v>4000</c:v>
                </c:pt>
                <c:pt idx="91">
                  <c:v>4000</c:v>
                </c:pt>
                <c:pt idx="92">
                  <c:v>4000</c:v>
                </c:pt>
                <c:pt idx="93">
                  <c:v>4000</c:v>
                </c:pt>
                <c:pt idx="94">
                  <c:v>4000</c:v>
                </c:pt>
                <c:pt idx="95">
                  <c:v>4000</c:v>
                </c:pt>
                <c:pt idx="96">
                  <c:v>4000</c:v>
                </c:pt>
                <c:pt idx="97">
                  <c:v>4000</c:v>
                </c:pt>
                <c:pt idx="98">
                  <c:v>4000</c:v>
                </c:pt>
                <c:pt idx="99">
                  <c:v>4000</c:v>
                </c:pt>
                <c:pt idx="100">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numCache>
            </c:numRef>
          </c:val>
          <c:smooth val="0"/>
        </c:ser>
        <c:dLbls>
          <c:showLegendKey val="0"/>
          <c:showVal val="0"/>
          <c:showCatName val="0"/>
          <c:showSerName val="0"/>
          <c:showPercent val="0"/>
          <c:showBubbleSize val="0"/>
        </c:dLbls>
        <c:marker val="0"/>
        <c:smooth val="0"/>
        <c:axId val="197668288"/>
        <c:axId val="132915126"/>
      </c:lineChart>
      <c:dateAx>
        <c:axId val="197668288"/>
        <c:scaling>
          <c:orientation val="minMax"/>
          <c:max val="43252"/>
          <c:min val="42887"/>
        </c:scaling>
        <c:delete val="0"/>
        <c:axPos val="b"/>
        <c:title>
          <c:tx>
            <c:rich>
              <a:bodyPr rot="0" spcFirstLastPara="0" vertOverflow="ellipsis" vert="horz" wrap="square"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000" b="0" i="0" u="none" strike="noStrike" baseline="0">
                    <a:solidFill>
                      <a:srgbClr val="000000"/>
                    </a:solidFill>
                    <a:latin typeface="宋体" panose="02010600030101010101" charset="-122"/>
                    <a:ea typeface="宋体" panose="02010600030101010101" charset="-122"/>
                    <a:cs typeface="宋体" panose="02010600030101010101" charset="-122"/>
                  </a:rPr>
                  <a:t>元/吨</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0314024540035944"/>
              <c:y val="0.0750266572680796"/>
            </c:manualLayout>
          </c:layout>
          <c:overlay val="0"/>
        </c:title>
        <c:numFmt formatCode="yyyy/m/d;@" sourceLinked="0"/>
        <c:majorTickMark val="in"/>
        <c:minorTickMark val="none"/>
        <c:tickLblPos val="nextTo"/>
        <c:spPr>
          <a:ln w="3175" cap="flat" cmpd="sng" algn="ctr">
            <a:solidFill>
              <a:srgbClr val="000000">
                <a:alpha val="100000"/>
              </a:srgbClr>
            </a:solidFill>
            <a:prstDash val="solid"/>
            <a:round/>
          </a:ln>
        </c:spPr>
        <c:txPr>
          <a:bodyPr rot="-540000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32915126"/>
        <c:crossesAt val="2000"/>
        <c:auto val="1"/>
        <c:lblOffset val="100"/>
        <c:baseTimeUnit val="days"/>
        <c:majorUnit val="1"/>
        <c:majorTimeUnit val="months"/>
        <c:minorUnit val="1"/>
        <c:minorTimeUnit val="months"/>
      </c:dateAx>
      <c:valAx>
        <c:axId val="132915126"/>
        <c:scaling>
          <c:orientation val="minMax"/>
          <c:max val="7000"/>
          <c:min val="2000"/>
        </c:scaling>
        <c:delete val="0"/>
        <c:axPos val="l"/>
        <c:majorGridlines>
          <c:spPr>
            <a:ln w="3175" cap="flat" cmpd="sng" algn="ctr">
              <a:solidFill>
                <a:srgbClr val="000000">
                  <a:alpha val="100000"/>
                </a:srgbClr>
              </a:solidFill>
              <a:prstDash val="solid"/>
              <a:round/>
            </a:ln>
          </c:spPr>
        </c:majorGridlines>
        <c:numFmt formatCode="@" sourceLinked="1"/>
        <c:majorTickMark val="in"/>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97668288"/>
        <c:crossesAt val="42241"/>
        <c:crossBetween val="between"/>
        <c:majorUnit val="500"/>
        <c:minorUnit val="100"/>
      </c:valAx>
      <c:spPr>
        <a:solidFill>
          <a:srgbClr val="FFFFFF">
            <a:alpha val="100000"/>
          </a:srgbClr>
        </a:solidFill>
        <a:ln w="3175">
          <a:noFill/>
        </a:ln>
      </c:spPr>
    </c:plotArea>
    <c:legend>
      <c:legendPos val="r"/>
      <c:layout>
        <c:manualLayout>
          <c:xMode val="edge"/>
          <c:yMode val="edge"/>
          <c:x val="0.0719999655215512"/>
          <c:y val="0.867679191107823"/>
          <c:w val="0.85175"/>
          <c:h val="0.087"/>
        </c:manualLayout>
      </c:layout>
      <c:overlay val="0"/>
      <c:spPr>
        <a:solidFill>
          <a:srgbClr val="FFFFFF">
            <a:alpha val="100000"/>
          </a:srgbClr>
        </a:solidFill>
        <a:ln w="3175">
          <a:noFill/>
        </a:ln>
      </c:spPr>
      <c:txPr>
        <a:bodyPr rot="0" spcFirstLastPara="0" vertOverflow="ellipsis" vert="horz" wrap="square"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EF522-4F2A-46DF-8F19-079103E00A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3995</Words>
  <Characters>22778</Characters>
  <Lines>189</Lines>
  <Paragraphs>53</Paragraphs>
  <ScaleCrop>false</ScaleCrop>
  <LinksUpToDate>false</LinksUpToDate>
  <CharactersWithSpaces>26720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2018-03-02T07:41:00Z</dcterms:created>
  <dc:creator>AutoBVT</dc:creator>
  <cp:lastModifiedBy>梦蝶</cp:lastModifiedBy>
  <dcterms:modified xsi:type="dcterms:W3CDTF">2018-06-01T08:21:16Z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