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r>
                              <w:rPr>
                                <w:rFonts w:hint="eastAsia"/>
                                <w:kern w:val="2"/>
                                <w:lang w:val="en-US" w:eastAsia="zh-CN"/>
                              </w:rPr>
                              <w:t>5</w:t>
                            </w:r>
                            <w:r>
                              <w:rPr>
                                <w:rFonts w:hint="eastAsia"/>
                                <w:kern w:val="2"/>
                              </w:rPr>
                              <w:t>.</w:t>
                            </w:r>
                            <w:bookmarkEnd w:id="78"/>
                            <w:bookmarkEnd w:id="79"/>
                            <w:r>
                              <w:rPr>
                                <w:rFonts w:hint="eastAsia"/>
                                <w:kern w:val="2"/>
                                <w:lang w:val="en-US" w:eastAsia="zh-CN"/>
                              </w:rPr>
                              <w:t>18</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r>
                        <w:rPr>
                          <w:rFonts w:hint="eastAsia"/>
                          <w:kern w:val="2"/>
                          <w:lang w:val="en-US" w:eastAsia="zh-CN"/>
                        </w:rPr>
                        <w:t>5</w:t>
                      </w:r>
                      <w:r>
                        <w:rPr>
                          <w:rFonts w:hint="eastAsia"/>
                          <w:kern w:val="2"/>
                        </w:rPr>
                        <w:t>.</w:t>
                      </w:r>
                      <w:bookmarkEnd w:id="78"/>
                      <w:bookmarkEnd w:id="79"/>
                      <w:r>
                        <w:rPr>
                          <w:rFonts w:hint="eastAsia"/>
                          <w:kern w:val="2"/>
                          <w:lang w:val="en-US" w:eastAsia="zh-CN"/>
                        </w:rPr>
                        <w:t>18</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3</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hint="eastAsia" w:ascii="黑体"/>
                                <w:lang w:val="en-US" w:eastAsia="zh-CN"/>
                              </w:rPr>
                              <w:t>3</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3</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hint="eastAsia" w:ascii="黑体"/>
                          <w:lang w:val="en-US" w:eastAsia="zh-CN"/>
                        </w:rPr>
                        <w:t>3</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hint="eastAsia" w:ascii="黑体" w:hAnsi="宋体" w:eastAsia="黑体" w:cs="Arial"/>
          <w:b w:val="0"/>
          <w:kern w:val="0"/>
          <w:sz w:val="30"/>
          <w:szCs w:val="30"/>
        </w:rPr>
      </w:pPr>
      <w:bookmarkStart w:id="4" w:name="_Toc460250400"/>
      <w:bookmarkStart w:id="5" w:name="_Toc281568195"/>
      <w:bookmarkStart w:id="6" w:name="_Toc29660080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24"/>
        <w:gridCol w:w="924"/>
        <w:gridCol w:w="6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0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2018-5-16</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71.49</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79.28</w:t>
            </w:r>
          </w:p>
        </w:tc>
        <w:tc>
          <w:tcPr>
            <w:tcW w:w="6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美国原油库存减少的消息助推油价当天上涨。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2018-5-15</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71.31</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78.43</w:t>
            </w:r>
          </w:p>
        </w:tc>
        <w:tc>
          <w:tcPr>
            <w:tcW w:w="6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在地缘政治风险和供需平衡的双重作用下，当天油价微幅波动后收盘上涨。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2018-5-14</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70.96</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78.23</w:t>
            </w:r>
          </w:p>
        </w:tc>
        <w:tc>
          <w:tcPr>
            <w:tcW w:w="6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石油输出国组织(欧佩克)在14日公布的月度石油市场报告中预计2018年全球原油平均日需求量为9885万桶，同比增长165万桶，显示全球原油需求强劲。该消息支撑当天油价上涨。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2018-5-11</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70.7</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77.12</w:t>
            </w:r>
          </w:p>
        </w:tc>
        <w:tc>
          <w:tcPr>
            <w:tcW w:w="6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美国原油产量增加令国际油价承压下跌。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2018-5-10</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71.36</w:t>
            </w:r>
          </w:p>
        </w:tc>
        <w:tc>
          <w:tcPr>
            <w:tcW w:w="92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77.47</w:t>
            </w:r>
          </w:p>
        </w:tc>
        <w:tc>
          <w:tcPr>
            <w:tcW w:w="6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投资者继续消化美国宣布退出伊核协议的决定。市场分析人士担忧，如果美国对伊朗实施新的制裁，全球原油供应或将减少，进而推升国际油价。</w:t>
            </w:r>
          </w:p>
        </w:tc>
      </w:tr>
    </w:tbl>
    <w:p/>
    <w:p>
      <w:pPr>
        <w:ind w:firstLine="400" w:firstLineChars="200"/>
        <w:rPr>
          <w:rFonts w:ascii="宋体" w:hAnsi="宋体" w:cs="宋体"/>
          <w:kern w:val="0"/>
          <w:sz w:val="20"/>
          <w:szCs w:val="20"/>
        </w:rPr>
      </w:pPr>
      <w:r>
        <w:rPr>
          <w:rFonts w:hint="eastAsia" w:ascii="宋体" w:hAnsi="宋体" w:cs="宋体"/>
          <w:kern w:val="0"/>
          <w:sz w:val="20"/>
          <w:szCs w:val="20"/>
        </w:rPr>
        <w:t>单位：美元/桶</w:t>
      </w:r>
    </w:p>
    <w:p>
      <w:pPr>
        <w:rPr>
          <w:rFonts w:ascii="宋体" w:hAnsi="宋体" w:cs="宋体"/>
          <w:kern w:val="0"/>
          <w:sz w:val="20"/>
          <w:szCs w:val="20"/>
        </w:rPr>
      </w:pPr>
    </w:p>
    <w:p>
      <w:pPr>
        <w:spacing w:line="360" w:lineRule="auto"/>
        <w:ind w:firstLine="300" w:firstLineChars="100"/>
        <w:outlineLvl w:val="1"/>
        <w:rPr>
          <w:rFonts w:ascii="黑体" w:eastAsia="黑体"/>
          <w:sz w:val="30"/>
          <w:szCs w:val="30"/>
        </w:rPr>
      </w:pPr>
      <w:bookmarkStart w:id="8" w:name="_Toc505350000"/>
      <w:r>
        <w:rPr>
          <w:rFonts w:hint="eastAsia" w:ascii="黑体" w:eastAsia="黑体"/>
          <w:sz w:val="30"/>
          <w:szCs w:val="30"/>
        </w:rPr>
        <w:t>1. 2  国际原油市场价格走势图</w:t>
      </w:r>
      <w:bookmarkEnd w:id="8"/>
    </w:p>
    <w:p>
      <w:pPr>
        <w:spacing w:line="360" w:lineRule="auto"/>
        <w:jc w:val="center"/>
        <w:rPr>
          <w:sz w:val="20"/>
          <w:szCs w:val="20"/>
        </w:rPr>
      </w:pPr>
      <w:r>
        <w:drawing>
          <wp:inline distT="0" distB="0" distL="114300" distR="114300">
            <wp:extent cx="5650865" cy="4062095"/>
            <wp:effectExtent l="0" t="0" r="698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50865" cy="4062095"/>
                    </a:xfrm>
                    <a:prstGeom prst="rect">
                      <a:avLst/>
                    </a:prstGeom>
                    <a:noFill/>
                    <a:ln w="9525">
                      <a:noFill/>
                    </a:ln>
                  </pic:spPr>
                </pic:pic>
              </a:graphicData>
            </a:graphic>
          </wp:inline>
        </w:drawing>
      </w:r>
    </w:p>
    <w:p>
      <w:pPr>
        <w:spacing w:line="360" w:lineRule="auto"/>
        <w:rPr>
          <w:sz w:val="20"/>
          <w:szCs w:val="20"/>
        </w:rPr>
      </w:pP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158203127"/>
      <w:bookmarkStart w:id="14" w:name="_Toc239847712"/>
      <w:r>
        <w:rPr>
          <w:rFonts w:hint="eastAsia" w:ascii="黑体" w:hAnsi="宋体" w:eastAsia="黑体"/>
          <w:b/>
          <w:sz w:val="30"/>
          <w:szCs w:val="30"/>
        </w:rPr>
        <w:t>.近期影响国际原油市场的主要因素</w:t>
      </w:r>
      <w:bookmarkEnd w:id="9"/>
      <w:bookmarkEnd w:id="10"/>
    </w:p>
    <w:p>
      <w:pPr>
        <w:numPr>
          <w:ilvl w:val="0"/>
          <w:numId w:val="2"/>
        </w:numPr>
        <w:outlineLvl w:val="1"/>
        <w:rPr>
          <w:rFonts w:ascii="黑体" w:hAnsi="宋体" w:eastAsia="黑体"/>
          <w:b/>
          <w:sz w:val="28"/>
          <w:szCs w:val="28"/>
        </w:rPr>
      </w:pPr>
      <w:bookmarkStart w:id="15" w:name="_Toc504051939"/>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截至5月11日当周，美国原油库存下降140万桶，至4.3235亿桶，分析师预期为减少80万桶。NYMEX原油期货交割地-俄克拉荷马州库欣的原油库存增加5.3万桶，至3722.3万桶。截至5月11日当周，美国汽油库存减少379万桶，至2.3201亿桶，分析师预期为减少140万桶;包括柴油和取暖油在内的馏分油库存减少9.2万桶，至1.1495亿桶，市场预期为减少220万桶。上周美国原油净进口量下滑41.1万桶/日，至504万桶/日。上周美国原油出口升至260万桶/日，创纪录新高。当周炼厂原油加工量上升14.9万桶/日，至2.3201亿桶，分析师预期为减少140万桶。美国石油协会(API)数据显示，上周美国原油库存意外增加，而汽油和馏分油库存下降。截至5月11日当周，美国原油库存增加490万桶，至4.655亿桶，分析师此前预计为减少76.3万桶。美国原油期货交割地-俄克拉荷马州库欣的原油库存增加6.2万桶。截至5月11日当周，美国汽油库存减少340万桶，分析师预计减少140万桶;馏分油库存减少76.8万桶，分析师预估减少220万桶。上周美国原油进口增加72.4万桶/日，至820万桶/日。炼厂每日炼油量增加3.3万桶。</w:t>
      </w:r>
    </w:p>
    <w:p>
      <w:pPr>
        <w:pStyle w:val="19"/>
        <w:keepNext w:val="0"/>
        <w:keepLines w:val="0"/>
        <w:widowControl/>
        <w:suppressLineNumbers w:val="0"/>
        <w:wordWrap w:val="0"/>
        <w:spacing w:line="288" w:lineRule="auto"/>
      </w:pPr>
    </w:p>
    <w:p>
      <w:pPr>
        <w:numPr>
          <w:ilvl w:val="0"/>
          <w:numId w:val="0"/>
        </w:numPr>
        <w:outlineLvl w:val="1"/>
        <w:rPr>
          <w:rFonts w:hint="eastAsia" w:ascii="黑体" w:hAnsi="宋体" w:eastAsia="黑体"/>
          <w:b/>
          <w:sz w:val="28"/>
          <w:szCs w:val="28"/>
        </w:rPr>
      </w:pPr>
    </w:p>
    <w:p>
      <w:pPr>
        <w:numPr>
          <w:numId w:val="0"/>
        </w:numPr>
        <w:ind w:leftChars="0"/>
        <w:outlineLvl w:val="1"/>
        <w:rPr>
          <w:rFonts w:hint="eastAsia" w:ascii="黑体" w:hAnsi="宋体" w:eastAsia="黑体"/>
          <w:b/>
          <w:sz w:val="28"/>
          <w:szCs w:val="28"/>
        </w:rPr>
      </w:pPr>
      <w:bookmarkStart w:id="16" w:name="_Toc504051940"/>
      <w:r>
        <w:rPr>
          <w:rFonts w:hint="eastAsia" w:ascii="黑体" w:hAnsi="宋体" w:eastAsia="黑体"/>
          <w:b/>
          <w:sz w:val="28"/>
          <w:szCs w:val="28"/>
          <w:lang w:val="en-US" w:eastAsia="zh-CN"/>
        </w:rPr>
        <w:t>2、</w:t>
      </w:r>
      <w:r>
        <w:rPr>
          <w:rFonts w:hint="eastAsia" w:ascii="黑体" w:hAnsi="宋体" w:eastAsia="黑体"/>
          <w:b/>
          <w:sz w:val="28"/>
          <w:szCs w:val="28"/>
        </w:rPr>
        <w:t>美国经济形势</w:t>
      </w:r>
      <w:bookmarkEnd w:id="16"/>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北京时间17日凌晨，美股周三午盘小幅上扬。市场正在权衡朝核局势进展、10年期国债收益率继续上涨、梅西百货(33.17, 3.24, 10.83%)的财报以及一些经济数据等因素。</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美东时间5月16日12：01(北京时间5月17日00：01)，道指涨23.68点，或0.1%，报24，730.09点;标普500指数涨8.26点，或0.30%，报2，719.71点;纳指涨38.28点，或0.52%，报7，389.91点。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梅西百货业绩超出预期并上调未来盈利目标，周三午盘该股大涨10%。</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朝鲜暗示，如果美国坚持朝鲜放弃核武器计划，该国领导人可能退出下个月与美国总统特朗普的首脑峰会。</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据中新网报道，朝中社刊发朝鲜外务省第一副相金桂官16日的谈话。金桂官在谈话中称，朝鲜对只单方面要求朝鲜弃核的对话毫无兴趣，朝方将重新考虑是否出席朝美首脑会谈。 此外，在核问题上，朝鲜不会拿经济建设同美国做交易。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当地时间16日零时30分许，朝鲜通知称，因韩美举行“超级雷霆”军演，决定无限期推延原定于当天举行的韩朝高级别会谈。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主要股指表现如何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美股周三小幅高开，市场似乎已暂时摆脱了地缘政治风险以及国债收益率攀升的负面影响。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本月至今美股已收获巨大涨幅。但周二美股大幅下跌，道指结束了此前连续8个交易日上涨的行情。</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周二道指收盘下跌193点，或0.78%，报24，706.41点;标普500指数跌18.68点，或0.68%，报2，711.45点;纳指跌59.69点，或0.81%，报7，351.63点。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市场驱动力量是什么?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地缘政治风险受到市场关注。朝鲜外务省第一副相金桂官16日发表谈话，称朝鲜对只单方面要求朝鲜弃核的对话毫无兴趣，朝方将重新考虑是否出席朝美首脑会谈。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谈话称，美国若一味强求将朝鲜逼入死角的弃核计划，朝鲜对类似的对话毫无兴趣，只能重新考虑是否参加6月12日的朝美首脑会谈。但若美方带着改善朝美关系的诚意对待会谈，朝方定将做出相应回应。</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美国国务卿蓬佩奥和国家安全顾问博尔顿当地时间13日受访时同步表示，若朝鲜同意全面废除其核武器项目，美国将允许美私人企业到朝鲜投资。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本月美股似乎进入了新的阶段，市场已克服了通胀引起的忧虑、加息、贸易战以及地缘政治关系紧张等因素的不利影响。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尽管如此，美国国债收益率的攀升仍然使一些投资者离开股市。周二美股大幅下跌的原因之一就是美国10年期国债收益率突破3%、创7年来新高。周三美国10年期国债收益率上涨1个基点，升至3.0862%。</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市场人士如何点评?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U.S. Bank Wealth Management传统投资集团主管Lisa Erickson表示：“最近的市场反应表明投资者的风险收益比已接近平衡。从积极的方面来说，增长动力仍然充足、企业盈利稳健。但这些因素都受到了政治风险、贸易谈判以及有关朝鲜的地缘政治风险等因素的抵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Hantec Markets分析师Richard Perry表示，“随着朝鲜无限期推迟原计划的韩朝高级别会谈，并威胁放弃朝美首脑会谈，地缘政治风险再次提高。朝鲜很显然不愿意放弃核计划。”</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经济数据</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美国劳工部宣布，美国4月新屋开工数据环比由3月的上涨转为下跌，下降3.7%至128.7万幢，不及预期，显示房屋市场持续受制于土地和技工的短缺。此前接受MarketWatch调查的分析师平均预期该数字将为129万幢。</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这份报告还表明，4月营建许可同样环比下跌。占据房屋市场主体的独栋房屋开工数小幅上涨0.1%至89.4万幢。尽管周二的一项调查显示了独栋房屋建筑商信心抬升，但是建筑商认为创纪录高位的木材成本产生负面效果，这让建造价位具有竞争力的房屋变得更加困难。</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另一份经济数据显示，美国4月工业产出增长0.7%，为连续第三个月增长。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美联储官员讲话受到关注。今天发表讲话的联储官员包括亚特兰大联储行长拉斐尔-博斯蒂克(Raphael Bostic)等。</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博斯蒂克表示：“考虑到额外的刺激，我现在认为是三次，我们应该尝试回归中性，但不要太快以至于具有破坏性财政政策带来的刺激，意味着(政策正常化)可以更快一点”。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他表示：“我们没有看到数据显示出我们期望看到的工资变化。工资上涨了一点，”但并没有达到表明“过热”的失控阶段。</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焦点关注个股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梅西百货公司(M)股价攀升。该公司宣布第一财季每股收益45美分，去年同期每股收益26美分。经过调整后的第一财季每股收益42美分，市场预期36美分。第一财季营收55.4亿美元，去年同期53.5亿美元，市场预期54.3亿美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第一财季内，梅西百货公司的同家店面销售收入增长3.9%，市场预期增长0.7%。</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在公布财报的同时，梅西百货公司上调了2018年经过调整后的每股收益预期，目前预计范围是3.75美元至3.95美元，此前预期值为3.55美元至3.75美元。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其他市场表现如何?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周三亚洲市场基本持平。欧洲股市方面，欧洲泛欧绩优300指数周三收盘上涨0.25%;英国富时100指数周三收盘上涨0.3%;德国DAX指数周三收盘上涨0.2%;法国CAC指数周三收盘上涨0.3%。</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黄金期货价格大体持平。原油期货价格走低。美元指数攀升。</w:t>
      </w:r>
    </w:p>
    <w:p>
      <w:pPr>
        <w:numPr>
          <w:ilvl w:val="0"/>
          <w:numId w:val="0"/>
        </w:numPr>
        <w:ind w:leftChars="0"/>
        <w:outlineLvl w:val="1"/>
        <w:rPr>
          <w:rFonts w:hint="eastAsia" w:ascii="黑体" w:hAnsi="宋体" w:eastAsia="黑体"/>
          <w:b/>
          <w:sz w:val="28"/>
          <w:szCs w:val="28"/>
        </w:rPr>
      </w:pPr>
    </w:p>
    <w:p>
      <w:pPr>
        <w:pStyle w:val="19"/>
        <w:numPr>
          <w:numId w:val="0"/>
        </w:numPr>
        <w:ind w:leftChars="0"/>
        <w:outlineLvl w:val="1"/>
        <w:rPr>
          <w:rFonts w:hint="eastAsia" w:ascii="黑体" w:eastAsia="黑体"/>
          <w:b/>
          <w:sz w:val="28"/>
          <w:szCs w:val="28"/>
        </w:rPr>
      </w:pPr>
      <w:bookmarkStart w:id="17" w:name="_Toc504051941"/>
      <w:r>
        <w:rPr>
          <w:rFonts w:hint="eastAsia" w:ascii="黑体" w:eastAsia="黑体"/>
          <w:b/>
          <w:sz w:val="28"/>
          <w:szCs w:val="28"/>
          <w:lang w:val="en-US" w:eastAsia="zh-CN"/>
        </w:rPr>
        <w:t>3、</w:t>
      </w:r>
      <w:r>
        <w:rPr>
          <w:rFonts w:hint="eastAsia" w:ascii="黑体" w:eastAsia="黑体"/>
          <w:b/>
          <w:sz w:val="28"/>
          <w:szCs w:val="28"/>
        </w:rPr>
        <w:t>世界经济形势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记者17日收到的报告，穆迪投资者服务公司表示，亚洲仍依赖商品出口推动经济增长，制造业为支柱的经济体及两大转运枢纽 (新加坡和中国香港) 对出口的依赖度较高。而中国在亚洲贸易活动中的重要性不断提高。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穆迪亚洲主权风险部董事总经理Marie Diron表示，“不断提高的区域内贸易关联性对亚洲贸易模式的决定作用越来越大，而亚洲与全球经济的融合还体现在外商直接投资 (尤其是制造业领域) 的增长。”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“自全球金融危机以来，亚洲对美国及欧盟市场的出口占其GDP的比重总体持平，但相比下，区域内贸易占比增长强劲。”Marie Diron补充道。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穆迪副总裁/高级分析师Joy Rankothge表示，“中国在亚洲贸易活动中的重要性不断提高，部分体现为其对区域供应链的影响，并且成为亚洲制造产成品，尤其是消费品越来越重要的需求市场。”</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“相应地，亚洲地区易受到美中贸易及技术转让紧张局势进一步升级的影响。而美国对中国出口、投资及核心零部件采购的额外贸易限制措施还会通过供应链影响亚洲其他地区。” Joy Rankothge补充道。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穆迪在报告《亚洲贸易模式不断变化：出口仍推动增长，但区域内贸易对亚洲贸易模式的决定作用越来越大》中指出，亚洲与中国的贸易关联性对亚洲贸易模式的重要性不断提高，2010至2017年间中国从亚洲进口的商品金额增幅超过6倍。中国在亚洲市场的投资 (外商直接投资存量) 从2010年的2240亿美元大幅升至2015年的7570亿美元。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相比之下，自全球金融危机以来，亚洲 (除中国以外) 对美国及欧盟市场的出口基本持平。但通过直接出口及亚洲区域内中间商品出口 (最终出口目的地为美国及欧盟) ，美国和欧盟仍将作为亚洲出口重要的最终需求市场。同时美国和欧盟仍是亚洲直接投资的主要来源地。</w:t>
      </w:r>
    </w:p>
    <w:p>
      <w:pPr>
        <w:outlineLvl w:val="1"/>
        <w:rPr>
          <w:rFonts w:ascii="黑体" w:hAnsi="宋体" w:eastAsia="黑体"/>
          <w:b/>
          <w:sz w:val="30"/>
          <w:szCs w:val="30"/>
        </w:rPr>
      </w:pPr>
    </w:p>
    <w:p>
      <w:pPr>
        <w:outlineLvl w:val="1"/>
        <w:rPr>
          <w:rFonts w:ascii="宋体" w:hAnsi="宋体" w:cs="Arial"/>
          <w:b/>
          <w:bCs/>
          <w:kern w:val="0"/>
          <w:sz w:val="32"/>
          <w:szCs w:val="32"/>
        </w:rPr>
      </w:pPr>
      <w:bookmarkStart w:id="18" w:name="_Toc505350005"/>
      <w:r>
        <w:rPr>
          <w:rFonts w:hint="eastAsia" w:ascii="仿宋_GB2312" w:eastAsia="仿宋_GB2312"/>
          <w:b/>
          <w:sz w:val="28"/>
          <w:szCs w:val="28"/>
        </w:rPr>
        <w:t>（三）</w:t>
      </w:r>
      <w:r>
        <w:rPr>
          <w:rFonts w:hint="eastAsia" w:ascii="宋体" w:hAnsi="宋体" w:cs="Arial"/>
          <w:b/>
          <w:bCs/>
          <w:kern w:val="0"/>
          <w:sz w:val="32"/>
          <w:szCs w:val="32"/>
        </w:rPr>
        <w:t>、201</w:t>
      </w:r>
      <w:r>
        <w:rPr>
          <w:rFonts w:hint="eastAsia" w:ascii="宋体" w:hAnsi="宋体" w:cs="Arial"/>
          <w:b/>
          <w:bCs/>
          <w:kern w:val="0"/>
          <w:sz w:val="32"/>
          <w:szCs w:val="32"/>
          <w:lang w:val="en-US" w:eastAsia="zh-CN"/>
        </w:rPr>
        <w:t>8</w:t>
      </w:r>
      <w:r>
        <w:rPr>
          <w:rFonts w:hint="eastAsia" w:ascii="宋体" w:hAnsi="宋体" w:cs="Arial"/>
          <w:b/>
          <w:bCs/>
          <w:kern w:val="0"/>
          <w:sz w:val="32"/>
          <w:szCs w:val="32"/>
        </w:rPr>
        <w:t>年</w:t>
      </w:r>
      <w:r>
        <w:rPr>
          <w:rFonts w:hint="eastAsia" w:ascii="宋体" w:hAnsi="宋体" w:cs="Arial"/>
          <w:b/>
          <w:bCs/>
          <w:kern w:val="0"/>
          <w:sz w:val="32"/>
          <w:szCs w:val="32"/>
          <w:lang w:val="en-US" w:eastAsia="zh-CN"/>
        </w:rPr>
        <w:t>3</w:t>
      </w:r>
      <w:r>
        <w:rPr>
          <w:rFonts w:hint="eastAsia" w:ascii="宋体" w:hAnsi="宋体" w:cs="Arial"/>
          <w:b/>
          <w:bCs/>
          <w:kern w:val="0"/>
          <w:sz w:val="32"/>
          <w:szCs w:val="32"/>
        </w:rPr>
        <w:t>月份全国原油进出口统计数据</w:t>
      </w:r>
      <w:bookmarkEnd w:id="18"/>
    </w:p>
    <w:p>
      <w:pPr>
        <w:widowControl/>
        <w:spacing w:line="260" w:lineRule="atLeast"/>
        <w:jc w:val="center"/>
        <w:rPr>
          <w:rFonts w:hint="eastAsia"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17"/>
        <w:gridCol w:w="1917"/>
        <w:gridCol w:w="1751"/>
        <w:gridCol w:w="1705"/>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47612621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99332431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65097431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spacing w:line="260" w:lineRule="atLeast"/>
        <w:jc w:val="center"/>
        <w:rPr>
          <w:rFonts w:hint="eastAsia" w:ascii="宋体" w:hAnsi="宋体" w:cs="宋体"/>
          <w:b/>
          <w:bCs/>
          <w:kern w:val="0"/>
          <w:szCs w:val="21"/>
        </w:rPr>
      </w:pPr>
    </w:p>
    <w:p>
      <w:pPr>
        <w:widowControl/>
        <w:spacing w:line="260" w:lineRule="atLeast"/>
        <w:jc w:val="center"/>
        <w:rPr>
          <w:rFonts w:hint="eastAsia" w:ascii="宋体" w:hAnsi="宋体" w:cs="宋体"/>
          <w:b/>
          <w:bCs/>
          <w:kern w:val="0"/>
          <w:szCs w:val="21"/>
        </w:rPr>
      </w:pPr>
    </w:p>
    <w:p>
      <w:pPr>
        <w:numPr>
          <w:ilvl w:val="0"/>
          <w:numId w:val="0"/>
        </w:numPr>
        <w:tabs>
          <w:tab w:val="left" w:pos="798"/>
        </w:tabs>
        <w:outlineLvl w:val="1"/>
        <w:rPr>
          <w:rFonts w:hint="eastAsia" w:ascii="仿宋_GB2312" w:hAnsi="宋体" w:eastAsia="仿宋_GB2312" w:cs="Arial"/>
          <w:b/>
          <w:bCs/>
          <w:kern w:val="0"/>
          <w:sz w:val="30"/>
          <w:szCs w:val="30"/>
          <w:lang w:eastAsia="zh-CN"/>
        </w:rPr>
      </w:pPr>
      <w:bookmarkStart w:id="19" w:name="_Toc505350006"/>
    </w:p>
    <w:p>
      <w:pPr>
        <w:numPr>
          <w:ilvl w:val="0"/>
          <w:numId w:val="0"/>
        </w:numPr>
        <w:tabs>
          <w:tab w:val="left" w:pos="798"/>
        </w:tabs>
        <w:outlineLvl w:val="1"/>
        <w:rPr>
          <w:rFonts w:hint="eastAsia" w:ascii="宋体" w:hAnsi="宋体" w:eastAsia="宋体" w:cs="宋体"/>
          <w:b/>
          <w:bCs/>
          <w:kern w:val="0"/>
          <w:sz w:val="32"/>
          <w:szCs w:val="32"/>
        </w:rPr>
      </w:pPr>
      <w:r>
        <w:rPr>
          <w:rFonts w:hint="eastAsia" w:ascii="宋体" w:hAnsi="宋体" w:eastAsia="宋体" w:cs="宋体"/>
          <w:b/>
          <w:bCs/>
          <w:kern w:val="0"/>
          <w:sz w:val="32"/>
          <w:szCs w:val="32"/>
          <w:lang w:eastAsia="zh-CN"/>
        </w:rPr>
        <w:t>（四）</w:t>
      </w:r>
      <w:r>
        <w:rPr>
          <w:rFonts w:hint="eastAsia" w:ascii="宋体" w:hAnsi="宋体" w:eastAsia="宋体" w:cs="宋体"/>
          <w:b/>
          <w:bCs/>
          <w:kern w:val="0"/>
          <w:sz w:val="32"/>
          <w:szCs w:val="32"/>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本周WTI原油价格在</w:t>
      </w:r>
      <w:r>
        <w:rPr>
          <w:rFonts w:hint="eastAsia" w:ascii="华文仿宋" w:hAnsi="华文仿宋" w:eastAsia="华文仿宋"/>
          <w:sz w:val="28"/>
          <w:szCs w:val="28"/>
          <w:lang w:val="en-US" w:eastAsia="zh-CN"/>
        </w:rPr>
        <w:t>70.70</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71.49</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77.12</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79.28</w:t>
      </w:r>
      <w:r>
        <w:rPr>
          <w:rFonts w:hint="eastAsia" w:ascii="华文仿宋" w:hAnsi="华文仿宋" w:eastAsia="华文仿宋"/>
          <w:sz w:val="28"/>
          <w:szCs w:val="28"/>
        </w:rPr>
        <w:t>美元/桶震</w:t>
      </w:r>
      <w:r>
        <w:rPr>
          <w:rFonts w:hint="eastAsia" w:ascii="华文仿宋" w:hAnsi="华文仿宋" w:eastAsia="华文仿宋"/>
          <w:sz w:val="28"/>
          <w:szCs w:val="28"/>
          <w:lang w:eastAsia="zh-CN"/>
        </w:rPr>
        <w:t>荡。</w:t>
      </w:r>
      <w:r>
        <w:rPr>
          <w:rFonts w:hint="eastAsia" w:ascii="华文仿宋" w:hAnsi="华文仿宋" w:eastAsia="华文仿宋"/>
          <w:sz w:val="28"/>
          <w:szCs w:val="28"/>
        </w:rPr>
        <w:t>周内国际原油价格受欧佩克月报利好以及美元走弱多重提振，原油价格全面推涨。周内前期，美国退出伊朗核协议和原油及成品油库存全线大降依然为油价带来有效支撑，同时美国4月份消费者物价涨幅低于预期，美元大跌，这为油价带来了一定支撑,之后，OPEC4月月报称石油供应过剩已基本消除同时上调全球原油需求增速，报告利好因素令市场多头获得信心鼓舞，但美国页岩油产量攀升令市场担忧情绪加重，限制了油价的上行空间;周内后期，美国石油学会(API)公布的数据显示美国原油库存大增加之美元走强均对国际油价形成利空，但市场认为OPEC的减产协议还未考虑伊朗的损失部分，同时OPEC月报带来的利好继续发酵，国际原油价格小幅震荡上涨。此外，美国油服公司贝克休斯(Baker Hughes)周五(5月11日)公布数据显示，截至5月11日当周，美国石油活跃钻井数增加10座至844座，3月初以来首次连续六周录得增长，续刷2015年3月来新高。去年同期美国石油活跃钻井数为712座。石油输出国组织(OPEC)公布的2018年4月月度原油市场报告显示，欧佩克4月原油产出增加1.2万桶/日至3193万桶/日;经合组织3月原油库存下滑至28.29亿桶，较5年均值多出幅度首次降至千万桶以下。整体看来，周内国际原油市场受全球原油需求旺盛以及美元走弱等多重利好消息强力支撑，国际油价稳步上涨。其中WTI期货本周均价71.16美元/桶，较上周上涨1.93%，较上月上涨7.30%;本周布伦特期货均价78.11美元/桶，较上周上涨3.67%，较上月上涨8.84%。后市预测：近期地缘政治风险溢价已推动原油价格升至近4年高位，且几乎没有减弱的迹象，而且美国夏季驾车高峰即将开启，与此同时，美国退出伊朗核协议，伊朗与以色列相互袭击增加地缘动荡风险，此外有迹象表明，OPEC的其他成员国将填补伊朗留下的石油供应缺口，但即使实际供应保持不变，市场仍将面临低水平的闲置产能，同时中印原油需求旺盛也将支撑油价。综合来看，中东局势以及中印两国强劲的需求是影响油价的重要因素，油价上涨的可能性很高。预计近期WTI原油期货价格在71～73美元/桶之间浮动，布伦特原油期货均价在77～79美元/桶之间浮动。</w:t>
      </w:r>
    </w:p>
    <w:p>
      <w:pPr>
        <w:numPr>
          <w:ilvl w:val="0"/>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460250404"/>
      <w:bookmarkStart w:id="22" w:name="_Toc505350008"/>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810"/>
        <w:gridCol w:w="2129"/>
        <w:gridCol w:w="1602"/>
        <w:gridCol w:w="1970"/>
        <w:gridCol w:w="2445"/>
      </w:tblGrid>
      <w:tr>
        <w:tblPrEx>
          <w:shd w:val="clear" w:color="auto" w:fill="FFFFFF"/>
          <w:tblLayout w:type="fixed"/>
          <w:tblCellMar>
            <w:top w:w="0" w:type="dxa"/>
            <w:left w:w="0" w:type="dxa"/>
            <w:bottom w:w="0" w:type="dxa"/>
            <w:right w:w="0" w:type="dxa"/>
          </w:tblCellMar>
        </w:tblPrEx>
        <w:trPr>
          <w:trHeight w:val="67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96600812"/>
            <w:bookmarkStart w:id="24" w:name="_Toc460250405"/>
            <w:bookmarkStart w:id="25" w:name="_Toc281568202"/>
            <w:bookmarkStart w:id="26" w:name="_Toc505350009"/>
            <w:bookmarkStart w:id="27" w:name="_Toc239847715"/>
            <w:r>
              <w:rPr>
                <w:rFonts w:hint="eastAsia" w:ascii="华文仿宋" w:hAnsi="华文仿宋" w:eastAsia="华文仿宋" w:cs="华文仿宋"/>
                <w:color w:val="000000"/>
                <w:sz w:val="28"/>
                <w:szCs w:val="28"/>
                <w:lang w:val="en-US" w:eastAsia="zh-CN"/>
              </w:rPr>
              <w:t>5月17日</w:t>
            </w:r>
          </w:p>
        </w:tc>
        <w:tc>
          <w:tcPr>
            <w:tcW w:w="212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低端价（美元/吨）</w:t>
            </w:r>
          </w:p>
        </w:tc>
        <w:tc>
          <w:tcPr>
            <w:tcW w:w="160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高端价（美元/吨）</w:t>
            </w:r>
          </w:p>
        </w:tc>
        <w:tc>
          <w:tcPr>
            <w:tcW w:w="19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均价涨跌幅</w:t>
            </w:r>
          </w:p>
        </w:tc>
        <w:tc>
          <w:tcPr>
            <w:tcW w:w="244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新加坡</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76.98美元/桶</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77.02美元/桶</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-0.41美元/桶</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183.286-183.381</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日本</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687.25</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694.25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14.50</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181.812-183.664</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阿拉伯海湾</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663.84</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670.84</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14.45</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  175.619-177.471</w:t>
            </w:r>
          </w:p>
        </w:tc>
      </w:tr>
      <w:tr>
        <w:tblPrEx>
          <w:tblLayout w:type="fixed"/>
          <w:tblCellMar>
            <w:top w:w="0" w:type="dxa"/>
            <w:left w:w="0" w:type="dxa"/>
            <w:bottom w:w="0" w:type="dxa"/>
            <w:right w:w="0" w:type="dxa"/>
          </w:tblCellMar>
        </w:tblPrEx>
        <w:trPr>
          <w:trHeight w:val="67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阿姆斯特丹、鹿特丹、安特卫普到岸价</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693.75</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694.25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17.25</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185.495-185.628</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鹿特丹船货价</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689.75</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690.25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17.25</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184.425-184.559</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地中海离岸价</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676.00</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676.50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17.25</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180.749-180.882</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热那亚到岸价</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686.25</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686.75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17.25</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183.489-183.623</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美国墨西哥湾</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685.15</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685.25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-1.18</w:t>
            </w:r>
            <w:r>
              <w:rPr>
                <w:rFonts w:hint="eastAsia" w:ascii="华文仿宋" w:hAnsi="华文仿宋" w:eastAsia="华文仿宋" w:cs="华文仿宋"/>
                <w:b w:val="0"/>
                <w:i w:val="0"/>
                <w:caps w:val="0"/>
                <w:color w:val="000000"/>
                <w:spacing w:val="0"/>
                <w:sz w:val="28"/>
                <w:szCs w:val="28"/>
                <w:shd w:val="clear" w:fill="FFFFFF"/>
              </w:rPr>
              <w:t>美分/加仑</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195.710-195.810</w:t>
            </w:r>
          </w:p>
        </w:tc>
      </w:tr>
      <w:tr>
        <w:tblPrEx>
          <w:tblLayout w:type="fixed"/>
          <w:tblCellMar>
            <w:top w:w="0" w:type="dxa"/>
            <w:left w:w="0" w:type="dxa"/>
            <w:bottom w:w="0" w:type="dxa"/>
            <w:right w:w="0" w:type="dxa"/>
          </w:tblCellMar>
        </w:tblPrEx>
        <w:trPr>
          <w:trHeight w:val="285" w:hRule="atLeast"/>
        </w:trPr>
        <w:tc>
          <w:tcPr>
            <w:tcW w:w="1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加勒比海</w:t>
            </w:r>
          </w:p>
        </w:tc>
        <w:tc>
          <w:tcPr>
            <w:tcW w:w="21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16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4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pStyle w:val="3"/>
        <w:spacing w:line="240" w:lineRule="auto"/>
        <w:rPr>
          <w:rFonts w:hint="eastAsia" w:cs="Times New Roman" w:asciiTheme="minorEastAsia" w:hAnsiTheme="minorEastAsia" w:eastAsiaTheme="minorEastAsia"/>
          <w:b/>
          <w:bCs w:val="0"/>
          <w:kern w:val="2"/>
          <w:sz w:val="28"/>
          <w:szCs w:val="28"/>
          <w:lang w:val="en-US" w:eastAsia="zh-CN" w:bidi="ar-SA"/>
        </w:rPr>
      </w:pPr>
      <w:r>
        <w:rPr>
          <w:rFonts w:hint="eastAsia" w:cs="Times New Roman" w:asciiTheme="minorEastAsia" w:hAnsiTheme="minorEastAsia" w:eastAsiaTheme="minorEastAsia"/>
          <w:b/>
          <w:bCs w:val="0"/>
          <w:kern w:val="2"/>
          <w:sz w:val="28"/>
          <w:szCs w:val="28"/>
          <w:lang w:val="en-US" w:eastAsia="zh-CN" w:bidi="ar-SA"/>
        </w:rPr>
        <w:t>2.2地炼石脑油市场</w:t>
      </w:r>
      <w:bookmarkEnd w:id="13"/>
      <w:bookmarkEnd w:id="14"/>
      <w:bookmarkEnd w:id="23"/>
      <w:bookmarkEnd w:id="24"/>
      <w:bookmarkEnd w:id="25"/>
      <w:bookmarkEnd w:id="26"/>
      <w:bookmarkEnd w:id="27"/>
      <w:r>
        <w:rPr>
          <w:rFonts w:hint="eastAsia" w:cs="Times New Roman" w:asciiTheme="minorEastAsia" w:hAnsiTheme="minorEastAsia" w:eastAsiaTheme="minorEastAsia"/>
          <w:b/>
          <w:bCs w:val="0"/>
          <w:kern w:val="2"/>
          <w:sz w:val="28"/>
          <w:szCs w:val="28"/>
          <w:lang w:val="en-US" w:eastAsia="zh-CN" w:bidi="ar-SA"/>
        </w:rPr>
        <w:t xml:space="preserve"> </w:t>
      </w:r>
    </w:p>
    <w:p>
      <w:pPr>
        <w:pStyle w:val="19"/>
        <w:keepNext w:val="0"/>
        <w:keepLines w:val="0"/>
        <w:widowControl/>
        <w:suppressLineNumbers w:val="0"/>
        <w:rPr>
          <w:rFonts w:hint="eastAsia" w:ascii="华文仿宋" w:hAnsi="华文仿宋" w:eastAsia="华文仿宋"/>
          <w:sz w:val="28"/>
          <w:szCs w:val="28"/>
        </w:rPr>
      </w:pPr>
      <w:r>
        <w:rPr>
          <w:sz w:val="21"/>
          <w:szCs w:val="21"/>
        </w:rPr>
        <w:t>　</w:t>
      </w:r>
      <w:r>
        <w:rPr>
          <w:rFonts w:hint="eastAsia"/>
          <w:sz w:val="21"/>
          <w:szCs w:val="21"/>
          <w:lang w:val="en-US" w:eastAsia="zh-CN"/>
        </w:rPr>
        <w:t xml:space="preserve"> </w:t>
      </w:r>
      <w:r>
        <w:rPr>
          <w:rFonts w:hint="eastAsia" w:ascii="华文仿宋" w:hAnsi="华文仿宋" w:eastAsia="华文仿宋"/>
          <w:sz w:val="28"/>
          <w:szCs w:val="28"/>
        </w:rPr>
        <w:t>　本周消息面利好支撑强劲，国内地炼石脑油价格小涨。原油端强劲利好以及亚洲MOPJ价格运行趋势决定本周期国内主营炼厂石脑油出厂价将宽幅上涨，这将进一步托举地炼石脑油价格底部。山东市场低价直汽资源难寻，这促使更多西北资源进入山东及周边地区。山东石脑油切割企业近期择机放量，且高市场活性推高了市场装置开工率，低端价格近日保持抬涨趋势，受高需求及区域价差影响，西北地区煤基资源成交底线抬升。不过个别高端完税资源出现窄幅下修迹象，</w:t>
      </w:r>
      <w:r>
        <w:rPr>
          <w:rFonts w:hint="eastAsia" w:ascii="华文仿宋" w:hAnsi="华文仿宋" w:eastAsia="华文仿宋"/>
          <w:sz w:val="28"/>
          <w:szCs w:val="28"/>
          <w:lang w:eastAsia="zh-CN"/>
        </w:rPr>
        <w:t>推测</w:t>
      </w:r>
      <w:r>
        <w:rPr>
          <w:rFonts w:hint="eastAsia" w:ascii="华文仿宋" w:hAnsi="华文仿宋" w:eastAsia="华文仿宋"/>
          <w:sz w:val="28"/>
          <w:szCs w:val="28"/>
        </w:rPr>
        <w:t>近期炒涨氛围过后市场将出现局部下修。</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sz w:val="28"/>
          <w:szCs w:val="28"/>
        </w:rPr>
      </w:pPr>
    </w:p>
    <w:p/>
    <w:p>
      <w:pPr>
        <w:outlineLvl w:val="1"/>
        <w:rPr>
          <w:rFonts w:asciiTheme="minorEastAsia" w:hAnsiTheme="minorEastAsia" w:eastAsiaTheme="minorEastAsia"/>
          <w:b/>
          <w:sz w:val="28"/>
          <w:szCs w:val="28"/>
        </w:rPr>
      </w:pPr>
      <w:bookmarkStart w:id="28" w:name="_Toc505350010"/>
      <w:bookmarkStart w:id="29" w:name="_Toc281568203"/>
      <w:bookmarkStart w:id="30" w:name="_Toc296600813"/>
      <w:bookmarkStart w:id="31" w:name="_Toc460250406"/>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58"/>
        <w:gridCol w:w="1358"/>
        <w:gridCol w:w="1358"/>
        <w:gridCol w:w="1358"/>
        <w:gridCol w:w="1362"/>
        <w:gridCol w:w="1554"/>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5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5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5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5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2018-5-18</w:t>
            </w:r>
          </w:p>
        </w:tc>
        <w:tc>
          <w:tcPr>
            <w:tcW w:w="142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5100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5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hint="eastAsia" w:ascii="宋体" w:hAnsi="宋体" w:cs="Arial"/>
          <w:kern w:val="0"/>
          <w:sz w:val="20"/>
          <w:szCs w:val="20"/>
        </w:rPr>
      </w:pPr>
    </w:p>
    <w:p>
      <w:pPr>
        <w:pStyle w:val="3"/>
        <w:spacing w:line="240" w:lineRule="auto"/>
        <w:jc w:val="left"/>
        <w:rPr>
          <w:rFonts w:ascii="宋体" w:hAnsi="宋体"/>
          <w:b w:val="0"/>
          <w:szCs w:val="28"/>
        </w:rPr>
      </w:pPr>
      <w:bookmarkStart w:id="32" w:name="_Toc460250407"/>
      <w:bookmarkStart w:id="33" w:name="_Toc296600814"/>
      <w:bookmarkStart w:id="34" w:name="_Toc281568204"/>
      <w:bookmarkStart w:id="35" w:name="_Toc158203132"/>
      <w:bookmarkStart w:id="36" w:name="_Toc239847719"/>
    </w:p>
    <w:p>
      <w:pPr>
        <w:pStyle w:val="3"/>
        <w:spacing w:line="240" w:lineRule="auto"/>
        <w:jc w:val="left"/>
        <w:rPr>
          <w:rFonts w:asciiTheme="minorEastAsia" w:hAnsiTheme="minorEastAsia" w:eastAsiaTheme="minorEastAsia"/>
        </w:rPr>
      </w:pPr>
      <w:bookmarkStart w:id="37" w:name="_Toc505350011"/>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7"/>
    </w:p>
    <w:p>
      <w:pPr>
        <w:widowControl/>
        <w:jc w:val="left"/>
        <w:rPr>
          <w:rFonts w:ascii="宋体" w:hAnsi="宋体" w:cs="宋体"/>
          <w:kern w:val="0"/>
          <w:sz w:val="24"/>
          <w:szCs w:val="24"/>
        </w:rPr>
      </w:pPr>
    </w:p>
    <w:p>
      <w:pPr>
        <w:rPr>
          <w:sz w:val="20"/>
          <w:szCs w:val="20"/>
        </w:rPr>
      </w:pPr>
      <w:r>
        <w:drawing>
          <wp:inline distT="0" distB="0" distL="114300" distR="114300">
            <wp:extent cx="5800725" cy="5928360"/>
            <wp:effectExtent l="0" t="0" r="9525" b="15240"/>
            <wp:docPr id="625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bookmarkEnd w:id="35"/>
    <w:bookmarkEnd w:id="36"/>
    <w:p>
      <w:pPr>
        <w:outlineLvl w:val="0"/>
        <w:rPr>
          <w:rFonts w:ascii="黑体" w:eastAsia="黑体"/>
          <w:b/>
          <w:sz w:val="28"/>
          <w:szCs w:val="28"/>
        </w:rPr>
      </w:pPr>
      <w:bookmarkStart w:id="38" w:name="_Toc460250408"/>
      <w:bookmarkStart w:id="39" w:name="_Toc296600816"/>
      <w:bookmarkStart w:id="40" w:name="_Toc505350012"/>
      <w:bookmarkStart w:id="41" w:name="_Toc281568206"/>
      <w:bookmarkStart w:id="42" w:name="_Toc237428455"/>
      <w:r>
        <w:rPr>
          <w:rFonts w:hint="eastAsia" w:ascii="黑体" w:eastAsia="黑体"/>
          <w:b/>
          <w:sz w:val="28"/>
          <w:szCs w:val="28"/>
        </w:rPr>
        <w:t>三、本周国内油品市场分析及预测</w:t>
      </w:r>
      <w:bookmarkEnd w:id="38"/>
      <w:bookmarkEnd w:id="39"/>
      <w:bookmarkEnd w:id="40"/>
      <w:bookmarkEnd w:id="41"/>
      <w:bookmarkEnd w:id="42"/>
      <w:bookmarkStart w:id="43" w:name="_Toc296600817"/>
      <w:bookmarkStart w:id="44" w:name="_Toc281568207"/>
      <w:bookmarkStart w:id="45" w:name="_Toc460250409"/>
      <w:bookmarkStart w:id="46" w:name="_Toc176571903"/>
      <w:bookmarkStart w:id="47" w:name="_Toc237428456"/>
    </w:p>
    <w:p>
      <w:pPr>
        <w:pStyle w:val="2"/>
        <w:spacing w:line="360" w:lineRule="auto"/>
        <w:rPr>
          <w:rFonts w:hint="eastAsia" w:ascii="黑体" w:hAnsi="黑体"/>
          <w:b w:val="0"/>
          <w:kern w:val="2"/>
          <w:sz w:val="28"/>
          <w:szCs w:val="28"/>
        </w:rPr>
      </w:pPr>
      <w:bookmarkStart w:id="48" w:name="_Toc505350013"/>
      <w:r>
        <w:rPr>
          <w:rFonts w:hint="eastAsia" w:ascii="黑体" w:hAnsi="黑体"/>
          <w:b w:val="0"/>
          <w:kern w:val="2"/>
          <w:sz w:val="28"/>
          <w:szCs w:val="28"/>
        </w:rPr>
        <w:t>3．1  成品油市场动态</w:t>
      </w:r>
      <w:bookmarkEnd w:id="43"/>
      <w:bookmarkEnd w:id="44"/>
      <w:bookmarkEnd w:id="45"/>
      <w:bookmarkEnd w:id="48"/>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ascii="华文仿宋" w:hAnsi="华文仿宋" w:eastAsia="华文仿宋" w:cs="华文仿宋"/>
          <w:sz w:val="28"/>
          <w:szCs w:val="28"/>
        </w:rPr>
        <w:t>　本周，国际原油期货高位震荡，受此影响，国内成品油市场行情整体上行，部分地区主营汽柴油价格上调。与此同时，山东地区成品油行情涨势不止，各炼厂报价频频走高，且成交优惠缩至100元/吨附近。具体来看出货方面：在消息面利好持续作用下，区内油市看涨气氛浓厚，中下游商家购进操作频频，因此地炼整体出货表现良好，库存量普遍有所下降。后市前瞻：进入下周，国际原油期价或有小幅回落的可能，但仍将保持高位运行的态势，WTI运行区间在69-72.5(均值70.75)美元/桶之间。因此山东地区成品油行情涨势或将有所收敛，买卖双方回归理性操作，市场交投气氛温和。综上所述，预计下周山东地炼汽柴油价格稳中小涨。</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成品油行情延续涨势，整体成交气氛平稳。具体来看，上周五成品油零售价兑现上调，与此同时，周内国际原油维持上行趋势，新一轮周期变化率正向发展，消息面利好继续支撑区内汽柴油批发价格走高。由于场内业者库存多数较为充足，且对高价抵触心理明显，故买涨气氛受到一定限制，整体来看缺乏大单成交，仅部分按需适量补货。后市来看，国际原油或将小幅回落，不过在零售价上调预期指引下，预计下周华北地区成品油行情高位整理为主，局部根据自身情况进行涨跌调整，业者消库之余按需购进。</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继续上扬，市场交投不甚理想。具体来看，国际原油期货大幅走高，变化率正向区间不断延伸，本轮零售价上调预期有增无减，消息方面给予油市有力支撑。得益于此，区内主营单位借机连续推涨汽柴油价格，汽柴均上涨150元/吨左右，业者刚需小单购进，市场购销氛围偏淡。后市来看，国际原油期货不乏小幅回落可能，消息方面支撑力度稍有减弱。受此影响，主营单位汽柴油价格涨势或将放缓，业者对高价较为抵触，市场交投气氛难言乐观。</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中地区成品油价格一路攀升，市场购销氛围难有改善。具体来看，本周受诸多利好因素支撑，国际原油整体维持高位震荡走势，且周初在零售价兑现上调的影响下多数主营汽柴油价格有所推涨，但市场成交跟进乏力，部分主营为保证销量暗中加大优惠力度，业者逢低适量补货。随着原油持续上扬，变化率正向宽幅运行，主营价格再度攀高，但下游多已补货到位，且对高价抵触增强，市场成交难见大单。后市来看，国际原油或有小幅回落，但变化率维持正向运行，零售价上调预期仍存，故预计近期内华中市场成品油行情趋于盘整阶段，部分或加大优惠力度。</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延续涨势，市场交投氛围一般。具体来看，国际油价仍震荡走高，新一轮变化率正向幅度不断拉宽，消息面对市场支撑进一步增强。区内主营迫于成本压力且积极造势促销，汽柴油价格顺势推涨，其中汽油上涨100元/吨上下，柴油上涨150元/吨，主营销售进度不一，部分单位欠量较大，暗中维持较大商谈空间。下游用户前期多已采购，且价格进一步涨至高位，业者抵触心态增强，入市操作也有所转淡，周内市场整体购销气氛平平。后市而言，国际油价或仍难改高位区间震荡，本轮零售价上调预期强烈，消息面对市场支撑尚存。随着步入中下旬，华东区内部分主营销售压力进一步加大，且下游集中消库，预计下周华东汽柴行情涨势或将受阻，且不排除部分单位或适度回调冲量。</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北地炼汽柴行情涨后回落，市场成交气氛低迷。分析来看：上周五成品油零售价上调兑现，西北地炼汽柴价格随势上行，其中柴油大幅推高，涨幅达600元/吨，汽油涨幅在150元/吨。进入本周之后，国际原油价格跌后反弹，变化率正向区间延伸，上调预期指向明朗。此外，延长集团库存低位，汽柴价格维持高位。但业者对高价抵触情绪明显，入市操作寥寥，市场成交气氛冷淡。销售公司出货不畅，汽柴价格分别下调50元/吨和100元/吨。然而汽柴价格仍然偏高，业者补货心态谨慎，市场成交提升有限。进入下周，国际油价或小幅回落，但难改零售价上调预期，预计西北地炼汽柴行情或小幅跟涨。业者大单采购有限，市场成交难改平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仍上行为主，市场成交气氛清淡。分析来看：上周五成品油零售价兑现上调，区内主营价格多有跟涨。进入本周，国际油价跌后连涨，变化率正向区间延伸，上调预期持续增强。消息面利好仍有支撑，部分地区主营价格继续推涨。但汽柴价格涨至高位，业者大单采购风险较大，周内多消库为主，入市操作稀少。主营单位出货不畅，成交优惠多有加深，个别地区价格甚至有所下调，但整体行情仍维持高位运行。进入下周，国际油价或小幅回落，但变化率仍将维持正向区间运行，本轮零售价上调仍为大概率事件，消息面仍有支撑，预计下周主营单位汽柴价格仍以上调为主。业者消库之余按需适量补货，市场成交难有明显改善。</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步入下周，国际原油期货不乏高位回落可能，本轮零售价上调预期犹存，但整体来看，消息方面支撑力度或有降低。与此同时，供需方面而言，受上合峰会及计划内检修影响，近期国内主营及地方炼厂装置开工负荷有所降低，市场资源供应相对减少。目前户外工矿、基建等终端用油单位开工较为平稳，柴油需求稳定;随着气温升高，车用空调使用频率增加，汽油需求相对增多。然而随着近期汽柴油价格涨至高位，业者抵触情绪滋生，入市跟进意向淡薄。综上预计，下周国内汽柴油市场行情涨势趋缓，市场交投维持平淡。</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华文仿宋"/>
          <w:sz w:val="28"/>
          <w:szCs w:val="28"/>
        </w:rPr>
      </w:pPr>
    </w:p>
    <w:p>
      <w:pPr>
        <w:rPr>
          <w:rFonts w:hint="eastAsia"/>
        </w:rPr>
      </w:pPr>
    </w:p>
    <w:bookmarkEnd w:id="46"/>
    <w:bookmarkEnd w:id="47"/>
    <w:p>
      <w:pPr>
        <w:numPr>
          <w:ilvl w:val="0"/>
          <w:numId w:val="0"/>
        </w:numPr>
        <w:outlineLvl w:val="0"/>
        <w:rPr>
          <w:rFonts w:ascii="黑体"/>
          <w:b/>
          <w:bCs/>
          <w:sz w:val="28"/>
          <w:szCs w:val="28"/>
        </w:rPr>
      </w:pPr>
      <w:bookmarkStart w:id="49" w:name="_Toc505350014"/>
      <w:bookmarkStart w:id="50" w:name="_Toc460250410"/>
      <w:bookmarkStart w:id="51" w:name="_Toc369858747"/>
      <w:bookmarkStart w:id="52" w:name="_Toc180485827"/>
      <w:bookmarkStart w:id="53" w:name="_Toc281568208"/>
      <w:bookmarkStart w:id="54" w:name="_Toc296600818"/>
      <w:bookmarkStart w:id="55" w:name="_Toc296600819"/>
      <w:bookmarkStart w:id="56" w:name="_Toc281568211"/>
      <w:r>
        <w:rPr>
          <w:rFonts w:hint="eastAsia" w:ascii="黑体"/>
          <w:b/>
          <w:bCs/>
          <w:sz w:val="28"/>
          <w:szCs w:val="28"/>
          <w:lang w:eastAsia="zh-CN"/>
        </w:rPr>
        <w:t>四、</w:t>
      </w:r>
      <w:r>
        <w:rPr>
          <w:rFonts w:hint="eastAsia" w:ascii="黑体"/>
          <w:b/>
          <w:bCs/>
          <w:sz w:val="28"/>
          <w:szCs w:val="28"/>
        </w:rPr>
        <w:t>国内溶剂油市场综述</w:t>
      </w:r>
      <w:bookmarkEnd w:id="49"/>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sz w:val="21"/>
          <w:szCs w:val="21"/>
          <w:lang w:val="en-US" w:eastAsia="zh-CN"/>
        </w:rPr>
        <w:t xml:space="preserve">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内溶剂油市场呈现涨后持稳状态，整体交投气氛逐渐降温。具体来看，周内原油期价持续小涨姿态，但消息面对市场指引有限。主因经过前期一轮疯狂补货，当前下游商家库存较为充足，且对高价抵触心理明显，故买涨气氛受到一定限制，整体来看缺乏大单成交，仅部分按需适量补货。其次，下游需求面波动不大，业者前期库存消耗有限，大单采购稀少。另外各炼厂销售进度不一，部分单位出货心态积极，暗中维持较大商谈空间，导致持续大幅走高情况不在，区内炼厂多维持高位整理情况。</w:t>
      </w:r>
      <w:r>
        <w:rPr>
          <w:rFonts w:hint="default" w:ascii="华文仿宋" w:hAnsi="华文仿宋" w:eastAsia="华文仿宋" w:cs="华文仿宋"/>
          <w:sz w:val="28"/>
          <w:szCs w:val="28"/>
        </w:rPr>
        <w:t>国际油价或继续高位盘整，对油品市场行情提振作用减弱。下游用户观望心态渐浓，溶剂油出货或将转淡，价格有一定下行压力。但原料石脑油价格或走稳为主，对溶剂油价格有一定支撑作用。综合考虑下，溶剂油商家守稳出货意愿较强。因此下周国内溶剂油市场将横盘整理的概率较大，市场价格以零星调整为主。</w:t>
      </w:r>
    </w:p>
    <w:p>
      <w:pPr>
        <w:pStyle w:val="19"/>
        <w:keepNext w:val="0"/>
        <w:keepLines w:val="0"/>
        <w:widowControl/>
        <w:suppressLineNumbers w:val="0"/>
        <w:rPr>
          <w:rFonts w:hint="eastAsia" w:ascii="华文仿宋" w:hAnsi="华文仿宋" w:eastAsia="华文仿宋" w:cs="华文仿宋"/>
          <w:kern w:val="0"/>
          <w:sz w:val="28"/>
          <w:szCs w:val="28"/>
          <w:lang w:val="en-US" w:eastAsia="zh-CN" w:bidi="ar-SA"/>
        </w:rPr>
      </w:pP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505350015"/>
      <w:bookmarkStart w:id="58" w:name="_Toc460250411"/>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7"/>
        <w:gridCol w:w="1947"/>
        <w:gridCol w:w="1087"/>
        <w:gridCol w:w="1091"/>
        <w:gridCol w:w="1087"/>
        <w:gridCol w:w="1090"/>
        <w:gridCol w:w="1245"/>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8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4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2018-5-18</w:t>
            </w:r>
          </w:p>
        </w:tc>
        <w:tc>
          <w:tcPr>
            <w:tcW w:w="114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96600821"/>
      <w:bookmarkStart w:id="60" w:name="_Toc460250412"/>
      <w:bookmarkStart w:id="61" w:name="_Toc505350016"/>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89"/>
        <w:gridCol w:w="1224"/>
        <w:gridCol w:w="1228"/>
        <w:gridCol w:w="1223"/>
        <w:gridCol w:w="1226"/>
        <w:gridCol w:w="1401"/>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2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2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2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2018-5-18</w:t>
            </w:r>
          </w:p>
        </w:tc>
        <w:tc>
          <w:tcPr>
            <w:tcW w:w="128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9200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9200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9200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9200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505350017"/>
      <w:bookmarkStart w:id="64" w:name="_Toc296600822"/>
      <w:bookmarkStart w:id="65" w:name="_Toc281568214"/>
      <w:bookmarkStart w:id="66" w:name="_Toc460250413"/>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05"/>
        <w:gridCol w:w="1644"/>
        <w:gridCol w:w="1306"/>
        <w:gridCol w:w="1112"/>
        <w:gridCol w:w="1107"/>
        <w:gridCol w:w="1077"/>
        <w:gridCol w:w="1264"/>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4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0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0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7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2018-5-18</w:t>
            </w:r>
          </w:p>
        </w:tc>
        <w:tc>
          <w:tcPr>
            <w:tcW w:w="116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0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0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180485835"/>
      <w:bookmarkStart w:id="68" w:name="_Toc296600823"/>
      <w:bookmarkStart w:id="69" w:name="_Toc505350018"/>
      <w:bookmarkStart w:id="70" w:name="_Toc281568215"/>
      <w:bookmarkStart w:id="71" w:name="_Toc460250414"/>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8"/>
        <w:gridCol w:w="1877"/>
        <w:gridCol w:w="1878"/>
        <w:gridCol w:w="2160"/>
        <w:gridCol w:w="1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bookmarkStart w:id="80" w:name="_GoBack"/>
            <w:r>
              <w:rPr>
                <w:rFonts w:hint="eastAsia" w:ascii="华文仿宋" w:hAnsi="华文仿宋" w:eastAsia="华文仿宋" w:cs="华文仿宋"/>
                <w:i w:val="0"/>
                <w:color w:val="000000"/>
                <w:kern w:val="0"/>
                <w:sz w:val="28"/>
                <w:szCs w:val="28"/>
                <w:u w:val="none"/>
                <w:lang w:val="en-US" w:eastAsia="zh-CN" w:bidi="ar"/>
              </w:rPr>
              <w:t>产品名称</w:t>
            </w:r>
          </w:p>
        </w:tc>
        <w:tc>
          <w:tcPr>
            <w:tcW w:w="187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87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2018-5-18</w:t>
            </w:r>
          </w:p>
        </w:tc>
        <w:tc>
          <w:tcPr>
            <w:tcW w:w="198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7040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8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8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bookmarkEnd w:id="80"/>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华文仿宋" w:hAnsi="华文仿宋" w:eastAsia="华文仿宋"/>
          <w:b w:val="0"/>
          <w:bCs w:val="0"/>
          <w:kern w:val="2"/>
          <w:sz w:val="28"/>
          <w:szCs w:val="28"/>
        </w:rPr>
      </w:pPr>
      <w:bookmarkStart w:id="72" w:name="_Toc505350019"/>
      <w:bookmarkStart w:id="73" w:name="_Toc296600824"/>
      <w:bookmarkStart w:id="74" w:name="_Toc460250415"/>
      <w:bookmarkStart w:id="75" w:name="_Toc281568216"/>
      <w:r>
        <w:rPr>
          <w:rFonts w:hint="eastAsia" w:ascii="华文仿宋" w:hAnsi="华文仿宋" w:eastAsia="华文仿宋"/>
          <w:b w:val="0"/>
          <w:bCs w:val="0"/>
          <w:kern w:val="2"/>
          <w:sz w:val="28"/>
          <w:szCs w:val="28"/>
        </w:rPr>
        <w:t>九、201</w:t>
      </w:r>
      <w:r>
        <w:rPr>
          <w:rFonts w:hint="eastAsia" w:ascii="华文仿宋" w:hAnsi="华文仿宋" w:eastAsia="华文仿宋"/>
          <w:b w:val="0"/>
          <w:bCs w:val="0"/>
          <w:kern w:val="2"/>
          <w:sz w:val="28"/>
          <w:szCs w:val="28"/>
          <w:lang w:val="en-US" w:eastAsia="zh-CN"/>
        </w:rPr>
        <w:t>8</w:t>
      </w:r>
      <w:r>
        <w:rPr>
          <w:rFonts w:hint="eastAsia" w:ascii="华文仿宋" w:hAnsi="华文仿宋" w:eastAsia="华文仿宋"/>
          <w:b w:val="0"/>
          <w:bCs w:val="0"/>
          <w:kern w:val="2"/>
          <w:sz w:val="28"/>
          <w:szCs w:val="28"/>
        </w:rPr>
        <w:t>年</w:t>
      </w:r>
      <w:r>
        <w:rPr>
          <w:rFonts w:hint="eastAsia" w:ascii="华文仿宋" w:hAnsi="华文仿宋" w:eastAsia="华文仿宋"/>
          <w:b w:val="0"/>
          <w:bCs w:val="0"/>
          <w:kern w:val="2"/>
          <w:sz w:val="28"/>
          <w:szCs w:val="28"/>
          <w:lang w:val="en-US" w:eastAsia="zh-CN"/>
        </w:rPr>
        <w:t>3</w:t>
      </w:r>
      <w:r>
        <w:rPr>
          <w:rFonts w:hint="eastAsia" w:ascii="华文仿宋" w:hAnsi="华文仿宋" w:eastAsia="华文仿宋"/>
          <w:b w:val="0"/>
          <w:bCs w:val="0"/>
          <w:kern w:val="2"/>
          <w:sz w:val="28"/>
          <w:szCs w:val="28"/>
        </w:rPr>
        <w:t>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96600826"/>
      <w:bookmarkStart w:id="77" w:name="_Toc281568218"/>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0"/>
        <w:gridCol w:w="1790"/>
        <w:gridCol w:w="1621"/>
        <w:gridCol w:w="1743"/>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5"/>
        <w:gridCol w:w="1955"/>
        <w:gridCol w:w="1956"/>
        <w:gridCol w:w="1955"/>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00007A87" w:usb1="80000000" w:usb2="00000008" w:usb3="00000000" w:csb0="400001FF" w:csb1="FFFF0000"/>
  </w:font>
  <w:font w:name="华文新魏">
    <w:panose1 w:val="02010800040101010101"/>
    <w:charset w:val="86"/>
    <w:family w:val="auto"/>
    <w:pitch w:val="default"/>
    <w:sig w:usb0="00000001" w:usb1="080F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D6932"/>
    <w:multiLevelType w:val="singleLevel"/>
    <w:tmpl w:val="F97D6932"/>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34215CC"/>
    <w:rsid w:val="034D1875"/>
    <w:rsid w:val="03A810DA"/>
    <w:rsid w:val="04793982"/>
    <w:rsid w:val="099F699F"/>
    <w:rsid w:val="0C6F4F00"/>
    <w:rsid w:val="0CBA42B6"/>
    <w:rsid w:val="0E220EFD"/>
    <w:rsid w:val="106000A3"/>
    <w:rsid w:val="106D2E5F"/>
    <w:rsid w:val="10C92BDE"/>
    <w:rsid w:val="14BD6DE9"/>
    <w:rsid w:val="151B0610"/>
    <w:rsid w:val="15A51265"/>
    <w:rsid w:val="1602563E"/>
    <w:rsid w:val="1871150E"/>
    <w:rsid w:val="193B0DD2"/>
    <w:rsid w:val="1950525E"/>
    <w:rsid w:val="1A4B0BD2"/>
    <w:rsid w:val="1BB02F43"/>
    <w:rsid w:val="1DBC2256"/>
    <w:rsid w:val="1F57560A"/>
    <w:rsid w:val="20DD1860"/>
    <w:rsid w:val="21416467"/>
    <w:rsid w:val="21467DDF"/>
    <w:rsid w:val="2258468B"/>
    <w:rsid w:val="24977CE4"/>
    <w:rsid w:val="250C493B"/>
    <w:rsid w:val="272712C8"/>
    <w:rsid w:val="29CF7033"/>
    <w:rsid w:val="2FB62CD5"/>
    <w:rsid w:val="316E4BCF"/>
    <w:rsid w:val="32FB3069"/>
    <w:rsid w:val="390E2AE7"/>
    <w:rsid w:val="3A2A6D06"/>
    <w:rsid w:val="3C7F4653"/>
    <w:rsid w:val="3D5C793D"/>
    <w:rsid w:val="3E0B15BA"/>
    <w:rsid w:val="3EC639AA"/>
    <w:rsid w:val="3FE24704"/>
    <w:rsid w:val="50A4483B"/>
    <w:rsid w:val="50D54E3C"/>
    <w:rsid w:val="532F052B"/>
    <w:rsid w:val="53CB1533"/>
    <w:rsid w:val="54A90501"/>
    <w:rsid w:val="552402CA"/>
    <w:rsid w:val="56490C7C"/>
    <w:rsid w:val="58343EAC"/>
    <w:rsid w:val="597E6C17"/>
    <w:rsid w:val="5B920EBC"/>
    <w:rsid w:val="5BFA6CAE"/>
    <w:rsid w:val="5D0D24D3"/>
    <w:rsid w:val="5D654113"/>
    <w:rsid w:val="5DB45A4D"/>
    <w:rsid w:val="5E3D22F6"/>
    <w:rsid w:val="5F5C54EB"/>
    <w:rsid w:val="60886E86"/>
    <w:rsid w:val="61426FC7"/>
    <w:rsid w:val="66AD6F06"/>
    <w:rsid w:val="67F355EF"/>
    <w:rsid w:val="68727AEB"/>
    <w:rsid w:val="68CB2404"/>
    <w:rsid w:val="6B353E8E"/>
    <w:rsid w:val="6B7A4196"/>
    <w:rsid w:val="6FE46FB1"/>
    <w:rsid w:val="74605603"/>
    <w:rsid w:val="766E0138"/>
    <w:rsid w:val="76DA4E14"/>
    <w:rsid w:val="78C05101"/>
    <w:rsid w:val="7A0850E0"/>
    <w:rsid w:val="7C4A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6"/>
    <w:unhideWhenUsed/>
    <w:uiPriority w:val="99"/>
    <w:rPr>
      <w:kern w:val="0"/>
      <w:sz w:val="18"/>
      <w:szCs w:val="18"/>
    </w:rPr>
  </w:style>
  <w:style w:type="paragraph" w:styleId="12">
    <w:name w:val="footer"/>
    <w:basedOn w:val="1"/>
    <w:link w:val="34"/>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uiPriority w:val="0"/>
    <w:rPr>
      <w:rFonts w:eastAsia="宋体"/>
      <w:b/>
      <w:bCs/>
      <w:kern w:val="2"/>
      <w:sz w:val="32"/>
      <w:szCs w:val="32"/>
      <w:lang w:val="en-US" w:eastAsia="zh-CN" w:bidi="ar-SA"/>
    </w:rPr>
  </w:style>
  <w:style w:type="character" w:customStyle="1" w:styleId="28">
    <w:name w:val="页眉 Char"/>
    <w:link w:val="13"/>
    <w:qFormat/>
    <w:uiPriority w:val="99"/>
    <w:rPr>
      <w:sz w:val="18"/>
      <w:szCs w:val="18"/>
    </w:rPr>
  </w:style>
  <w:style w:type="character" w:customStyle="1" w:styleId="29">
    <w:name w:val="showtext"/>
    <w:basedOn w:val="20"/>
    <w:qFormat/>
    <w:uiPriority w:val="0"/>
  </w:style>
  <w:style w:type="character" w:customStyle="1" w:styleId="30">
    <w:name w:val="标题 2 Char1"/>
    <w:link w:val="3"/>
    <w:qFormat/>
    <w:uiPriority w:val="9"/>
    <w:rPr>
      <w:rFonts w:ascii="Cambria" w:hAnsi="Cambria"/>
      <w:b/>
      <w:bCs/>
      <w:kern w:val="2"/>
      <w:sz w:val="28"/>
      <w:szCs w:val="32"/>
    </w:rPr>
  </w:style>
  <w:style w:type="character" w:customStyle="1" w:styleId="31">
    <w:name w:val="普通 (Web) Char Char2"/>
    <w:qFormat/>
    <w:locked/>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标题 1 Char"/>
    <w:link w:val="2"/>
    <w:qFormat/>
    <w:uiPriority w:val="9"/>
    <w:rPr>
      <w:rFonts w:eastAsia="黑体"/>
      <w:b/>
      <w:bCs/>
      <w:kern w:val="44"/>
      <w:sz w:val="32"/>
      <w:szCs w:val="44"/>
    </w:rPr>
  </w:style>
  <w:style w:type="character" w:customStyle="1" w:styleId="34">
    <w:name w:val="页脚 Char"/>
    <w:link w:val="12"/>
    <w:qFormat/>
    <w:uiPriority w:val="99"/>
    <w:rPr>
      <w:sz w:val="18"/>
      <w:szCs w:val="18"/>
    </w:rPr>
  </w:style>
  <w:style w:type="character" w:customStyle="1" w:styleId="35">
    <w:name w:val="f21"/>
    <w:uiPriority w:val="0"/>
    <w:rPr>
      <w:rFonts w:hint="eastAsia" w:ascii="宋体" w:hAnsi="宋体" w:eastAsia="宋体"/>
      <w:sz w:val="21"/>
      <w:szCs w:val="21"/>
    </w:rPr>
  </w:style>
  <w:style w:type="character" w:customStyle="1" w:styleId="36">
    <w:name w:val="批注框文本 Char"/>
    <w:link w:val="11"/>
    <w:semiHidden/>
    <w:qFormat/>
    <w:uiPriority w:val="99"/>
    <w:rPr>
      <w:sz w:val="18"/>
      <w:szCs w:val="18"/>
    </w:rPr>
  </w:style>
  <w:style w:type="character" w:customStyle="1" w:styleId="37">
    <w:name w:val="style11"/>
    <w:qFormat/>
    <w:uiPriority w:val="0"/>
    <w:rPr>
      <w:color w:val="999999"/>
      <w:sz w:val="18"/>
      <w:szCs w:val="18"/>
    </w:rPr>
  </w:style>
  <w:style w:type="character" w:customStyle="1" w:styleId="38">
    <w:name w:val="副标题 Char"/>
    <w:link w:val="15"/>
    <w:qFormat/>
    <w:uiPriority w:val="11"/>
    <w:rPr>
      <w:rFonts w:ascii="Cambria" w:hAnsi="Cambria" w:cs="Times New Roman"/>
      <w:b/>
      <w:bCs/>
      <w:kern w:val="28"/>
      <w:sz w:val="32"/>
      <w:szCs w:val="32"/>
    </w:rPr>
  </w:style>
  <w:style w:type="character" w:customStyle="1" w:styleId="39">
    <w:name w:val="标题 2 Char"/>
    <w:qFormat/>
    <w:uiPriority w:val="0"/>
    <w:rPr>
      <w:rFonts w:ascii="Arial" w:hAnsi="Arial" w:eastAsia="黑体"/>
      <w:b/>
      <w:bCs/>
      <w:kern w:val="2"/>
      <w:sz w:val="32"/>
      <w:szCs w:val="32"/>
      <w:lang w:val="en-US" w:eastAsia="zh-CN" w:bidi="ar-SA"/>
    </w:rPr>
  </w:style>
  <w:style w:type="character" w:customStyle="1" w:styleId="40">
    <w:name w:val="style171"/>
    <w:uiPriority w:val="0"/>
    <w:rPr>
      <w:sz w:val="21"/>
      <w:szCs w:val="21"/>
    </w:rPr>
  </w:style>
  <w:style w:type="character" w:customStyle="1" w:styleId="41">
    <w:name w:val="普通 (Web) Char Char"/>
    <w:qFormat/>
    <w:locked/>
    <w:uiPriority w:val="0"/>
    <w:rPr>
      <w:rFonts w:ascii="宋体" w:hAnsi="宋体" w:eastAsia="宋体" w:cs="宋体"/>
      <w:sz w:val="24"/>
      <w:szCs w:val="24"/>
      <w:lang w:val="en-US" w:eastAsia="zh-CN" w:bidi="ar-SA"/>
    </w:rPr>
  </w:style>
  <w:style w:type="character" w:customStyle="1" w:styleId="42">
    <w:name w:val="style61"/>
    <w:qFormat/>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qFormat/>
    <w:uiPriority w:val="0"/>
    <w:rPr>
      <w:rFonts w:eastAsia="宋体"/>
      <w:b/>
      <w:bCs/>
      <w:kern w:val="2"/>
      <w:sz w:val="32"/>
      <w:szCs w:val="32"/>
      <w:lang w:val="en-US" w:eastAsia="zh-CN" w:bidi="ar-SA"/>
    </w:rPr>
  </w:style>
  <w:style w:type="character" w:customStyle="1" w:styleId="45">
    <w:name w:val="style161"/>
    <w:qFormat/>
    <w:uiPriority w:val="0"/>
    <w:rPr>
      <w:sz w:val="24"/>
      <w:szCs w:val="24"/>
    </w:rPr>
  </w:style>
  <w:style w:type="character" w:customStyle="1" w:styleId="46">
    <w:name w:val="f31"/>
    <w:uiPriority w:val="0"/>
    <w:rPr>
      <w:rFonts w:hint="default" w:ascii="ˎ̥" w:hAnsi="ˎ̥"/>
      <w:color w:val="999999"/>
      <w:sz w:val="16"/>
      <w:szCs w:val="16"/>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qFormat/>
    <w:uiPriority w:val="0"/>
    <w:pPr>
      <w:adjustRightInd w:val="0"/>
      <w:spacing w:line="360" w:lineRule="atLeast"/>
      <w:jc w:val="left"/>
      <w:textAlignment w:val="baseline"/>
    </w:pPr>
    <w:rPr>
      <w:kern w:val="0"/>
      <w:sz w:val="24"/>
      <w:szCs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qFormat/>
    <w:uiPriority w:val="0"/>
    <w:pPr>
      <w:widowControl/>
      <w:spacing w:before="100" w:beforeAutospacing="1" w:after="100" w:afterAutospacing="1"/>
      <w:jc w:val="left"/>
    </w:pPr>
    <w:rPr>
      <w:kern w:val="0"/>
      <w:sz w:val="20"/>
      <w:szCs w:val="20"/>
    </w:rPr>
  </w:style>
  <w:style w:type="paragraph" w:customStyle="1" w:styleId="88">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uiPriority w:val="0"/>
    <w:pPr>
      <w:widowControl/>
      <w:spacing w:line="330" w:lineRule="atLeast"/>
      <w:jc w:val="left"/>
    </w:pPr>
    <w:rPr>
      <w:rFonts w:ascii="宋体" w:hAnsi="宋体" w:cs="宋体"/>
      <w:kern w:val="0"/>
      <w:szCs w:val="21"/>
    </w:rPr>
  </w:style>
  <w:style w:type="paragraph" w:customStyle="1" w:styleId="95">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5.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792580101180438"/>
          <c:y val="0.142857210012928"/>
          <c:w val="0.858347386172007"/>
          <c:h val="0.591837324455242"/>
        </c:manualLayout>
      </c:layout>
      <c:lineChart>
        <c:grouping val="standard"/>
        <c:varyColors val="0"/>
        <c:ser>
          <c:idx val="8"/>
          <c:order val="0"/>
          <c:tx>
            <c:strRef>
              <c:f>'[最新溶剂油周报：山东地炼石脑油价格走势图5.11.xls]溶剂油周报-石脑油价格走势图表'!$D$178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'[最新溶剂油周报：山东地炼石脑油价格走势图5.11.xls]溶剂油周报-石脑油价格走势图表'!$A$179:$C$325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43231</c:v>
                </c:pt>
              </c:numCache>
            </c:numRef>
          </c:cat>
          <c:val>
            <c:numRef>
              <c:f>'[最新溶剂油周报：山东地炼石脑油价格走势图5.11.xls]溶剂油周报-石脑油价格走势图表'!$D$179:$D$325</c:f>
              <c:numCache>
                <c:formatCode>@</c:formatCode>
                <c:ptCount val="147"/>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numCache>
            </c:numRef>
          </c:val>
          <c:smooth val="0"/>
        </c:ser>
        <c:ser>
          <c:idx val="10"/>
          <c:order val="1"/>
          <c:tx>
            <c:strRef>
              <c:f>'[最新溶剂油周报：山东地炼石脑油价格走势图5.11.xls]溶剂油周报-石脑油价格走势图表'!$E$178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'[最新溶剂油周报：山东地炼石脑油价格走势图5.11.xls]溶剂油周报-石脑油价格走势图表'!$A$179:$C$325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43231</c:v>
                </c:pt>
              </c:numCache>
            </c:numRef>
          </c:cat>
          <c:val>
            <c:numRef>
              <c:f>'[最新溶剂油周报：山东地炼石脑油价格走势图5.11.xls]溶剂油周报-石脑油价格走势图表'!$E$179:$E$325</c:f>
              <c:numCache>
                <c:formatCode>@</c:formatCode>
                <c:ptCount val="147"/>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numCache>
            </c:numRef>
          </c:val>
          <c:smooth val="0"/>
        </c:ser>
        <c:ser>
          <c:idx val="1"/>
          <c:order val="2"/>
          <c:tx>
            <c:strRef>
              <c:f>'[最新溶剂油周报：山东地炼石脑油价格走势图5.11.xls]溶剂油周报-石脑油价格走势图表'!$F$178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'[最新溶剂油周报：山东地炼石脑油价格走势图5.11.xls]溶剂油周报-石脑油价格走势图表'!$A$179:$C$325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43231</c:v>
                </c:pt>
              </c:numCache>
            </c:numRef>
          </c:cat>
          <c:val>
            <c:numRef>
              <c:f>'[最新溶剂油周报：山东地炼石脑油价格走势图5.11.xls]溶剂油周报-石脑油价格走势图表'!$F$179:$F$325</c:f>
              <c:numCache>
                <c:formatCode>@</c:formatCode>
                <c:ptCount val="147"/>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numCache>
            </c:numRef>
          </c:val>
          <c:smooth val="0"/>
        </c:ser>
        <c:ser>
          <c:idx val="5"/>
          <c:order val="3"/>
          <c:tx>
            <c:strRef>
              <c:f>'[最新溶剂油周报：山东地炼石脑油价格走势图5.11.xls]溶剂油周报-石脑油价格走势图表'!$G$178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'[最新溶剂油周报：山东地炼石脑油价格走势图5.11.xls]溶剂油周报-石脑油价格走势图表'!$A$179:$C$325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43231</c:v>
                </c:pt>
              </c:numCache>
            </c:numRef>
          </c:cat>
          <c:val>
            <c:numRef>
              <c:f>'[最新溶剂油周报：山东地炼石脑油价格走势图5.11.xls]溶剂油周报-石脑油价格走势图表'!$G$179:$G$325</c:f>
              <c:numCache>
                <c:formatCode>@</c:formatCode>
                <c:ptCount val="147"/>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numCache>
            </c:numRef>
          </c:val>
          <c:smooth val="0"/>
        </c:ser>
        <c:ser>
          <c:idx val="6"/>
          <c:order val="4"/>
          <c:tx>
            <c:strRef>
              <c:f>'[最新溶剂油周报：山东地炼石脑油价格走势图5.11.xls]溶剂油周报-石脑油价格走势图表'!$H$178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'[最新溶剂油周报：山东地炼石脑油价格走势图5.11.xls]溶剂油周报-石脑油价格走势图表'!$A$179:$C$325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43231</c:v>
                </c:pt>
              </c:numCache>
            </c:numRef>
          </c:cat>
          <c:val>
            <c:numRef>
              <c:f>'[最新溶剂油周报：山东地炼石脑油价格走势图5.11.xls]溶剂油周报-石脑油价格走势图表'!$H$179:$H$325</c:f>
              <c:numCache>
                <c:formatCode>General</c:formatCode>
                <c:ptCount val="147"/>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numCache>
            </c:numRef>
          </c:val>
          <c:smooth val="0"/>
        </c:ser>
        <c:dLbls>
          <c:showLegendKey val="0"/>
          <c:showVal val="0"/>
          <c:showCatName val="0"/>
          <c:showSerName val="0"/>
          <c:showPercent val="0"/>
          <c:showBubbleSize val="0"/>
        </c:dLbls>
        <c:marker val="0"/>
        <c:smooth val="0"/>
        <c:axId val="509439357"/>
        <c:axId val="223990203"/>
      </c:lineChart>
      <c:dateAx>
        <c:axId val="509439357"/>
        <c:scaling>
          <c:orientation val="minMax"/>
          <c:max val="43238"/>
          <c:min val="42873"/>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23990203"/>
        <c:crossesAt val="2000"/>
        <c:auto val="1"/>
        <c:lblOffset val="100"/>
        <c:baseTimeUnit val="days"/>
        <c:majorUnit val="1"/>
        <c:majorTimeUnit val="months"/>
        <c:minorUnit val="1"/>
        <c:minorTimeUnit val="months"/>
      </c:dateAx>
      <c:valAx>
        <c:axId val="223990203"/>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09439357"/>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TotalTime>61</TotalTime>
  <ScaleCrop>false</ScaleCrop>
  <LinksUpToDate>false</LinksUpToDate>
  <CharactersWithSpaces>26720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2018-05-18T07:40:29Z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