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6192" behindDoc="1" locked="0" layoutInCell="1" allowOverlap="1">
            <wp:simplePos x="0" y="0"/>
            <wp:positionH relativeFrom="column">
              <wp:posOffset>-749300</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6"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pPr>
        <w:outlineLvl w:val="0"/>
        <w:rPr>
          <w:b/>
          <w:sz w:val="32"/>
          <w:szCs w:val="32"/>
        </w:rPr>
      </w:pPr>
      <w: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7429500</wp:posOffset>
                </wp:positionV>
                <wp:extent cx="5322570" cy="1405890"/>
                <wp:effectExtent l="0" t="0" r="0" b="0"/>
                <wp:wrapNone/>
                <wp:docPr id="4" name="文本框 2"/>
                <wp:cNvGraphicFramePr/>
                <a:graphic xmlns:a="http://schemas.openxmlformats.org/drawingml/2006/main">
                  <a:graphicData uri="http://schemas.microsoft.com/office/word/2010/wordprocessingShape">
                    <wps:wsp>
                      <wps:cNvSpPr txBox="1"/>
                      <wps:spPr>
                        <a:xfrm>
                          <a:off x="0" y="0"/>
                          <a:ext cx="5322570" cy="1405890"/>
                        </a:xfrm>
                        <a:prstGeom prst="rect">
                          <a:avLst/>
                        </a:prstGeom>
                        <a:noFill/>
                        <a:ln w="9525">
                          <a:noFill/>
                        </a:ln>
                        <a:effectLst/>
                      </wps:spPr>
                      <wps:txbx>
                        <w:txbxContent>
                          <w:p>
                            <w:pPr>
                              <w:widowControl/>
                              <w:jc w:val="left"/>
                              <w:rPr>
                                <w:rFonts w:ascii="黑体" w:hAnsi="宋体" w:eastAsia="黑体" w:cs="宋体"/>
                                <w:kern w:val="0"/>
                                <w:sz w:val="24"/>
                                <w:szCs w:val="24"/>
                              </w:rPr>
                            </w:pPr>
                            <w:r>
                              <w:rPr>
                                <w:rFonts w:hint="eastAsia" w:ascii="黑体" w:hAnsi="宋体" w:eastAsia="黑体" w:cs="宋体"/>
                                <w:kern w:val="0"/>
                                <w:sz w:val="24"/>
                                <w:szCs w:val="24"/>
                              </w:rPr>
                              <w:t>责任编辑：刘艳清</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电</w:t>
                            </w:r>
                            <w:r>
                              <w:rPr>
                                <w:rFonts w:hint="eastAsia" w:ascii="宋体" w:hAnsi="宋体" w:eastAsia="黑体" w:cs="宋体"/>
                                <w:kern w:val="0"/>
                                <w:sz w:val="24"/>
                                <w:szCs w:val="24"/>
                              </w:rPr>
                              <w:t>  </w:t>
                            </w:r>
                            <w:r>
                              <w:rPr>
                                <w:rFonts w:hint="eastAsia" w:ascii="黑体" w:hAnsi="宋体" w:eastAsia="黑体" w:cs="宋体"/>
                                <w:kern w:val="0"/>
                                <w:sz w:val="24"/>
                                <w:szCs w:val="24"/>
                              </w:rPr>
                              <w:t>话：</w:t>
                            </w:r>
                            <w:r>
                              <w:rPr>
                                <w:rFonts w:ascii="黑体" w:hAnsi="宋体" w:eastAsia="黑体"/>
                                <w:bCs/>
                                <w:sz w:val="24"/>
                                <w:szCs w:val="24"/>
                              </w:rPr>
                              <w:t>86-010-</w:t>
                            </w:r>
                            <w:r>
                              <w:rPr>
                                <w:rFonts w:ascii="黑体" w:hAnsi="宋体" w:eastAsia="黑体"/>
                                <w:sz w:val="24"/>
                                <w:szCs w:val="24"/>
                              </w:rPr>
                              <w:t>85725055</w:t>
                            </w:r>
                            <w:r>
                              <w:rPr>
                                <w:rFonts w:hint="eastAsia" w:ascii="黑体" w:hAnsi="宋体" w:eastAsia="黑体" w:cs="宋体"/>
                                <w:kern w:val="0"/>
                                <w:sz w:val="24"/>
                                <w:szCs w:val="24"/>
                              </w:rPr>
                              <w:br w:type="textWrapping"/>
                            </w:r>
                            <w:r>
                              <w:rPr>
                                <w:rFonts w:hint="eastAsia" w:ascii="黑体" w:hAnsi="宋体" w:eastAsia="黑体" w:cs="宋体"/>
                                <w:kern w:val="0"/>
                                <w:sz w:val="24"/>
                                <w:szCs w:val="24"/>
                              </w:rPr>
                              <w:t>传</w:t>
                            </w:r>
                            <w:r>
                              <w:rPr>
                                <w:rFonts w:hint="eastAsia" w:ascii="宋体" w:hAnsi="宋体" w:eastAsia="黑体" w:cs="宋体"/>
                                <w:kern w:val="0"/>
                                <w:sz w:val="24"/>
                                <w:szCs w:val="24"/>
                              </w:rPr>
                              <w:t>  </w:t>
                            </w:r>
                            <w:r>
                              <w:rPr>
                                <w:rFonts w:hint="eastAsia" w:ascii="黑体" w:hAnsi="宋体" w:eastAsia="黑体" w:cs="宋体"/>
                                <w:kern w:val="0"/>
                                <w:sz w:val="24"/>
                                <w:szCs w:val="24"/>
                              </w:rPr>
                              <w:t>真：86-010-85725399</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编辑邮箱：703680716@qq.com</w:t>
                            </w:r>
                          </w:p>
                          <w:p>
                            <w:pPr>
                              <w:pStyle w:val="52"/>
                              <w:rPr>
                                <w:rFonts w:ascii="黑体" w:hAnsi="宋体" w:eastAsia="黑体"/>
                                <w:bCs/>
                                <w:kern w:val="2"/>
                                <w:sz w:val="24"/>
                                <w:szCs w:val="24"/>
                                <w:lang w:eastAsia="zh-CN"/>
                              </w:rPr>
                            </w:pPr>
                            <w:r>
                              <w:rPr>
                                <w:rFonts w:hint="eastAsia" w:ascii="黑体" w:hAnsi="宋体" w:eastAsia="黑体"/>
                                <w:bCs/>
                                <w:kern w:val="2"/>
                                <w:sz w:val="24"/>
                                <w:szCs w:val="24"/>
                                <w:lang w:eastAsia="zh-CN"/>
                              </w:rPr>
                              <w:t>地址：</w:t>
                            </w:r>
                            <w:r>
                              <w:rPr>
                                <w:rFonts w:hint="eastAsia" w:ascii="黑体" w:hAnsi="宋体" w:eastAsia="黑体"/>
                                <w:kern w:val="2"/>
                                <w:sz w:val="24"/>
                                <w:szCs w:val="24"/>
                                <w:lang w:eastAsia="zh-CN"/>
                              </w:rPr>
                              <w:t>北京市朝阳区高碑店东区B8-1（邮编：100022）</w:t>
                            </w:r>
                          </w:p>
                          <w:p>
                            <w:pPr>
                              <w:jc w:val="left"/>
                            </w:pPr>
                          </w:p>
                        </w:txbxContent>
                      </wps:txbx>
                      <wps:bodyPr upright="1"/>
                    </wps:wsp>
                  </a:graphicData>
                </a:graphic>
              </wp:anchor>
            </w:drawing>
          </mc:Choice>
          <mc:Fallback>
            <w:pict>
              <v:shape id="文本框 2" o:spid="_x0000_s1026" o:spt="202" type="#_x0000_t202" style="position:absolute;left:0pt;margin-left:36.75pt;margin-top:585pt;height:110.7pt;width:419.1pt;z-index:251657216;mso-width-relative:page;mso-height-relative:page;" filled="f" stroked="f" coordsize="21600,21600"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v:fill on="f" focussize="0,0"/>
                <v:stroke on="f"/>
                <v:imagedata o:title=""/>
                <o:lock v:ext="edit" aspectratio="f"/>
                <v:textbox>
                  <w:txbxContent>
                    <w:p>
                      <w:pPr>
                        <w:widowControl/>
                        <w:jc w:val="left"/>
                        <w:rPr>
                          <w:rFonts w:ascii="黑体" w:hAnsi="宋体" w:eastAsia="黑体" w:cs="宋体"/>
                          <w:kern w:val="0"/>
                          <w:sz w:val="24"/>
                          <w:szCs w:val="24"/>
                        </w:rPr>
                      </w:pPr>
                      <w:r>
                        <w:rPr>
                          <w:rFonts w:hint="eastAsia" w:ascii="黑体" w:hAnsi="宋体" w:eastAsia="黑体" w:cs="宋体"/>
                          <w:kern w:val="0"/>
                          <w:sz w:val="24"/>
                          <w:szCs w:val="24"/>
                        </w:rPr>
                        <w:t>责任编辑：刘艳清</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电</w:t>
                      </w:r>
                      <w:r>
                        <w:rPr>
                          <w:rFonts w:hint="eastAsia" w:ascii="宋体" w:hAnsi="宋体" w:eastAsia="黑体" w:cs="宋体"/>
                          <w:kern w:val="0"/>
                          <w:sz w:val="24"/>
                          <w:szCs w:val="24"/>
                        </w:rPr>
                        <w:t>  </w:t>
                      </w:r>
                      <w:r>
                        <w:rPr>
                          <w:rFonts w:hint="eastAsia" w:ascii="黑体" w:hAnsi="宋体" w:eastAsia="黑体" w:cs="宋体"/>
                          <w:kern w:val="0"/>
                          <w:sz w:val="24"/>
                          <w:szCs w:val="24"/>
                        </w:rPr>
                        <w:t>话：</w:t>
                      </w:r>
                      <w:r>
                        <w:rPr>
                          <w:rFonts w:ascii="黑体" w:hAnsi="宋体" w:eastAsia="黑体"/>
                          <w:bCs/>
                          <w:sz w:val="24"/>
                          <w:szCs w:val="24"/>
                        </w:rPr>
                        <w:t>86-010-</w:t>
                      </w:r>
                      <w:r>
                        <w:rPr>
                          <w:rFonts w:ascii="黑体" w:hAnsi="宋体" w:eastAsia="黑体"/>
                          <w:sz w:val="24"/>
                          <w:szCs w:val="24"/>
                        </w:rPr>
                        <w:t>85725055</w:t>
                      </w:r>
                      <w:r>
                        <w:rPr>
                          <w:rFonts w:hint="eastAsia" w:ascii="黑体" w:hAnsi="宋体" w:eastAsia="黑体" w:cs="宋体"/>
                          <w:kern w:val="0"/>
                          <w:sz w:val="24"/>
                          <w:szCs w:val="24"/>
                        </w:rPr>
                        <w:br w:type="textWrapping"/>
                      </w:r>
                      <w:r>
                        <w:rPr>
                          <w:rFonts w:hint="eastAsia" w:ascii="黑体" w:hAnsi="宋体" w:eastAsia="黑体" w:cs="宋体"/>
                          <w:kern w:val="0"/>
                          <w:sz w:val="24"/>
                          <w:szCs w:val="24"/>
                        </w:rPr>
                        <w:t>传</w:t>
                      </w:r>
                      <w:r>
                        <w:rPr>
                          <w:rFonts w:hint="eastAsia" w:ascii="宋体" w:hAnsi="宋体" w:eastAsia="黑体" w:cs="宋体"/>
                          <w:kern w:val="0"/>
                          <w:sz w:val="24"/>
                          <w:szCs w:val="24"/>
                        </w:rPr>
                        <w:t>  </w:t>
                      </w:r>
                      <w:r>
                        <w:rPr>
                          <w:rFonts w:hint="eastAsia" w:ascii="黑体" w:hAnsi="宋体" w:eastAsia="黑体" w:cs="宋体"/>
                          <w:kern w:val="0"/>
                          <w:sz w:val="24"/>
                          <w:szCs w:val="24"/>
                        </w:rPr>
                        <w:t>真：86-010-85725399</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编辑邮箱：703680716@qq.com</w:t>
                      </w:r>
                    </w:p>
                    <w:p>
                      <w:pPr>
                        <w:pStyle w:val="52"/>
                        <w:rPr>
                          <w:rFonts w:ascii="黑体" w:hAnsi="宋体" w:eastAsia="黑体"/>
                          <w:bCs/>
                          <w:kern w:val="2"/>
                          <w:sz w:val="24"/>
                          <w:szCs w:val="24"/>
                          <w:lang w:eastAsia="zh-CN"/>
                        </w:rPr>
                      </w:pPr>
                      <w:r>
                        <w:rPr>
                          <w:rFonts w:hint="eastAsia" w:ascii="黑体" w:hAnsi="宋体" w:eastAsia="黑体"/>
                          <w:bCs/>
                          <w:kern w:val="2"/>
                          <w:sz w:val="24"/>
                          <w:szCs w:val="24"/>
                          <w:lang w:eastAsia="zh-CN"/>
                        </w:rPr>
                        <w:t>地址：</w:t>
                      </w:r>
                      <w:r>
                        <w:rPr>
                          <w:rFonts w:hint="eastAsia" w:ascii="黑体" w:hAnsi="宋体" w:eastAsia="黑体"/>
                          <w:kern w:val="2"/>
                          <w:sz w:val="24"/>
                          <w:szCs w:val="24"/>
                          <w:lang w:eastAsia="zh-CN"/>
                        </w:rPr>
                        <w:t>北京市朝阳区高碑店东区B8-1（邮编：100022）</w:t>
                      </w:r>
                    </w:p>
                    <w:p>
                      <w:pPr>
                        <w:jc w:val="left"/>
                      </w:pPr>
                    </w:p>
                  </w:txbxContent>
                </v:textbox>
              </v:shape>
            </w:pict>
          </mc:Fallback>
        </mc:AlternateContent>
      </w:r>
      <w:bookmarkStart w:id="80" w:name="_GoBack"/>
      <w:bookmarkEnd w:id="80"/>
      <w:r>
        <mc:AlternateContent>
          <mc:Choice Requires="wps">
            <w:drawing>
              <wp:anchor distT="0" distB="0" distL="114300" distR="114300" simplePos="0" relativeHeight="251658240" behindDoc="0" locked="0" layoutInCell="1" allowOverlap="1">
                <wp:simplePos x="0" y="0"/>
                <wp:positionH relativeFrom="column">
                  <wp:posOffset>2228215</wp:posOffset>
                </wp:positionH>
                <wp:positionV relativeFrom="paragraph">
                  <wp:posOffset>6231890</wp:posOffset>
                </wp:positionV>
                <wp:extent cx="1607820" cy="68707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607820" cy="687070"/>
                        </a:xfrm>
                        <a:prstGeom prst="rect">
                          <a:avLst/>
                        </a:prstGeom>
                        <a:noFill/>
                        <a:ln w="9525">
                          <a:noFill/>
                        </a:ln>
                        <a:effectLst/>
                      </wps:spPr>
                      <wps:txbx>
                        <w:txbxContent>
                          <w:p>
                            <w:pPr>
                              <w:pStyle w:val="2"/>
                              <w:jc w:val="center"/>
                              <w:rPr>
                                <w:kern w:val="2"/>
                                <w:lang w:val="en-US"/>
                              </w:rPr>
                            </w:pPr>
                            <w:bookmarkStart w:id="78" w:name="_Toc485828984"/>
                            <w:bookmarkStart w:id="79" w:name="_Toc505349996"/>
                            <w:r>
                              <w:rPr>
                                <w:rFonts w:hint="eastAsia"/>
                                <w:kern w:val="2"/>
                              </w:rPr>
                              <w:t>2018.</w:t>
                            </w:r>
                            <w:r>
                              <w:rPr>
                                <w:rFonts w:hint="eastAsia"/>
                                <w:kern w:val="2"/>
                                <w:lang w:val="en-US" w:eastAsia="zh-CN"/>
                              </w:rPr>
                              <w:t>5</w:t>
                            </w:r>
                            <w:r>
                              <w:rPr>
                                <w:rFonts w:hint="eastAsia"/>
                                <w:kern w:val="2"/>
                              </w:rPr>
                              <w:t>.</w:t>
                            </w:r>
                            <w:bookmarkEnd w:id="78"/>
                            <w:bookmarkEnd w:id="79"/>
                            <w:r>
                              <w:rPr>
                                <w:rFonts w:hint="eastAsia"/>
                                <w:kern w:val="2"/>
                                <w:lang w:val="en-US" w:eastAsia="zh-CN"/>
                              </w:rPr>
                              <w:t>04</w:t>
                            </w:r>
                          </w:p>
                          <w:p/>
                        </w:txbxContent>
                      </wps:txbx>
                      <wps:bodyPr upright="1"/>
                    </wps:wsp>
                  </a:graphicData>
                </a:graphic>
              </wp:anchor>
            </w:drawing>
          </mc:Choice>
          <mc:Fallback>
            <w:pict>
              <v:shape id="文本框 3" o:spid="_x0000_s1026" o:spt="202" type="#_x0000_t202" style="position:absolute;left:0pt;margin-left:175.45pt;margin-top:490.7pt;height:54.1pt;width:126.6pt;z-index:251658240;mso-width-relative:page;mso-height-relative:page;" filled="f" stroked="f" coordsize="21600,2160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mFTbF9gAAAAMAQAADwAAAAAAAAAB&#10;ACAAAAAiAAAAZHJzL2Rvd25yZXYueG1sUEsBAhQAFAAAAAgAh07iQDEF1GWeAQAAFwMAAA4AAAAA&#10;AAAAAQAgAAAAJwEAAGRycy9lMm9Eb2MueG1sUEsFBgAAAAAGAAYAWQEAADcFAAAAAA==&#10;">
                <v:fill on="f" focussize="0,0"/>
                <v:stroke on="f"/>
                <v:imagedata o:title=""/>
                <o:lock v:ext="edit" aspectratio="f"/>
                <v:textbox>
                  <w:txbxContent>
                    <w:p>
                      <w:pPr>
                        <w:pStyle w:val="2"/>
                        <w:jc w:val="center"/>
                        <w:rPr>
                          <w:kern w:val="2"/>
                          <w:lang w:val="en-US"/>
                        </w:rPr>
                      </w:pPr>
                      <w:bookmarkStart w:id="78" w:name="_Toc485828984"/>
                      <w:bookmarkStart w:id="79" w:name="_Toc505349996"/>
                      <w:r>
                        <w:rPr>
                          <w:rFonts w:hint="eastAsia"/>
                          <w:kern w:val="2"/>
                        </w:rPr>
                        <w:t>2018.</w:t>
                      </w:r>
                      <w:r>
                        <w:rPr>
                          <w:rFonts w:hint="eastAsia"/>
                          <w:kern w:val="2"/>
                          <w:lang w:val="en-US" w:eastAsia="zh-CN"/>
                        </w:rPr>
                        <w:t>5</w:t>
                      </w:r>
                      <w:r>
                        <w:rPr>
                          <w:rFonts w:hint="eastAsia"/>
                          <w:kern w:val="2"/>
                        </w:rPr>
                        <w:t>.</w:t>
                      </w:r>
                      <w:bookmarkEnd w:id="78"/>
                      <w:bookmarkEnd w:id="79"/>
                      <w:r>
                        <w:rPr>
                          <w:rFonts w:hint="eastAsia"/>
                          <w:kern w:val="2"/>
                          <w:lang w:val="en-US" w:eastAsia="zh-CN"/>
                        </w:rPr>
                        <w:t>04</w:t>
                      </w:r>
                    </w:p>
                    <w:p/>
                  </w:txbxContent>
                </v:textbox>
              </v:shape>
            </w:pict>
          </mc:Fallback>
        </mc:AlternateContent>
      </w:r>
      <w:r>
        <w:br w:type="page"/>
      </w:r>
      <w:bookmarkStart w:id="0" w:name="_Toc485828985"/>
      <w:r>
        <w:rPr>
          <w:b/>
          <w:sz w:val="32"/>
          <w:szCs w:val="44"/>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440690</wp:posOffset>
                </wp:positionV>
                <wp:extent cx="6212205" cy="8162290"/>
                <wp:effectExtent l="0" t="0" r="0" b="0"/>
                <wp:wrapNone/>
                <wp:docPr id="6" name="文本框 4"/>
                <wp:cNvGraphicFramePr/>
                <a:graphic xmlns:a="http://schemas.openxmlformats.org/drawingml/2006/main">
                  <a:graphicData uri="http://schemas.microsoft.com/office/word/2010/wordprocessingShape">
                    <wps:wsp>
                      <wps:cNvSpPr txBox="1"/>
                      <wps:spPr>
                        <a:xfrm>
                          <a:off x="0" y="0"/>
                          <a:ext cx="6212205" cy="8162290"/>
                        </a:xfrm>
                        <a:prstGeom prst="rect">
                          <a:avLst/>
                        </a:prstGeom>
                        <a:noFill/>
                        <a:ln w="9525">
                          <a:noFill/>
                        </a:ln>
                        <a:effectLst/>
                      </wps:spPr>
                      <wps:txbx>
                        <w:txbxContent>
                          <w:p>
                            <w:pPr>
                              <w:pStyle w:val="55"/>
                              <w:spacing w:line="480" w:lineRule="auto"/>
                              <w:jc w:val="center"/>
                              <w:rPr>
                                <w:rFonts w:ascii="宋体" w:hAnsi="宋体"/>
                                <w:b/>
                                <w:sz w:val="28"/>
                                <w:szCs w:val="28"/>
                                <w:lang w:eastAsia="zh-CN"/>
                              </w:rPr>
                            </w:pPr>
                            <w:r>
                              <w:rPr>
                                <w:rFonts w:hint="eastAsia" w:ascii="宋体" w:hAnsi="宋体"/>
                                <w:b/>
                                <w:sz w:val="28"/>
                                <w:szCs w:val="28"/>
                                <w:lang w:eastAsia="zh-CN"/>
                              </w:rPr>
                              <w:t>溶剂油市场周报目录</w:t>
                            </w:r>
                          </w:p>
                          <w:p>
                            <w:pPr>
                              <w:pStyle w:val="14"/>
                              <w:rPr>
                                <w:rFonts w:asciiTheme="minorHAnsi" w:hAnsiTheme="minorHAnsi" w:eastAsiaTheme="minorEastAsia" w:cstheme="minorBidi"/>
                                <w:b w:val="0"/>
                                <w:bCs w:val="0"/>
                                <w:caps w:val="0"/>
                                <w:color w:val="auto"/>
                                <w:sz w:val="21"/>
                                <w:szCs w:val="22"/>
                              </w:rPr>
                            </w:pPr>
                            <w:r>
                              <w:rPr>
                                <w:sz w:val="20"/>
                              </w:rPr>
                              <w:fldChar w:fldCharType="begin"/>
                            </w:r>
                            <w:r>
                              <w:rPr>
                                <w:sz w:val="20"/>
                              </w:rPr>
                              <w:instrText xml:space="preserve"> TOC \o "1-3" \h \z \u </w:instrText>
                            </w:r>
                            <w:r>
                              <w:rPr>
                                <w:sz w:val="20"/>
                              </w:rPr>
                              <w:fldChar w:fldCharType="separate"/>
                            </w:r>
                            <w:r>
                              <w:fldChar w:fldCharType="begin"/>
                            </w:r>
                            <w:r>
                              <w:instrText xml:space="preserve"> HYPERLINK "file:///C:\\Users\\Administrator\\Desktop\\原油\\周报、月报\\溶剂油（石脑油）周报2-2.docx" \l "_Toc505349996" </w:instrText>
                            </w:r>
                            <w:r>
                              <w:fldChar w:fldCharType="separate"/>
                            </w:r>
                            <w:r>
                              <w:fldChar w:fldCharType="end"/>
                            </w:r>
                            <w:r>
                              <w:fldChar w:fldCharType="begin"/>
                            </w:r>
                            <w:r>
                              <w:instrText xml:space="preserve"> HYPERLINK \l "_Toc505349997" </w:instrText>
                            </w:r>
                            <w:r>
                              <w:fldChar w:fldCharType="separate"/>
                            </w:r>
                            <w:r>
                              <w:rPr>
                                <w:rStyle w:val="24"/>
                                <w:rFonts w:hint="eastAsia" w:ascii="黑体"/>
                              </w:rPr>
                              <w:t>一、国际原油</w:t>
                            </w:r>
                            <w:r>
                              <w:tab/>
                            </w:r>
                            <w:r>
                              <w:fldChar w:fldCharType="begin"/>
                            </w:r>
                            <w:r>
                              <w:instrText xml:space="preserve"> PAGEREF _Toc505349997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"_Toc505349998" </w:instrText>
                            </w:r>
                            <w:r>
                              <w:fldChar w:fldCharType="separate"/>
                            </w:r>
                            <w:r>
                              <w:rPr>
                                <w:rStyle w:val="24"/>
                                <w:rFonts w:hint="eastAsia" w:ascii="黑体" w:eastAsia="黑体" w:cs="Arial"/>
                                <w:bCs/>
                                <w:kern w:val="0"/>
                              </w:rPr>
                              <w:t>（一）、国际原油市场回顾</w:t>
                            </w:r>
                            <w:r>
                              <w:tab/>
                            </w:r>
                            <w:r>
                              <w:fldChar w:fldCharType="begin"/>
                            </w:r>
                            <w:r>
                              <w:instrText xml:space="preserve"> PAGEREF _Toc505349998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"_Toc505349999" </w:instrText>
                            </w:r>
                            <w:r>
                              <w:fldChar w:fldCharType="separate"/>
                            </w:r>
                            <w:r>
                              <w:rPr>
                                <w:rStyle w:val="24"/>
                                <w:rFonts w:ascii="黑体" w:eastAsia="黑体"/>
                                <w:kern w:val="0"/>
                              </w:rPr>
                              <w:t xml:space="preserve">1.1  </w:t>
                            </w:r>
                            <w:r>
                              <w:rPr>
                                <w:rStyle w:val="24"/>
                                <w:rFonts w:hint="eastAsia" w:ascii="黑体" w:eastAsia="黑体" w:cs="Arial"/>
                                <w:kern w:val="0"/>
                              </w:rPr>
                              <w:t>国际原油收盘价涨跌情况（单位：美元</w:t>
                            </w:r>
                            <w:r>
                              <w:rPr>
                                <w:rStyle w:val="24"/>
                                <w:rFonts w:ascii="黑体" w:eastAsia="黑体" w:cs="Arial"/>
                                <w:kern w:val="0"/>
                              </w:rPr>
                              <w:t>/</w:t>
                            </w:r>
                            <w:r>
                              <w:rPr>
                                <w:rStyle w:val="24"/>
                                <w:rFonts w:hint="eastAsia" w:ascii="黑体" w:eastAsia="黑体" w:cs="Arial"/>
                                <w:kern w:val="0"/>
                              </w:rPr>
                              <w:t>桶）</w:t>
                            </w:r>
                            <w:r>
                              <w:tab/>
                            </w:r>
                            <w:r>
                              <w:fldChar w:fldCharType="begin"/>
                            </w:r>
                            <w:r>
                              <w:instrText xml:space="preserve"> PAGEREF _Toc505349999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"_Toc505350000" </w:instrText>
                            </w:r>
                            <w:r>
                              <w:fldChar w:fldCharType="separate"/>
                            </w:r>
                            <w:r>
                              <w:rPr>
                                <w:rStyle w:val="24"/>
                                <w:rFonts w:ascii="黑体" w:eastAsia="黑体"/>
                              </w:rPr>
                              <w:t xml:space="preserve">1.2  </w:t>
                            </w:r>
                            <w:r>
                              <w:rPr>
                                <w:rStyle w:val="24"/>
                                <w:rFonts w:hint="eastAsia" w:ascii="黑体" w:eastAsia="黑体"/>
                              </w:rPr>
                              <w:t>国际原油市场价格走势图</w:t>
                            </w:r>
                            <w:r>
                              <w:tab/>
                            </w:r>
                            <w:r>
                              <w:fldChar w:fldCharType="begin"/>
                            </w:r>
                            <w:r>
                              <w:instrText xml:space="preserve"> PAGEREF _Toc505350000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"_Toc505350001" </w:instrText>
                            </w:r>
                            <w:r>
                              <w:fldChar w:fldCharType="separate"/>
                            </w:r>
                            <w:r>
                              <w:rPr>
                                <w:rStyle w:val="24"/>
                                <w:rFonts w:hint="eastAsia" w:ascii="黑体" w:eastAsia="黑体"/>
                              </w:rPr>
                              <w:t>（二）</w:t>
                            </w:r>
                            <w:r>
                              <w:rPr>
                                <w:rStyle w:val="24"/>
                                <w:rFonts w:ascii="黑体" w:eastAsia="黑体"/>
                              </w:rPr>
                              <w:t>.</w:t>
                            </w:r>
                            <w:r>
                              <w:rPr>
                                <w:rStyle w:val="24"/>
                                <w:rFonts w:hint="eastAsia" w:ascii="黑体" w:eastAsia="黑体"/>
                              </w:rPr>
                              <w:t>近期影响国际原油市场的主要因素</w:t>
                            </w:r>
                            <w:r>
                              <w:tab/>
                            </w:r>
                            <w:r>
                              <w:fldChar w:fldCharType="begin"/>
                            </w:r>
                            <w:r>
                              <w:instrText xml:space="preserve"> PAGEREF _Toc505350001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"_Toc505350002" </w:instrText>
                            </w:r>
                            <w:r>
                              <w:fldChar w:fldCharType="separate"/>
                            </w:r>
                            <w:r>
                              <w:rPr>
                                <w:rStyle w:val="24"/>
                                <w:rFonts w:ascii="黑体" w:eastAsia="黑体"/>
                              </w:rPr>
                              <w:t>1</w:t>
                            </w:r>
                            <w:r>
                              <w:rPr>
                                <w:rStyle w:val="24"/>
                                <w:rFonts w:hint="eastAsia" w:ascii="黑体" w:eastAsia="黑体"/>
                              </w:rPr>
                              <w:t>、美国原油库存情况</w:t>
                            </w:r>
                            <w:r>
                              <w:tab/>
                            </w:r>
                            <w:r>
                              <w:fldChar w:fldCharType="begin"/>
                            </w:r>
                            <w:r>
                              <w:instrText xml:space="preserve"> PAGEREF _Toc505350002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"_Toc505350003" </w:instrText>
                            </w:r>
                            <w:r>
                              <w:fldChar w:fldCharType="separate"/>
                            </w:r>
                            <w:r>
                              <w:rPr>
                                <w:rStyle w:val="24"/>
                                <w:rFonts w:ascii="黑体" w:eastAsia="黑体"/>
                              </w:rPr>
                              <w:t>2</w:t>
                            </w:r>
                            <w:r>
                              <w:rPr>
                                <w:rStyle w:val="24"/>
                                <w:rFonts w:hint="eastAsia" w:ascii="黑体" w:eastAsia="黑体"/>
                              </w:rPr>
                              <w:t>、美国经济形势</w:t>
                            </w:r>
                            <w:r>
                              <w:tab/>
                            </w:r>
                            <w:r>
                              <w:fldChar w:fldCharType="begin"/>
                            </w:r>
                            <w:r>
                              <w:instrText xml:space="preserve"> PAGEREF _Toc505350003 \h </w:instrText>
                            </w:r>
                            <w:r>
                              <w:fldChar w:fldCharType="separate"/>
                            </w:r>
                            <w:r>
                              <w:t>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"_Toc505350004" </w:instrText>
                            </w:r>
                            <w:r>
                              <w:fldChar w:fldCharType="separate"/>
                            </w:r>
                            <w:r>
                              <w:rPr>
                                <w:rStyle w:val="24"/>
                                <w:rFonts w:ascii="黑体" w:eastAsia="黑体"/>
                              </w:rPr>
                              <w:t>3</w:t>
                            </w:r>
                            <w:r>
                              <w:rPr>
                                <w:rStyle w:val="24"/>
                                <w:rFonts w:hint="eastAsia" w:ascii="黑体" w:eastAsia="黑体"/>
                              </w:rPr>
                              <w:t>、世界经济形势</w:t>
                            </w:r>
                            <w:r>
                              <w:tab/>
                            </w:r>
                            <w:r>
                              <w:fldChar w:fldCharType="begin"/>
                            </w:r>
                            <w:r>
                              <w:instrText xml:space="preserve"> PAGEREF _Toc505350004 \h </w:instrText>
                            </w:r>
                            <w:r>
                              <w:fldChar w:fldCharType="separate"/>
                            </w:r>
                            <w:r>
                              <w:t>10</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"_Toc505350005" </w:instrText>
                            </w:r>
                            <w:r>
                              <w:fldChar w:fldCharType="separate"/>
                            </w:r>
                            <w:r>
                              <w:rPr>
                                <w:rStyle w:val="24"/>
                                <w:rFonts w:hint="eastAsia" w:ascii="仿宋_GB2312" w:eastAsia="仿宋_GB2312"/>
                              </w:rPr>
                              <w:t>（三）</w:t>
                            </w:r>
                            <w:r>
                              <w:rPr>
                                <w:rStyle w:val="24"/>
                                <w:rFonts w:hint="eastAsia" w:cs="Arial"/>
                                <w:bCs/>
                                <w:kern w:val="0"/>
                              </w:rPr>
                              <w:t>、</w:t>
                            </w:r>
                            <w:r>
                              <w:rPr>
                                <w:rStyle w:val="24"/>
                                <w:rFonts w:cs="Arial"/>
                                <w:bCs/>
                                <w:kern w:val="0"/>
                              </w:rPr>
                              <w:t>201</w:t>
                            </w:r>
                            <w:r>
                              <w:rPr>
                                <w:rStyle w:val="24"/>
                                <w:rFonts w:hint="eastAsia" w:cs="Arial"/>
                                <w:bCs/>
                                <w:kern w:val="0"/>
                                <w:lang w:val="en-US" w:eastAsia="zh-CN"/>
                              </w:rPr>
                              <w:t>8</w:t>
                            </w:r>
                            <w:r>
                              <w:rPr>
                                <w:rStyle w:val="24"/>
                                <w:rFonts w:hint="eastAsia" w:cs="Arial"/>
                                <w:bCs/>
                                <w:kern w:val="0"/>
                              </w:rPr>
                              <w:t>年</w:t>
                            </w:r>
                            <w:r>
                              <w:rPr>
                                <w:rStyle w:val="24"/>
                                <w:rFonts w:hint="eastAsia" w:cs="Arial"/>
                                <w:bCs/>
                                <w:kern w:val="0"/>
                                <w:lang w:val="en-US" w:eastAsia="zh-CN"/>
                              </w:rPr>
                              <w:t>3</w:t>
                            </w:r>
                            <w:r>
                              <w:rPr>
                                <w:rStyle w:val="24"/>
                                <w:rFonts w:hint="eastAsia" w:cs="Arial"/>
                                <w:bCs/>
                                <w:kern w:val="0"/>
                              </w:rPr>
                              <w:t>月份全国原油进出口统计数据</w:t>
                            </w:r>
                            <w:r>
                              <w:tab/>
                            </w:r>
                            <w:r>
                              <w:fldChar w:fldCharType="begin"/>
                            </w:r>
                            <w:r>
                              <w:instrText xml:space="preserve"> PAGEREF _Toc505350005 \h </w:instrText>
                            </w:r>
                            <w:r>
                              <w:fldChar w:fldCharType="separate"/>
                            </w:r>
                            <w:r>
                              <w:t>13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"_Toc505350006" </w:instrText>
                            </w:r>
                            <w:r>
                              <w:fldChar w:fldCharType="separate"/>
                            </w:r>
                            <w:r>
                              <w:rPr>
                                <w:rStyle w:val="24"/>
                                <w:rFonts w:hint="eastAsia" w:ascii="仿宋_GB2312" w:eastAsia="仿宋_GB2312" w:cs="Arial"/>
                                <w:bCs/>
                                <w:kern w:val="0"/>
                              </w:rPr>
                              <w:t>（四）、后市预测</w:t>
                            </w:r>
                            <w:r>
                              <w:tab/>
                            </w:r>
                            <w:r>
                              <w:fldChar w:fldCharType="begin"/>
                            </w:r>
                            <w:r>
                              <w:instrText xml:space="preserve"> PAGEREF _Toc505350006 \h </w:instrText>
                            </w:r>
                            <w:r>
                              <w:fldChar w:fldCharType="separate"/>
                            </w:r>
                            <w:r>
                              <w:t>13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"_Toc505350007" </w:instrText>
                            </w:r>
                            <w:r>
                              <w:fldChar w:fldCharType="separate"/>
                            </w:r>
                            <w:r>
                              <w:rPr>
                                <w:rStyle w:val="24"/>
                                <w:rFonts w:hint="eastAsia" w:ascii="黑体" w:eastAsia="黑体"/>
                              </w:rPr>
                              <w:t>二、</w:t>
                            </w:r>
                            <w:r>
                              <w:rPr>
                                <w:rStyle w:val="24"/>
                                <w:rFonts w:ascii="黑体" w:eastAsia="黑体"/>
                              </w:rPr>
                              <w:t xml:space="preserve"> </w:t>
                            </w:r>
                            <w:r>
                              <w:rPr>
                                <w:rStyle w:val="24"/>
                                <w:rFonts w:hint="eastAsia" w:ascii="黑体" w:eastAsia="黑体"/>
                              </w:rPr>
                              <w:t>石脑油</w:t>
                            </w:r>
                            <w:r>
                              <w:tab/>
                            </w:r>
                            <w:r>
                              <w:fldChar w:fldCharType="begin"/>
                            </w:r>
                            <w:r>
                              <w:instrText xml:space="preserve"> PAGEREF _Toc505350007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"_Toc505350008" </w:instrText>
                            </w:r>
                            <w:r>
                              <w:fldChar w:fldCharType="separate"/>
                            </w:r>
                            <w:r>
                              <w:rPr>
                                <w:rStyle w:val="24"/>
                              </w:rPr>
                              <w:t>2.1</w:t>
                            </w:r>
                            <w:r>
                              <w:rPr>
                                <w:rStyle w:val="24"/>
                                <w:rFonts w:hint="eastAsia"/>
                                <w:kern w:val="0"/>
                              </w:rPr>
                              <w:t>国际石脑油市场价格</w:t>
                            </w:r>
                            <w:r>
                              <w:tab/>
                            </w:r>
                            <w:r>
                              <w:fldChar w:fldCharType="begin"/>
                            </w:r>
                            <w:r>
                              <w:instrText xml:space="preserve"> PAGEREF _Toc505350008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"_Toc505350009" </w:instrText>
                            </w:r>
                            <w:r>
                              <w:fldChar w:fldCharType="separate"/>
                            </w:r>
                            <w:r>
                              <w:rPr>
                                <w:rStyle w:val="24"/>
                                <w:rFonts w:ascii="黑体" w:hAnsi="Times New Roman" w:eastAsia="黑体"/>
                              </w:rPr>
                              <w:t>2.</w:t>
                            </w:r>
                            <w:r>
                              <w:rPr>
                                <w:rStyle w:val="24"/>
                                <w:rFonts w:ascii="黑体" w:eastAsia="黑体"/>
                              </w:rPr>
                              <w:t>2</w:t>
                            </w:r>
                            <w:r>
                              <w:rPr>
                                <w:rStyle w:val="24"/>
                                <w:rFonts w:hint="eastAsia" w:ascii="黑体" w:eastAsia="黑体"/>
                              </w:rPr>
                              <w:t>地炼石脑油市场</w:t>
                            </w:r>
                            <w:r>
                              <w:tab/>
                            </w:r>
                            <w:r>
                              <w:fldChar w:fldCharType="begin"/>
                            </w:r>
                            <w:r>
                              <w:instrText xml:space="preserve"> PAGEREF _Toc505350009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"_Toc505350010" </w:instrText>
                            </w:r>
                            <w:r>
                              <w:fldChar w:fldCharType="separate"/>
                            </w:r>
                            <w:r>
                              <w:rPr>
                                <w:rStyle w:val="24"/>
                                <w:rFonts w:asciiTheme="minorEastAsia" w:hAnsiTheme="minorEastAsia"/>
                              </w:rPr>
                              <w:t>2.3</w:t>
                            </w:r>
                            <w:r>
                              <w:rPr>
                                <w:rStyle w:val="24"/>
                                <w:rFonts w:hint="eastAsia" w:asciiTheme="minorEastAsia" w:hAnsiTheme="minorEastAsia"/>
                              </w:rPr>
                              <w:t>本周国内石脑油价格汇总</w:t>
                            </w:r>
                            <w:r>
                              <w:tab/>
                            </w:r>
                            <w:r>
                              <w:fldChar w:fldCharType="begin"/>
                            </w:r>
                            <w:r>
                              <w:instrText xml:space="preserve"> PAGEREF _Toc505350010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"_Toc505350011" </w:instrText>
                            </w:r>
                            <w:r>
                              <w:fldChar w:fldCharType="separate"/>
                            </w:r>
                            <w:r>
                              <w:rPr>
                                <w:rStyle w:val="24"/>
                                <w:rFonts w:asciiTheme="minorEastAsia" w:hAnsiTheme="minorEastAsia"/>
                              </w:rPr>
                              <w:t>2.4</w:t>
                            </w:r>
                            <w:r>
                              <w:rPr>
                                <w:rStyle w:val="24"/>
                                <w:rFonts w:hint="eastAsia" w:asciiTheme="minorEastAsia" w:hAnsiTheme="minorEastAsia"/>
                              </w:rPr>
                              <w:t>山东地炼石脑油价格走势图</w:t>
                            </w:r>
                            <w:r>
                              <w:tab/>
                            </w:r>
                            <w:r>
                              <w:fldChar w:fldCharType="begin"/>
                            </w:r>
                            <w:r>
                              <w:instrText xml:space="preserve"> PAGEREF _Toc505350011 \h </w:instrText>
                            </w:r>
                            <w:r>
                              <w:fldChar w:fldCharType="separate"/>
                            </w:r>
                            <w:r>
                              <w:t>16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"_Toc505350012" </w:instrText>
                            </w:r>
                            <w:r>
                              <w:fldChar w:fldCharType="separate"/>
                            </w:r>
                            <w:r>
                              <w:rPr>
                                <w:rStyle w:val="24"/>
                                <w:rFonts w:hint="eastAsia" w:ascii="黑体" w:eastAsia="黑体"/>
                              </w:rPr>
                              <w:t>三、本周国内油品市场分析及预测</w:t>
                            </w:r>
                            <w:r>
                              <w:tab/>
                            </w:r>
                            <w:r>
                              <w:fldChar w:fldCharType="begin"/>
                            </w:r>
                            <w:r>
                              <w:instrText xml:space="preserve"> PAGEREF _Toc505350012 \h </w:instrText>
                            </w:r>
                            <w:r>
                              <w:fldChar w:fldCharType="separate"/>
                            </w:r>
                            <w:r>
                              <w:t>16</w:t>
                            </w:r>
                            <w:r>
                              <w:fldChar w:fldCharType="end"/>
                            </w:r>
                            <w:r>
                              <w:fldChar w:fldCharType="end"/>
                            </w:r>
                          </w:p>
                          <w:p>
                            <w:pPr>
                              <w:pStyle w:val="14"/>
                              <w:ind w:firstLine="241" w:firstLineChars="100"/>
                              <w:rPr>
                                <w:rFonts w:asciiTheme="minorHAnsi" w:hAnsiTheme="minorHAnsi" w:eastAsiaTheme="minorEastAsia" w:cstheme="minorBidi"/>
                                <w:b w:val="0"/>
                                <w:bCs w:val="0"/>
                                <w:caps w:val="0"/>
                                <w:color w:val="auto"/>
                                <w:sz w:val="21"/>
                                <w:szCs w:val="22"/>
                              </w:rPr>
                            </w:pPr>
                            <w:r>
                              <w:fldChar w:fldCharType="begin"/>
                            </w:r>
                            <w:r>
                              <w:instrText xml:space="preserve"> HYPERLINK \l "_Toc505350013" </w:instrText>
                            </w:r>
                            <w:r>
                              <w:fldChar w:fldCharType="separate"/>
                            </w:r>
                            <w:r>
                              <w:rPr>
                                <w:rStyle w:val="24"/>
                                <w:rFonts w:ascii="黑体" w:hAnsi="黑体"/>
                              </w:rPr>
                              <w:t>3</w:t>
                            </w:r>
                            <w:r>
                              <w:rPr>
                                <w:rStyle w:val="24"/>
                                <w:rFonts w:hint="eastAsia" w:ascii="黑体" w:hAnsi="黑体"/>
                                <w:lang w:val="en-US" w:eastAsia="zh-CN"/>
                              </w:rPr>
                              <w:t>.</w:t>
                            </w:r>
                            <w:r>
                              <w:rPr>
                                <w:rStyle w:val="24"/>
                                <w:rFonts w:ascii="黑体" w:hAnsi="黑体"/>
                              </w:rPr>
                              <w:t xml:space="preserve">1  </w:t>
                            </w:r>
                            <w:r>
                              <w:rPr>
                                <w:rStyle w:val="24"/>
                                <w:rFonts w:hint="eastAsia" w:ascii="黑体" w:hAnsi="黑体"/>
                              </w:rPr>
                              <w:t>成品油市场动态</w:t>
                            </w:r>
                            <w:r>
                              <w:tab/>
                            </w:r>
                            <w:r>
                              <w:fldChar w:fldCharType="begin"/>
                            </w:r>
                            <w:r>
                              <w:instrText xml:space="preserve"> PAGEREF _Toc505350013 \h </w:instrText>
                            </w:r>
                            <w:r>
                              <w:fldChar w:fldCharType="separate"/>
                            </w:r>
                            <w:r>
                              <w:t>17</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"_Toc505350014" </w:instrText>
                            </w:r>
                            <w:r>
                              <w:fldChar w:fldCharType="separate"/>
                            </w:r>
                            <w:r>
                              <w:rPr>
                                <w:rStyle w:val="24"/>
                                <w:rFonts w:hint="eastAsia" w:ascii="黑体"/>
                              </w:rPr>
                              <w:t>四、国内溶剂油市场综述</w:t>
                            </w:r>
                            <w:r>
                              <w:tab/>
                            </w:r>
                            <w:r>
                              <w:fldChar w:fldCharType="begin"/>
                            </w:r>
                            <w:r>
                              <w:instrText xml:space="preserve"> PAGEREF _Toc505350014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"_Toc505350015" </w:instrText>
                            </w:r>
                            <w:r>
                              <w:fldChar w:fldCharType="separate"/>
                            </w:r>
                            <w:r>
                              <w:rPr>
                                <w:rStyle w:val="24"/>
                                <w:rFonts w:hint="eastAsia" w:ascii="黑体"/>
                              </w:rPr>
                              <w:t>五、本周国内炼厂溶剂油产品价格对比</w:t>
                            </w:r>
                            <w:r>
                              <w:tab/>
                            </w:r>
                            <w:r>
                              <w:fldChar w:fldCharType="begin"/>
                            </w:r>
                            <w:r>
                              <w:instrText xml:space="preserve"> PAGEREF _Toc505350015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"_Toc505350016" </w:instrText>
                            </w:r>
                            <w:r>
                              <w:fldChar w:fldCharType="separate"/>
                            </w:r>
                            <w:r>
                              <w:rPr>
                                <w:rStyle w:val="24"/>
                                <w:rFonts w:hint="eastAsia" w:ascii="黑体"/>
                              </w:rPr>
                              <w:t>六、</w:t>
                            </w:r>
                            <w:r>
                              <w:rPr>
                                <w:rStyle w:val="24"/>
                                <w:rFonts w:ascii="黑体"/>
                              </w:rPr>
                              <w:t>D</w:t>
                            </w:r>
                            <w:r>
                              <w:rPr>
                                <w:rStyle w:val="24"/>
                                <w:rFonts w:hint="eastAsia" w:ascii="黑体"/>
                              </w:rPr>
                              <w:t>系列特种溶剂油</w:t>
                            </w:r>
                            <w:r>
                              <w:tab/>
                            </w:r>
                            <w:r>
                              <w:fldChar w:fldCharType="begin"/>
                            </w:r>
                            <w:r>
                              <w:instrText xml:space="preserve"> PAGEREF _Toc505350016 \h </w:instrText>
                            </w:r>
                            <w:r>
                              <w:fldChar w:fldCharType="separate"/>
                            </w:r>
                            <w:r>
                              <w:t>23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"_Toc505350017" </w:instrText>
                            </w:r>
                            <w:r>
                              <w:fldChar w:fldCharType="separate"/>
                            </w:r>
                            <w:r>
                              <w:rPr>
                                <w:rStyle w:val="24"/>
                                <w:rFonts w:hint="eastAsia" w:ascii="黑体"/>
                              </w:rPr>
                              <w:t>七、重芳烃溶剂油</w:t>
                            </w:r>
                            <w:r>
                              <w:tab/>
                            </w:r>
                            <w:r>
                              <w:fldChar w:fldCharType="begin"/>
                            </w:r>
                            <w:r>
                              <w:instrText xml:space="preserve"> PAGEREF _Toc505350017 \h </w:instrText>
                            </w:r>
                            <w:r>
                              <w:fldChar w:fldCharType="separate"/>
                            </w:r>
                            <w:r>
                              <w:t>25</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"_Toc505350018" </w:instrText>
                            </w:r>
                            <w:r>
                              <w:fldChar w:fldCharType="separate"/>
                            </w:r>
                            <w:r>
                              <w:rPr>
                                <w:rStyle w:val="24"/>
                                <w:rFonts w:hint="eastAsia" w:ascii="黑体"/>
                              </w:rPr>
                              <w:t>八、正己烷</w:t>
                            </w:r>
                            <w:r>
                              <w:tab/>
                            </w:r>
                            <w:r>
                              <w:fldChar w:fldCharType="begin"/>
                            </w:r>
                            <w:r>
                              <w:instrText xml:space="preserve"> PAGEREF _Toc505350018 \h </w:instrText>
                            </w:r>
                            <w:r>
                              <w:fldChar w:fldCharType="separate"/>
                            </w:r>
                            <w:r>
                              <w:t>26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"_Toc505350019" </w:instrText>
                            </w:r>
                            <w:r>
                              <w:fldChar w:fldCharType="separate"/>
                            </w:r>
                            <w:r>
                              <w:rPr>
                                <w:rStyle w:val="24"/>
                                <w:rFonts w:hint="eastAsia" w:ascii="黑体"/>
                              </w:rPr>
                              <w:t>九、</w:t>
                            </w:r>
                            <w:r>
                              <w:rPr>
                                <w:rStyle w:val="24"/>
                                <w:rFonts w:ascii="黑体"/>
                              </w:rPr>
                              <w:t>201</w:t>
                            </w:r>
                            <w:r>
                              <w:rPr>
                                <w:rStyle w:val="24"/>
                                <w:rFonts w:hint="eastAsia" w:ascii="黑体"/>
                                <w:lang w:val="en-US" w:eastAsia="zh-CN"/>
                              </w:rPr>
                              <w:t>8</w:t>
                            </w:r>
                            <w:r>
                              <w:rPr>
                                <w:rStyle w:val="24"/>
                                <w:rFonts w:hint="eastAsia" w:ascii="黑体"/>
                              </w:rPr>
                              <w:t>年</w:t>
                            </w:r>
                            <w:r>
                              <w:rPr>
                                <w:rStyle w:val="24"/>
                                <w:rFonts w:ascii="黑体"/>
                              </w:rPr>
                              <w:t>1</w:t>
                            </w:r>
                            <w:r>
                              <w:rPr>
                                <w:rStyle w:val="24"/>
                                <w:rFonts w:hint="eastAsia" w:ascii="黑体"/>
                              </w:rPr>
                              <w:t>月中国溶剂油、石脑油进出口数据统计</w:t>
                            </w:r>
                            <w:r>
                              <w:tab/>
                            </w:r>
                            <w:r>
                              <w:fldChar w:fldCharType="begin"/>
                            </w:r>
                            <w:r>
                              <w:instrText xml:space="preserve"> PAGEREF _Toc505350019 \h </w:instrText>
                            </w:r>
                            <w:r>
                              <w:fldChar w:fldCharType="separate"/>
                            </w:r>
                            <w:r>
                              <w:t>26</w:t>
                            </w:r>
                            <w:r>
                              <w:fldChar w:fldCharType="end"/>
                            </w:r>
                            <w:r>
                              <w:fldChar w:fldCharType="end"/>
                            </w:r>
                          </w:p>
                          <w:p>
                            <w:r>
                              <w:rPr>
                                <w:rFonts w:ascii="宋体" w:hAnsi="宋体"/>
                              </w:rPr>
                              <w:fldChar w:fldCharType="end"/>
                            </w:r>
                          </w:p>
                        </w:txbxContent>
                      </wps:txbx>
                      <wps:bodyPr upright="1"/>
                    </wps:wsp>
                  </a:graphicData>
                </a:graphic>
              </wp:anchor>
            </w:drawing>
          </mc:Choice>
          <mc:Fallback>
            <w:pict>
              <v:shape id="文本框 4" o:spid="_x0000_s1026" o:spt="202" type="#_x0000_t202" style="position:absolute;left:0pt;margin-left:-0.9pt;margin-top:34.7pt;height:642.7pt;width:489.15pt;z-index:251659264;mso-width-relative:page;mso-height-relative:page;" filled="f" stroked="f" coordsize="21600,21600"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gbKUrYAAAACgEAAA8AAAAAAAAA&#10;AQAgAAAAIgAAAGRycy9kb3ducmV2LnhtbFBLAQIUABQAAAAIAIdO4kD5X7+InwEAABgDAAAOAAAA&#10;AAAAAAEAIAAAACcBAABkcnMvZTJvRG9jLnhtbFBLBQYAAAAABgAGAFkBAAA4BQAAAAA=&#10;">
                <v:fill on="f" focussize="0,0"/>
                <v:stroke on="f"/>
                <v:imagedata o:title=""/>
                <o:lock v:ext="edit" aspectratio="f"/>
                <v:textbox>
                  <w:txbxContent>
                    <w:p>
                      <w:pPr>
                        <w:pStyle w:val="55"/>
                        <w:spacing w:line="480" w:lineRule="auto"/>
                        <w:jc w:val="center"/>
                        <w:rPr>
                          <w:rFonts w:ascii="宋体" w:hAnsi="宋体"/>
                          <w:b/>
                          <w:sz w:val="28"/>
                          <w:szCs w:val="28"/>
                          <w:lang w:eastAsia="zh-CN"/>
                        </w:rPr>
                      </w:pPr>
                      <w:r>
                        <w:rPr>
                          <w:rFonts w:hint="eastAsia" w:ascii="宋体" w:hAnsi="宋体"/>
                          <w:b/>
                          <w:sz w:val="28"/>
                          <w:szCs w:val="28"/>
                          <w:lang w:eastAsia="zh-CN"/>
                        </w:rPr>
                        <w:t>溶剂油市场周报目录</w:t>
                      </w:r>
                    </w:p>
                    <w:p>
                      <w:pPr>
                        <w:pStyle w:val="14"/>
                        <w:rPr>
                          <w:rFonts w:asciiTheme="minorHAnsi" w:hAnsiTheme="minorHAnsi" w:eastAsiaTheme="minorEastAsia" w:cstheme="minorBidi"/>
                          <w:b w:val="0"/>
                          <w:bCs w:val="0"/>
                          <w:caps w:val="0"/>
                          <w:color w:val="auto"/>
                          <w:sz w:val="21"/>
                          <w:szCs w:val="22"/>
                        </w:rPr>
                      </w:pPr>
                      <w:r>
                        <w:rPr>
                          <w:sz w:val="20"/>
                        </w:rPr>
                        <w:fldChar w:fldCharType="begin"/>
                      </w:r>
                      <w:r>
                        <w:rPr>
                          <w:sz w:val="20"/>
                        </w:rPr>
                        <w:instrText xml:space="preserve"> TOC \o "1-3" \h \z \u </w:instrText>
                      </w:r>
                      <w:r>
                        <w:rPr>
                          <w:sz w:val="20"/>
                        </w:rPr>
                        <w:fldChar w:fldCharType="separate"/>
                      </w:r>
                      <w:r>
                        <w:fldChar w:fldCharType="begin"/>
                      </w:r>
                      <w:r>
                        <w:instrText xml:space="preserve"> HYPERLINK "file:///C:\\Users\\Administrator\\Desktop\\原油\\周报、月报\\溶剂油（石脑油）周报2-2.docx" \l "_Toc505349996" </w:instrText>
                      </w:r>
                      <w:r>
                        <w:fldChar w:fldCharType="separate"/>
                      </w:r>
                      <w:r>
                        <w:fldChar w:fldCharType="end"/>
                      </w:r>
                      <w:r>
                        <w:fldChar w:fldCharType="begin"/>
                      </w:r>
                      <w:r>
                        <w:instrText xml:space="preserve"> HYPERLINK \l "_Toc505349997" </w:instrText>
                      </w:r>
                      <w:r>
                        <w:fldChar w:fldCharType="separate"/>
                      </w:r>
                      <w:r>
                        <w:rPr>
                          <w:rStyle w:val="24"/>
                          <w:rFonts w:hint="eastAsia" w:ascii="黑体"/>
                        </w:rPr>
                        <w:t>一、国际原油</w:t>
                      </w:r>
                      <w:r>
                        <w:tab/>
                      </w:r>
                      <w:r>
                        <w:fldChar w:fldCharType="begin"/>
                      </w:r>
                      <w:r>
                        <w:instrText xml:space="preserve"> PAGEREF _Toc505349997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"_Toc505349998" </w:instrText>
                      </w:r>
                      <w:r>
                        <w:fldChar w:fldCharType="separate"/>
                      </w:r>
                      <w:r>
                        <w:rPr>
                          <w:rStyle w:val="24"/>
                          <w:rFonts w:hint="eastAsia" w:ascii="黑体" w:eastAsia="黑体" w:cs="Arial"/>
                          <w:bCs/>
                          <w:kern w:val="0"/>
                        </w:rPr>
                        <w:t>（一）、国际原油市场回顾</w:t>
                      </w:r>
                      <w:r>
                        <w:tab/>
                      </w:r>
                      <w:r>
                        <w:fldChar w:fldCharType="begin"/>
                      </w:r>
                      <w:r>
                        <w:instrText xml:space="preserve"> PAGEREF _Toc505349998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"_Toc505349999" </w:instrText>
                      </w:r>
                      <w:r>
                        <w:fldChar w:fldCharType="separate"/>
                      </w:r>
                      <w:r>
                        <w:rPr>
                          <w:rStyle w:val="24"/>
                          <w:rFonts w:ascii="黑体" w:eastAsia="黑体"/>
                          <w:kern w:val="0"/>
                        </w:rPr>
                        <w:t xml:space="preserve">1.1  </w:t>
                      </w:r>
                      <w:r>
                        <w:rPr>
                          <w:rStyle w:val="24"/>
                          <w:rFonts w:hint="eastAsia" w:ascii="黑体" w:eastAsia="黑体" w:cs="Arial"/>
                          <w:kern w:val="0"/>
                        </w:rPr>
                        <w:t>国际原油收盘价涨跌情况（单位：美元</w:t>
                      </w:r>
                      <w:r>
                        <w:rPr>
                          <w:rStyle w:val="24"/>
                          <w:rFonts w:ascii="黑体" w:eastAsia="黑体" w:cs="Arial"/>
                          <w:kern w:val="0"/>
                        </w:rPr>
                        <w:t>/</w:t>
                      </w:r>
                      <w:r>
                        <w:rPr>
                          <w:rStyle w:val="24"/>
                          <w:rFonts w:hint="eastAsia" w:ascii="黑体" w:eastAsia="黑体" w:cs="Arial"/>
                          <w:kern w:val="0"/>
                        </w:rPr>
                        <w:t>桶）</w:t>
                      </w:r>
                      <w:r>
                        <w:tab/>
                      </w:r>
                      <w:r>
                        <w:fldChar w:fldCharType="begin"/>
                      </w:r>
                      <w:r>
                        <w:instrText xml:space="preserve"> PAGEREF _Toc505349999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"_Toc505350000" </w:instrText>
                      </w:r>
                      <w:r>
                        <w:fldChar w:fldCharType="separate"/>
                      </w:r>
                      <w:r>
                        <w:rPr>
                          <w:rStyle w:val="24"/>
                          <w:rFonts w:ascii="黑体" w:eastAsia="黑体"/>
                        </w:rPr>
                        <w:t xml:space="preserve">1.2  </w:t>
                      </w:r>
                      <w:r>
                        <w:rPr>
                          <w:rStyle w:val="24"/>
                          <w:rFonts w:hint="eastAsia" w:ascii="黑体" w:eastAsia="黑体"/>
                        </w:rPr>
                        <w:t>国际原油市场价格走势图</w:t>
                      </w:r>
                      <w:r>
                        <w:tab/>
                      </w:r>
                      <w:r>
                        <w:fldChar w:fldCharType="begin"/>
                      </w:r>
                      <w:r>
                        <w:instrText xml:space="preserve"> PAGEREF _Toc505350000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"_Toc505350001" </w:instrText>
                      </w:r>
                      <w:r>
                        <w:fldChar w:fldCharType="separate"/>
                      </w:r>
                      <w:r>
                        <w:rPr>
                          <w:rStyle w:val="24"/>
                          <w:rFonts w:hint="eastAsia" w:ascii="黑体" w:eastAsia="黑体"/>
                        </w:rPr>
                        <w:t>（二）</w:t>
                      </w:r>
                      <w:r>
                        <w:rPr>
                          <w:rStyle w:val="24"/>
                          <w:rFonts w:ascii="黑体" w:eastAsia="黑体"/>
                        </w:rPr>
                        <w:t>.</w:t>
                      </w:r>
                      <w:r>
                        <w:rPr>
                          <w:rStyle w:val="24"/>
                          <w:rFonts w:hint="eastAsia" w:ascii="黑体" w:eastAsia="黑体"/>
                        </w:rPr>
                        <w:t>近期影响国际原油市场的主要因素</w:t>
                      </w:r>
                      <w:r>
                        <w:tab/>
                      </w:r>
                      <w:r>
                        <w:fldChar w:fldCharType="begin"/>
                      </w:r>
                      <w:r>
                        <w:instrText xml:space="preserve"> PAGEREF _Toc505350001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"_Toc505350002" </w:instrText>
                      </w:r>
                      <w:r>
                        <w:fldChar w:fldCharType="separate"/>
                      </w:r>
                      <w:r>
                        <w:rPr>
                          <w:rStyle w:val="24"/>
                          <w:rFonts w:ascii="黑体" w:eastAsia="黑体"/>
                        </w:rPr>
                        <w:t>1</w:t>
                      </w:r>
                      <w:r>
                        <w:rPr>
                          <w:rStyle w:val="24"/>
                          <w:rFonts w:hint="eastAsia" w:ascii="黑体" w:eastAsia="黑体"/>
                        </w:rPr>
                        <w:t>、美国原油库存情况</w:t>
                      </w:r>
                      <w:r>
                        <w:tab/>
                      </w:r>
                      <w:r>
                        <w:fldChar w:fldCharType="begin"/>
                      </w:r>
                      <w:r>
                        <w:instrText xml:space="preserve"> PAGEREF _Toc505350002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"_Toc505350003" </w:instrText>
                      </w:r>
                      <w:r>
                        <w:fldChar w:fldCharType="separate"/>
                      </w:r>
                      <w:r>
                        <w:rPr>
                          <w:rStyle w:val="24"/>
                          <w:rFonts w:ascii="黑体" w:eastAsia="黑体"/>
                        </w:rPr>
                        <w:t>2</w:t>
                      </w:r>
                      <w:r>
                        <w:rPr>
                          <w:rStyle w:val="24"/>
                          <w:rFonts w:hint="eastAsia" w:ascii="黑体" w:eastAsia="黑体"/>
                        </w:rPr>
                        <w:t>、美国经济形势</w:t>
                      </w:r>
                      <w:r>
                        <w:tab/>
                      </w:r>
                      <w:r>
                        <w:fldChar w:fldCharType="begin"/>
                      </w:r>
                      <w:r>
                        <w:instrText xml:space="preserve"> PAGEREF _Toc505350003 \h </w:instrText>
                      </w:r>
                      <w:r>
                        <w:fldChar w:fldCharType="separate"/>
                      </w:r>
                      <w:r>
                        <w:t>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"_Toc505350004" </w:instrText>
                      </w:r>
                      <w:r>
                        <w:fldChar w:fldCharType="separate"/>
                      </w:r>
                      <w:r>
                        <w:rPr>
                          <w:rStyle w:val="24"/>
                          <w:rFonts w:ascii="黑体" w:eastAsia="黑体"/>
                        </w:rPr>
                        <w:t>3</w:t>
                      </w:r>
                      <w:r>
                        <w:rPr>
                          <w:rStyle w:val="24"/>
                          <w:rFonts w:hint="eastAsia" w:ascii="黑体" w:eastAsia="黑体"/>
                        </w:rPr>
                        <w:t>、世界经济形势</w:t>
                      </w:r>
                      <w:r>
                        <w:tab/>
                      </w:r>
                      <w:r>
                        <w:fldChar w:fldCharType="begin"/>
                      </w:r>
                      <w:r>
                        <w:instrText xml:space="preserve"> PAGEREF _Toc505350004 \h </w:instrText>
                      </w:r>
                      <w:r>
                        <w:fldChar w:fldCharType="separate"/>
                      </w:r>
                      <w:r>
                        <w:t>10</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"_Toc505350005" </w:instrText>
                      </w:r>
                      <w:r>
                        <w:fldChar w:fldCharType="separate"/>
                      </w:r>
                      <w:r>
                        <w:rPr>
                          <w:rStyle w:val="24"/>
                          <w:rFonts w:hint="eastAsia" w:ascii="仿宋_GB2312" w:eastAsia="仿宋_GB2312"/>
                        </w:rPr>
                        <w:t>（三）</w:t>
                      </w:r>
                      <w:r>
                        <w:rPr>
                          <w:rStyle w:val="24"/>
                          <w:rFonts w:hint="eastAsia" w:cs="Arial"/>
                          <w:bCs/>
                          <w:kern w:val="0"/>
                        </w:rPr>
                        <w:t>、</w:t>
                      </w:r>
                      <w:r>
                        <w:rPr>
                          <w:rStyle w:val="24"/>
                          <w:rFonts w:cs="Arial"/>
                          <w:bCs/>
                          <w:kern w:val="0"/>
                        </w:rPr>
                        <w:t>201</w:t>
                      </w:r>
                      <w:r>
                        <w:rPr>
                          <w:rStyle w:val="24"/>
                          <w:rFonts w:hint="eastAsia" w:cs="Arial"/>
                          <w:bCs/>
                          <w:kern w:val="0"/>
                          <w:lang w:val="en-US" w:eastAsia="zh-CN"/>
                        </w:rPr>
                        <w:t>8</w:t>
                      </w:r>
                      <w:r>
                        <w:rPr>
                          <w:rStyle w:val="24"/>
                          <w:rFonts w:hint="eastAsia" w:cs="Arial"/>
                          <w:bCs/>
                          <w:kern w:val="0"/>
                        </w:rPr>
                        <w:t>年</w:t>
                      </w:r>
                      <w:r>
                        <w:rPr>
                          <w:rStyle w:val="24"/>
                          <w:rFonts w:hint="eastAsia" w:cs="Arial"/>
                          <w:bCs/>
                          <w:kern w:val="0"/>
                          <w:lang w:val="en-US" w:eastAsia="zh-CN"/>
                        </w:rPr>
                        <w:t>3</w:t>
                      </w:r>
                      <w:r>
                        <w:rPr>
                          <w:rStyle w:val="24"/>
                          <w:rFonts w:hint="eastAsia" w:cs="Arial"/>
                          <w:bCs/>
                          <w:kern w:val="0"/>
                        </w:rPr>
                        <w:t>月份全国原油进出口统计数据</w:t>
                      </w:r>
                      <w:r>
                        <w:tab/>
                      </w:r>
                      <w:r>
                        <w:fldChar w:fldCharType="begin"/>
                      </w:r>
                      <w:r>
                        <w:instrText xml:space="preserve"> PAGEREF _Toc505350005 \h </w:instrText>
                      </w:r>
                      <w:r>
                        <w:fldChar w:fldCharType="separate"/>
                      </w:r>
                      <w:r>
                        <w:t>13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"_Toc505350006" </w:instrText>
                      </w:r>
                      <w:r>
                        <w:fldChar w:fldCharType="separate"/>
                      </w:r>
                      <w:r>
                        <w:rPr>
                          <w:rStyle w:val="24"/>
                          <w:rFonts w:hint="eastAsia" w:ascii="仿宋_GB2312" w:eastAsia="仿宋_GB2312" w:cs="Arial"/>
                          <w:bCs/>
                          <w:kern w:val="0"/>
                        </w:rPr>
                        <w:t>（四）、后市预测</w:t>
                      </w:r>
                      <w:r>
                        <w:tab/>
                      </w:r>
                      <w:r>
                        <w:fldChar w:fldCharType="begin"/>
                      </w:r>
                      <w:r>
                        <w:instrText xml:space="preserve"> PAGEREF _Toc505350006 \h </w:instrText>
                      </w:r>
                      <w:r>
                        <w:fldChar w:fldCharType="separate"/>
                      </w:r>
                      <w:r>
                        <w:t>13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"_Toc505350007" </w:instrText>
                      </w:r>
                      <w:r>
                        <w:fldChar w:fldCharType="separate"/>
                      </w:r>
                      <w:r>
                        <w:rPr>
                          <w:rStyle w:val="24"/>
                          <w:rFonts w:hint="eastAsia" w:ascii="黑体" w:eastAsia="黑体"/>
                        </w:rPr>
                        <w:t>二、</w:t>
                      </w:r>
                      <w:r>
                        <w:rPr>
                          <w:rStyle w:val="24"/>
                          <w:rFonts w:ascii="黑体" w:eastAsia="黑体"/>
                        </w:rPr>
                        <w:t xml:space="preserve"> </w:t>
                      </w:r>
                      <w:r>
                        <w:rPr>
                          <w:rStyle w:val="24"/>
                          <w:rFonts w:hint="eastAsia" w:ascii="黑体" w:eastAsia="黑体"/>
                        </w:rPr>
                        <w:t>石脑油</w:t>
                      </w:r>
                      <w:r>
                        <w:tab/>
                      </w:r>
                      <w:r>
                        <w:fldChar w:fldCharType="begin"/>
                      </w:r>
                      <w:r>
                        <w:instrText xml:space="preserve"> PAGEREF _Toc505350007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"_Toc505350008" </w:instrText>
                      </w:r>
                      <w:r>
                        <w:fldChar w:fldCharType="separate"/>
                      </w:r>
                      <w:r>
                        <w:rPr>
                          <w:rStyle w:val="24"/>
                        </w:rPr>
                        <w:t>2.1</w:t>
                      </w:r>
                      <w:r>
                        <w:rPr>
                          <w:rStyle w:val="24"/>
                          <w:rFonts w:hint="eastAsia"/>
                          <w:kern w:val="0"/>
                        </w:rPr>
                        <w:t>国际石脑油市场价格</w:t>
                      </w:r>
                      <w:r>
                        <w:tab/>
                      </w:r>
                      <w:r>
                        <w:fldChar w:fldCharType="begin"/>
                      </w:r>
                      <w:r>
                        <w:instrText xml:space="preserve"> PAGEREF _Toc505350008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"_Toc505350009" </w:instrText>
                      </w:r>
                      <w:r>
                        <w:fldChar w:fldCharType="separate"/>
                      </w:r>
                      <w:r>
                        <w:rPr>
                          <w:rStyle w:val="24"/>
                          <w:rFonts w:ascii="黑体" w:hAnsi="Times New Roman" w:eastAsia="黑体"/>
                        </w:rPr>
                        <w:t>2.</w:t>
                      </w:r>
                      <w:r>
                        <w:rPr>
                          <w:rStyle w:val="24"/>
                          <w:rFonts w:ascii="黑体" w:eastAsia="黑体"/>
                        </w:rPr>
                        <w:t>2</w:t>
                      </w:r>
                      <w:r>
                        <w:rPr>
                          <w:rStyle w:val="24"/>
                          <w:rFonts w:hint="eastAsia" w:ascii="黑体" w:eastAsia="黑体"/>
                        </w:rPr>
                        <w:t>地炼石脑油市场</w:t>
                      </w:r>
                      <w:r>
                        <w:tab/>
                      </w:r>
                      <w:r>
                        <w:fldChar w:fldCharType="begin"/>
                      </w:r>
                      <w:r>
                        <w:instrText xml:space="preserve"> PAGEREF _Toc505350009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"_Toc505350010" </w:instrText>
                      </w:r>
                      <w:r>
                        <w:fldChar w:fldCharType="separate"/>
                      </w:r>
                      <w:r>
                        <w:rPr>
                          <w:rStyle w:val="24"/>
                          <w:rFonts w:asciiTheme="minorEastAsia" w:hAnsiTheme="minorEastAsia"/>
                        </w:rPr>
                        <w:t>2.3</w:t>
                      </w:r>
                      <w:r>
                        <w:rPr>
                          <w:rStyle w:val="24"/>
                          <w:rFonts w:hint="eastAsia" w:asciiTheme="minorEastAsia" w:hAnsiTheme="minorEastAsia"/>
                        </w:rPr>
                        <w:t>本周国内石脑油价格汇总</w:t>
                      </w:r>
                      <w:r>
                        <w:tab/>
                      </w:r>
                      <w:r>
                        <w:fldChar w:fldCharType="begin"/>
                      </w:r>
                      <w:r>
                        <w:instrText xml:space="preserve"> PAGEREF _Toc505350010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"_Toc505350011" </w:instrText>
                      </w:r>
                      <w:r>
                        <w:fldChar w:fldCharType="separate"/>
                      </w:r>
                      <w:r>
                        <w:rPr>
                          <w:rStyle w:val="24"/>
                          <w:rFonts w:asciiTheme="minorEastAsia" w:hAnsiTheme="minorEastAsia"/>
                        </w:rPr>
                        <w:t>2.4</w:t>
                      </w:r>
                      <w:r>
                        <w:rPr>
                          <w:rStyle w:val="24"/>
                          <w:rFonts w:hint="eastAsia" w:asciiTheme="minorEastAsia" w:hAnsiTheme="minorEastAsia"/>
                        </w:rPr>
                        <w:t>山东地炼石脑油价格走势图</w:t>
                      </w:r>
                      <w:r>
                        <w:tab/>
                      </w:r>
                      <w:r>
                        <w:fldChar w:fldCharType="begin"/>
                      </w:r>
                      <w:r>
                        <w:instrText xml:space="preserve"> PAGEREF _Toc505350011 \h </w:instrText>
                      </w:r>
                      <w:r>
                        <w:fldChar w:fldCharType="separate"/>
                      </w:r>
                      <w:r>
                        <w:t>16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"_Toc505350012" </w:instrText>
                      </w:r>
                      <w:r>
                        <w:fldChar w:fldCharType="separate"/>
                      </w:r>
                      <w:r>
                        <w:rPr>
                          <w:rStyle w:val="24"/>
                          <w:rFonts w:hint="eastAsia" w:ascii="黑体" w:eastAsia="黑体"/>
                        </w:rPr>
                        <w:t>三、本周国内油品市场分析及预测</w:t>
                      </w:r>
                      <w:r>
                        <w:tab/>
                      </w:r>
                      <w:r>
                        <w:fldChar w:fldCharType="begin"/>
                      </w:r>
                      <w:r>
                        <w:instrText xml:space="preserve"> PAGEREF _Toc505350012 \h </w:instrText>
                      </w:r>
                      <w:r>
                        <w:fldChar w:fldCharType="separate"/>
                      </w:r>
                      <w:r>
                        <w:t>16</w:t>
                      </w:r>
                      <w:r>
                        <w:fldChar w:fldCharType="end"/>
                      </w:r>
                      <w:r>
                        <w:fldChar w:fldCharType="end"/>
                      </w:r>
                    </w:p>
                    <w:p>
                      <w:pPr>
                        <w:pStyle w:val="14"/>
                        <w:ind w:firstLine="241" w:firstLineChars="100"/>
                        <w:rPr>
                          <w:rFonts w:asciiTheme="minorHAnsi" w:hAnsiTheme="minorHAnsi" w:eastAsiaTheme="minorEastAsia" w:cstheme="minorBidi"/>
                          <w:b w:val="0"/>
                          <w:bCs w:val="0"/>
                          <w:caps w:val="0"/>
                          <w:color w:val="auto"/>
                          <w:sz w:val="21"/>
                          <w:szCs w:val="22"/>
                        </w:rPr>
                      </w:pPr>
                      <w:r>
                        <w:fldChar w:fldCharType="begin"/>
                      </w:r>
                      <w:r>
                        <w:instrText xml:space="preserve"> HYPERLINK \l "_Toc505350013" </w:instrText>
                      </w:r>
                      <w:r>
                        <w:fldChar w:fldCharType="separate"/>
                      </w:r>
                      <w:r>
                        <w:rPr>
                          <w:rStyle w:val="24"/>
                          <w:rFonts w:ascii="黑体" w:hAnsi="黑体"/>
                        </w:rPr>
                        <w:t>3</w:t>
                      </w:r>
                      <w:r>
                        <w:rPr>
                          <w:rStyle w:val="24"/>
                          <w:rFonts w:hint="eastAsia" w:ascii="黑体" w:hAnsi="黑体"/>
                          <w:lang w:val="en-US" w:eastAsia="zh-CN"/>
                        </w:rPr>
                        <w:t>.</w:t>
                      </w:r>
                      <w:r>
                        <w:rPr>
                          <w:rStyle w:val="24"/>
                          <w:rFonts w:ascii="黑体" w:hAnsi="黑体"/>
                        </w:rPr>
                        <w:t xml:space="preserve">1  </w:t>
                      </w:r>
                      <w:r>
                        <w:rPr>
                          <w:rStyle w:val="24"/>
                          <w:rFonts w:hint="eastAsia" w:ascii="黑体" w:hAnsi="黑体"/>
                        </w:rPr>
                        <w:t>成品油市场动态</w:t>
                      </w:r>
                      <w:r>
                        <w:tab/>
                      </w:r>
                      <w:r>
                        <w:fldChar w:fldCharType="begin"/>
                      </w:r>
                      <w:r>
                        <w:instrText xml:space="preserve"> PAGEREF _Toc505350013 \h </w:instrText>
                      </w:r>
                      <w:r>
                        <w:fldChar w:fldCharType="separate"/>
                      </w:r>
                      <w:r>
                        <w:t>17</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"_Toc505350014" </w:instrText>
                      </w:r>
                      <w:r>
                        <w:fldChar w:fldCharType="separate"/>
                      </w:r>
                      <w:r>
                        <w:rPr>
                          <w:rStyle w:val="24"/>
                          <w:rFonts w:hint="eastAsia" w:ascii="黑体"/>
                        </w:rPr>
                        <w:t>四、国内溶剂油市场综述</w:t>
                      </w:r>
                      <w:r>
                        <w:tab/>
                      </w:r>
                      <w:r>
                        <w:fldChar w:fldCharType="begin"/>
                      </w:r>
                      <w:r>
                        <w:instrText xml:space="preserve"> PAGEREF _Toc505350014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"_Toc505350015" </w:instrText>
                      </w:r>
                      <w:r>
                        <w:fldChar w:fldCharType="separate"/>
                      </w:r>
                      <w:r>
                        <w:rPr>
                          <w:rStyle w:val="24"/>
                          <w:rFonts w:hint="eastAsia" w:ascii="黑体"/>
                        </w:rPr>
                        <w:t>五、本周国内炼厂溶剂油产品价格对比</w:t>
                      </w:r>
                      <w:r>
                        <w:tab/>
                      </w:r>
                      <w:r>
                        <w:fldChar w:fldCharType="begin"/>
                      </w:r>
                      <w:r>
                        <w:instrText xml:space="preserve"> PAGEREF _Toc505350015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"_Toc505350016" </w:instrText>
                      </w:r>
                      <w:r>
                        <w:fldChar w:fldCharType="separate"/>
                      </w:r>
                      <w:r>
                        <w:rPr>
                          <w:rStyle w:val="24"/>
                          <w:rFonts w:hint="eastAsia" w:ascii="黑体"/>
                        </w:rPr>
                        <w:t>六、</w:t>
                      </w:r>
                      <w:r>
                        <w:rPr>
                          <w:rStyle w:val="24"/>
                          <w:rFonts w:ascii="黑体"/>
                        </w:rPr>
                        <w:t>D</w:t>
                      </w:r>
                      <w:r>
                        <w:rPr>
                          <w:rStyle w:val="24"/>
                          <w:rFonts w:hint="eastAsia" w:ascii="黑体"/>
                        </w:rPr>
                        <w:t>系列特种溶剂油</w:t>
                      </w:r>
                      <w:r>
                        <w:tab/>
                      </w:r>
                      <w:r>
                        <w:fldChar w:fldCharType="begin"/>
                      </w:r>
                      <w:r>
                        <w:instrText xml:space="preserve"> PAGEREF _Toc505350016 \h </w:instrText>
                      </w:r>
                      <w:r>
                        <w:fldChar w:fldCharType="separate"/>
                      </w:r>
                      <w:r>
                        <w:t>23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"_Toc505350017" </w:instrText>
                      </w:r>
                      <w:r>
                        <w:fldChar w:fldCharType="separate"/>
                      </w:r>
                      <w:r>
                        <w:rPr>
                          <w:rStyle w:val="24"/>
                          <w:rFonts w:hint="eastAsia" w:ascii="黑体"/>
                        </w:rPr>
                        <w:t>七、重芳烃溶剂油</w:t>
                      </w:r>
                      <w:r>
                        <w:tab/>
                      </w:r>
                      <w:r>
                        <w:fldChar w:fldCharType="begin"/>
                      </w:r>
                      <w:r>
                        <w:instrText xml:space="preserve"> PAGEREF _Toc505350017 \h </w:instrText>
                      </w:r>
                      <w:r>
                        <w:fldChar w:fldCharType="separate"/>
                      </w:r>
                      <w:r>
                        <w:t>25</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"_Toc505350018" </w:instrText>
                      </w:r>
                      <w:r>
                        <w:fldChar w:fldCharType="separate"/>
                      </w:r>
                      <w:r>
                        <w:rPr>
                          <w:rStyle w:val="24"/>
                          <w:rFonts w:hint="eastAsia" w:ascii="黑体"/>
                        </w:rPr>
                        <w:t>八、正己烷</w:t>
                      </w:r>
                      <w:r>
                        <w:tab/>
                      </w:r>
                      <w:r>
                        <w:fldChar w:fldCharType="begin"/>
                      </w:r>
                      <w:r>
                        <w:instrText xml:space="preserve"> PAGEREF _Toc505350018 \h </w:instrText>
                      </w:r>
                      <w:r>
                        <w:fldChar w:fldCharType="separate"/>
                      </w:r>
                      <w:r>
                        <w:t>26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"_Toc505350019" </w:instrText>
                      </w:r>
                      <w:r>
                        <w:fldChar w:fldCharType="separate"/>
                      </w:r>
                      <w:r>
                        <w:rPr>
                          <w:rStyle w:val="24"/>
                          <w:rFonts w:hint="eastAsia" w:ascii="黑体"/>
                        </w:rPr>
                        <w:t>九、</w:t>
                      </w:r>
                      <w:r>
                        <w:rPr>
                          <w:rStyle w:val="24"/>
                          <w:rFonts w:ascii="黑体"/>
                        </w:rPr>
                        <w:t>201</w:t>
                      </w:r>
                      <w:r>
                        <w:rPr>
                          <w:rStyle w:val="24"/>
                          <w:rFonts w:hint="eastAsia" w:ascii="黑体"/>
                          <w:lang w:val="en-US" w:eastAsia="zh-CN"/>
                        </w:rPr>
                        <w:t>8</w:t>
                      </w:r>
                      <w:r>
                        <w:rPr>
                          <w:rStyle w:val="24"/>
                          <w:rFonts w:hint="eastAsia" w:ascii="黑体"/>
                        </w:rPr>
                        <w:t>年</w:t>
                      </w:r>
                      <w:r>
                        <w:rPr>
                          <w:rStyle w:val="24"/>
                          <w:rFonts w:ascii="黑体"/>
                        </w:rPr>
                        <w:t>1</w:t>
                      </w:r>
                      <w:r>
                        <w:rPr>
                          <w:rStyle w:val="24"/>
                          <w:rFonts w:hint="eastAsia" w:ascii="黑体"/>
                        </w:rPr>
                        <w:t>月中国溶剂油、石脑油进出口数据统计</w:t>
                      </w:r>
                      <w:r>
                        <w:tab/>
                      </w:r>
                      <w:r>
                        <w:fldChar w:fldCharType="begin"/>
                      </w:r>
                      <w:r>
                        <w:instrText xml:space="preserve"> PAGEREF _Toc505350019 \h </w:instrText>
                      </w:r>
                      <w:r>
                        <w:fldChar w:fldCharType="separate"/>
                      </w:r>
                      <w:r>
                        <w:t>26</w:t>
                      </w:r>
                      <w:r>
                        <w:fldChar w:fldCharType="end"/>
                      </w:r>
                      <w:r>
                        <w:fldChar w:fldCharType="end"/>
                      </w:r>
                    </w:p>
                    <w:p>
                      <w:r>
                        <w:rPr>
                          <w:rFonts w:ascii="宋体" w:hAnsi="宋体"/>
                        </w:rPr>
                        <w:fldChar w:fldCharType="end"/>
                      </w:r>
                    </w:p>
                  </w:txbxContent>
                </v:textbox>
              </v:shape>
            </w:pict>
          </mc:Fallback>
        </mc:AlternateContent>
      </w:r>
      <w:r>
        <w:br w:type="page"/>
      </w:r>
      <w:bookmarkEnd w:id="0"/>
      <w:bookmarkStart w:id="1" w:name="_Toc460250399"/>
      <w:bookmarkStart w:id="2" w:name="_Toc505349997"/>
      <w:r>
        <w:rPr>
          <w:rFonts w:hint="eastAsia" w:ascii="黑体" w:hAnsi="宋体"/>
          <w:b/>
          <w:sz w:val="32"/>
          <w:szCs w:val="32"/>
        </w:rPr>
        <w:t>一、国际原油</w:t>
      </w:r>
      <w:bookmarkEnd w:id="1"/>
      <w:bookmarkEnd w:id="2"/>
    </w:p>
    <w:p>
      <w:pPr>
        <w:outlineLvl w:val="1"/>
        <w:rPr>
          <w:b/>
          <w:sz w:val="32"/>
          <w:szCs w:val="32"/>
        </w:rPr>
      </w:pPr>
      <w:bookmarkStart w:id="3" w:name="_Toc505349998"/>
      <w:r>
        <w:rPr>
          <w:rFonts w:hint="eastAsia" w:ascii="黑体" w:hAnsi="宋体" w:eastAsia="黑体" w:cs="Arial"/>
          <w:b/>
          <w:bCs/>
          <w:kern w:val="0"/>
          <w:sz w:val="30"/>
          <w:szCs w:val="30"/>
        </w:rPr>
        <w:t>（一）、国际原油市场回顾</w:t>
      </w:r>
      <w:bookmarkEnd w:id="3"/>
    </w:p>
    <w:p>
      <w:pPr>
        <w:pStyle w:val="3"/>
        <w:spacing w:line="240" w:lineRule="auto"/>
        <w:ind w:firstLine="298" w:firstLineChars="99"/>
        <w:rPr>
          <w:rFonts w:hint="eastAsia" w:ascii="黑体" w:hAnsi="宋体" w:eastAsia="黑体" w:cs="Arial"/>
          <w:b w:val="0"/>
          <w:kern w:val="0"/>
          <w:sz w:val="30"/>
          <w:szCs w:val="30"/>
        </w:rPr>
      </w:pPr>
      <w:bookmarkStart w:id="4" w:name="_Toc281568195"/>
      <w:bookmarkStart w:id="5" w:name="_Toc296600805"/>
      <w:bookmarkStart w:id="6" w:name="_Toc460250400"/>
      <w:bookmarkStart w:id="7" w:name="_Toc505349999"/>
      <w:r>
        <w:rPr>
          <w:rFonts w:hint="eastAsia" w:ascii="黑体" w:hAnsi="宋体" w:eastAsia="黑体"/>
          <w:kern w:val="0"/>
          <w:sz w:val="30"/>
          <w:szCs w:val="30"/>
        </w:rPr>
        <w:t xml:space="preserve">1. 1  </w:t>
      </w:r>
      <w:bookmarkEnd w:id="4"/>
      <w:bookmarkEnd w:id="5"/>
      <w:bookmarkEnd w:id="6"/>
      <w:r>
        <w:rPr>
          <w:rFonts w:hint="eastAsia" w:ascii="黑体" w:hAnsi="宋体" w:eastAsia="黑体" w:cs="Arial"/>
          <w:b w:val="0"/>
          <w:kern w:val="0"/>
          <w:sz w:val="30"/>
          <w:szCs w:val="30"/>
        </w:rPr>
        <w:t>国际原油收盘价涨跌情况（单位：美元/桶）</w:t>
      </w:r>
      <w:bookmarkEnd w:id="7"/>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21"/>
        <w:gridCol w:w="924"/>
        <w:gridCol w:w="924"/>
        <w:gridCol w:w="6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21"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日期</w:t>
            </w:r>
          </w:p>
        </w:tc>
        <w:tc>
          <w:tcPr>
            <w:tcW w:w="92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纽交所</w:t>
            </w:r>
          </w:p>
        </w:tc>
        <w:tc>
          <w:tcPr>
            <w:tcW w:w="92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伦交所</w:t>
            </w:r>
          </w:p>
        </w:tc>
        <w:tc>
          <w:tcPr>
            <w:tcW w:w="660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影响因素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60" w:hRule="atLeast"/>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2018-5-2</w:t>
            </w:r>
          </w:p>
        </w:tc>
        <w:tc>
          <w:tcPr>
            <w:tcW w:w="924" w:type="dxa"/>
            <w:tcBorders>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67.93</w:t>
            </w:r>
          </w:p>
        </w:tc>
        <w:tc>
          <w:tcPr>
            <w:tcW w:w="924" w:type="dxa"/>
            <w:tcBorders>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73.36</w:t>
            </w:r>
          </w:p>
        </w:tc>
        <w:tc>
          <w:tcPr>
            <w:tcW w:w="6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美元走低增强了以美元计价的石油的投资吸引力，支撑国际油价上涨。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00" w:hRule="atLeast"/>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2018-5-1</w:t>
            </w:r>
          </w:p>
        </w:tc>
        <w:tc>
          <w:tcPr>
            <w:tcW w:w="924" w:type="dxa"/>
            <w:tcBorders>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67.25</w:t>
            </w:r>
          </w:p>
        </w:tc>
        <w:tc>
          <w:tcPr>
            <w:tcW w:w="924" w:type="dxa"/>
            <w:tcBorders>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73.13</w:t>
            </w:r>
          </w:p>
        </w:tc>
        <w:tc>
          <w:tcPr>
            <w:tcW w:w="6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美国2月原油产量创历史新高、以及库存攀升的迹象仍然令油价承压。投资者在美国原油库存前保持谨慎，同时美元强势走高也加大了油价的下行压力。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75" w:hRule="atLeast"/>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2018-4-30</w:t>
            </w:r>
          </w:p>
        </w:tc>
        <w:tc>
          <w:tcPr>
            <w:tcW w:w="924" w:type="dxa"/>
            <w:tcBorders>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68.57</w:t>
            </w:r>
          </w:p>
        </w:tc>
        <w:tc>
          <w:tcPr>
            <w:tcW w:w="924" w:type="dxa"/>
            <w:tcBorders>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75.17</w:t>
            </w:r>
          </w:p>
        </w:tc>
        <w:tc>
          <w:tcPr>
            <w:tcW w:w="6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美国重启伊朗制裁担忧情绪为油价带来支撑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80" w:hRule="atLeast"/>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2018-4-27</w:t>
            </w:r>
          </w:p>
        </w:tc>
        <w:tc>
          <w:tcPr>
            <w:tcW w:w="924" w:type="dxa"/>
            <w:tcBorders>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68.1</w:t>
            </w:r>
          </w:p>
        </w:tc>
        <w:tc>
          <w:tcPr>
            <w:tcW w:w="924" w:type="dxa"/>
            <w:tcBorders>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74.64</w:t>
            </w:r>
          </w:p>
        </w:tc>
        <w:tc>
          <w:tcPr>
            <w:tcW w:w="6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美国油田技术服务公司贝克休斯２７日发布的报告显示，美国页岩油厂商持续增产,美国能源信息局的数据显示，上周美国原油日产量增至１０５９万桶，再次刷新历史新高。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0" w:hRule="atLeast"/>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2018-4-26</w:t>
            </w:r>
          </w:p>
        </w:tc>
        <w:tc>
          <w:tcPr>
            <w:tcW w:w="924" w:type="dxa"/>
            <w:tcBorders>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68.19</w:t>
            </w:r>
          </w:p>
        </w:tc>
        <w:tc>
          <w:tcPr>
            <w:tcW w:w="924" w:type="dxa"/>
            <w:tcBorders>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74.74</w:t>
            </w:r>
          </w:p>
        </w:tc>
        <w:tc>
          <w:tcPr>
            <w:tcW w:w="6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市场对伊朗可能遭受新制裁进而使国际原油供给减少的担忧支撑当天油价上涨。</w:t>
            </w:r>
          </w:p>
        </w:tc>
      </w:tr>
    </w:tbl>
    <w:p/>
    <w:p>
      <w:pPr>
        <w:ind w:firstLine="400" w:firstLineChars="200"/>
        <w:rPr>
          <w:rFonts w:ascii="宋体" w:hAnsi="宋体" w:cs="宋体"/>
          <w:kern w:val="0"/>
          <w:sz w:val="20"/>
          <w:szCs w:val="20"/>
        </w:rPr>
      </w:pPr>
      <w:r>
        <w:rPr>
          <w:rFonts w:hint="eastAsia" w:ascii="宋体" w:hAnsi="宋体" w:cs="宋体"/>
          <w:kern w:val="0"/>
          <w:sz w:val="20"/>
          <w:szCs w:val="20"/>
        </w:rPr>
        <w:t>单位：美元/桶</w:t>
      </w:r>
    </w:p>
    <w:p>
      <w:pPr>
        <w:rPr>
          <w:rFonts w:ascii="宋体" w:hAnsi="宋体" w:cs="宋体"/>
          <w:kern w:val="0"/>
          <w:sz w:val="20"/>
          <w:szCs w:val="20"/>
        </w:rPr>
      </w:pPr>
    </w:p>
    <w:p>
      <w:pPr>
        <w:spacing w:line="360" w:lineRule="auto"/>
        <w:ind w:firstLine="300" w:firstLineChars="100"/>
        <w:outlineLvl w:val="1"/>
        <w:rPr>
          <w:rFonts w:ascii="黑体" w:eastAsia="黑体"/>
          <w:sz w:val="30"/>
          <w:szCs w:val="30"/>
        </w:rPr>
      </w:pPr>
      <w:bookmarkStart w:id="8" w:name="_Toc505350000"/>
      <w:r>
        <w:rPr>
          <w:rFonts w:hint="eastAsia" w:ascii="黑体" w:eastAsia="黑体"/>
          <w:sz w:val="30"/>
          <w:szCs w:val="30"/>
        </w:rPr>
        <w:t>1. 2  国际原油市场价格走势图</w:t>
      </w:r>
      <w:bookmarkEnd w:id="8"/>
    </w:p>
    <w:p>
      <w:pPr>
        <w:spacing w:line="360" w:lineRule="auto"/>
        <w:jc w:val="center"/>
        <w:rPr>
          <w:sz w:val="20"/>
          <w:szCs w:val="20"/>
        </w:rPr>
      </w:pPr>
      <w:r>
        <w:drawing>
          <wp:inline distT="0" distB="0" distL="114300" distR="114300">
            <wp:extent cx="5443220" cy="5076190"/>
            <wp:effectExtent l="0" t="0" r="508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443220" cy="5076190"/>
                    </a:xfrm>
                    <a:prstGeom prst="rect">
                      <a:avLst/>
                    </a:prstGeom>
                    <a:noFill/>
                    <a:ln w="9525">
                      <a:noFill/>
                    </a:ln>
                  </pic:spPr>
                </pic:pic>
              </a:graphicData>
            </a:graphic>
          </wp:inline>
        </w:drawing>
      </w:r>
    </w:p>
    <w:p>
      <w:pPr>
        <w:spacing w:line="360" w:lineRule="auto"/>
        <w:rPr>
          <w:sz w:val="20"/>
          <w:szCs w:val="20"/>
        </w:rPr>
      </w:pPr>
    </w:p>
    <w:p>
      <w:pPr>
        <w:numPr>
          <w:ilvl w:val="0"/>
          <w:numId w:val="1"/>
        </w:numPr>
        <w:ind w:firstLine="298" w:firstLineChars="99"/>
        <w:outlineLvl w:val="1"/>
        <w:rPr>
          <w:rFonts w:ascii="黑体" w:hAnsi="宋体" w:eastAsia="黑体"/>
          <w:b/>
          <w:sz w:val="30"/>
          <w:szCs w:val="30"/>
        </w:rPr>
      </w:pPr>
      <w:bookmarkStart w:id="9" w:name="_Toc460250402"/>
      <w:bookmarkStart w:id="10" w:name="_Toc505350001"/>
      <w:bookmarkStart w:id="11" w:name="_Toc281568199"/>
      <w:bookmarkStart w:id="12" w:name="_Toc296600809"/>
      <w:bookmarkStart w:id="13" w:name="_Toc158203127"/>
      <w:bookmarkStart w:id="14" w:name="_Toc239847712"/>
      <w:r>
        <w:rPr>
          <w:rFonts w:hint="eastAsia" w:ascii="黑体" w:hAnsi="宋体" w:eastAsia="黑体"/>
          <w:b/>
          <w:sz w:val="30"/>
          <w:szCs w:val="30"/>
        </w:rPr>
        <w:t>.近期影响国际原油市场的主要因素</w:t>
      </w:r>
      <w:bookmarkEnd w:id="9"/>
      <w:bookmarkEnd w:id="10"/>
    </w:p>
    <w:p>
      <w:pPr>
        <w:numPr>
          <w:ilvl w:val="0"/>
          <w:numId w:val="2"/>
        </w:numPr>
        <w:outlineLvl w:val="1"/>
        <w:rPr>
          <w:rFonts w:ascii="黑体" w:hAnsi="宋体" w:eastAsia="黑体"/>
          <w:b/>
          <w:sz w:val="28"/>
          <w:szCs w:val="28"/>
        </w:rPr>
      </w:pPr>
      <w:bookmarkStart w:id="15" w:name="_Toc504051939"/>
      <w:r>
        <w:rPr>
          <w:rFonts w:hint="eastAsia" w:ascii="黑体" w:hAnsi="宋体" w:eastAsia="黑体"/>
          <w:b/>
          <w:sz w:val="28"/>
          <w:szCs w:val="28"/>
        </w:rPr>
        <w:t>美国原油库存情况</w:t>
      </w:r>
      <w:bookmarkEnd w:id="15"/>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国能源信息署(EIA)数据显示，上周美国原油产量连涨十周再度刷新纪录高位，美国原油进口量增加、出口量减少，原油净进口量增加。截至4月27日当周，美国原油产量增加3.3万桶/日，至1061.9万桶/日，本周为连续第十周增加。截至4月27日当周，美国原油进口量增加8万桶/日，至854.9万桶/日;原油出口量减少18.3万桶/日，至214.8万桶/日;原油净进口量增加26.3万桶/日，至640.1万桶。美国石油协会(API)数据显示，上周因炼厂减产，美国原油库存增加，汽油库存上升但馏分油库存下降。截至4月27日当周，美国原油库存增加340万桶，调查的分析师预计为增加73.9万桶。NYMEX原油期货交割地库欣-原油库存增加72.5万桶。截至4月27日当周，美国汽油库存增加160万桶，分析师预计减少58.7万桶;馏分油库存减少410万桶，分析师预估减少140万桶。上周美国原油进口增加4.4万桶/日，至820万桶/日。炼厂炼油量下降12.8万桶/日。</w:t>
      </w:r>
    </w:p>
    <w:p>
      <w:pPr>
        <w:pStyle w:val="19"/>
        <w:keepNext w:val="0"/>
        <w:keepLines w:val="0"/>
        <w:widowControl/>
        <w:suppressLineNumbers w:val="0"/>
        <w:wordWrap w:val="0"/>
        <w:spacing w:line="288" w:lineRule="auto"/>
      </w:pPr>
    </w:p>
    <w:p>
      <w:pPr>
        <w:numPr>
          <w:ilvl w:val="0"/>
          <w:numId w:val="0"/>
        </w:numPr>
        <w:outlineLvl w:val="1"/>
        <w:rPr>
          <w:rFonts w:hint="eastAsia" w:ascii="黑体" w:hAnsi="宋体" w:eastAsia="黑体"/>
          <w:b/>
          <w:sz w:val="28"/>
          <w:szCs w:val="28"/>
        </w:rPr>
      </w:pPr>
    </w:p>
    <w:p>
      <w:pPr>
        <w:numPr>
          <w:ilvl w:val="0"/>
          <w:numId w:val="3"/>
        </w:numPr>
        <w:ind w:left="0" w:leftChars="0" w:firstLine="0" w:firstLineChars="0"/>
        <w:outlineLvl w:val="1"/>
        <w:rPr>
          <w:rFonts w:hint="eastAsia" w:ascii="黑体" w:hAnsi="宋体" w:eastAsia="黑体"/>
          <w:b/>
          <w:sz w:val="28"/>
          <w:szCs w:val="28"/>
        </w:rPr>
      </w:pPr>
      <w:bookmarkStart w:id="16" w:name="_Toc504051940"/>
      <w:r>
        <w:rPr>
          <w:rFonts w:hint="eastAsia" w:ascii="黑体" w:hAnsi="宋体" w:eastAsia="黑体"/>
          <w:b/>
          <w:sz w:val="28"/>
          <w:szCs w:val="28"/>
        </w:rPr>
        <w:t>美国经济形势</w:t>
      </w:r>
      <w:bookmarkEnd w:id="16"/>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北京时间3日凌晨，美股周三收跌。美联储维持利率不变，表示正在监控通胀率上涨的情况，同时暗示通胀并未失控。</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美东时间5月2日16：00(北京时间5月3日04：00)，道指跌174.07点，或0.72%，报23，924.98点;标普500指数跌19.13点，或0.72%，报2，635.67点;纳指跌29.81点，或0.42%，报7，100.90点。</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主要股指表现如何?</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美股周三震荡收跌，道指连续第四个交易日下滑。苹果(176.57, 7.47, 4.42%)股价大涨4.4%，但未能提振股指收高。</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市场驱动力量是什么?</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在结束了为期两天的货币政策会议后，美联储周三宣布维持货币利率不变。联邦公开市场委员会(FOMC)发表政策声明称，美联储目前预计“中期内”美国通胀率将“维持在2%左右”。</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声明称，经济前景所面临的风险大致平衡，自2017年第四季度以来，开支温和增长，投资增速强劲，经济活动温和，平均就业增速强劲。经济状况支持进一步渐进加息。</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声明表示：自联邦公开市场委员会3月份会议以来收到的信息显示，劳动力市场继续走强，经济活动一直以温和步伐上升。近几个月里就业增长总体强劲，且失业率也保持在低位。近期的数据显示，居民支出增速比第四季度的强劲步伐有所缓和，而企业固定资产投资继续强劲增长。同比而言，总体通胀率与剔除食品和能源项目的通胀率已经接近2%。基于市场的通胀补偿指标依然处于低位;基于调查的较长期通胀预期指标总体而言几无变化。</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美联储的政策声明公布后，市场认为美联储6月份进一步加息的可能性仍然在95%左右。</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苹果(AAPL)收盘大涨4.4%。这家按市值最大的美国企业在周二晚间宣布第一财季盈利与营收均超出预期。</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与其他许多公司一样，苹果这家iPhone手机生产商的业绩也超出市场预期。但由于许多投资者仍在担心贸易保护主义与其他地缘政治风险，好于预期的企业财报未能推动美股突破近期狭窄的交易范围。</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经济数据</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ADP就业机构宣布美国4月私营机构就业人数增加20.4万。市场平均预期该数字将增加19万。3月份的ADP私营机构就业人数修正为增加22.8万，原先预计数据为增加24.1万。</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ADP私营机构就业数据通常被视为备受关注的美国非农就业数据的前瞻指数。美国劳工部将在本周五公布4月非农就业数据。</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市场人士如何说?</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关于周三美股下跌，券商Baird投资策略师Willie Delwiche表示：“似乎很多利好消息都已经在股价中得到了体现。我们现在关心的是企业财报能否继续超过已经提高了的预期值。”</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DataTrek Research联席创始人Nicholas Colas表示：“市场对此次联储会议的预期很简单：周三不会加息，但联储的政策声明立场会显得更加激进。”</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他表示：“对市场而言，更重要的是这个问题：‘2019年底时的联邦基金基准利率会是多少?’明年还会不会重温‘到底加息3次还是4次?’的辩论?这种状况对今年美股不利，它与股价居高不下以及令人焦虑的长期国债收益率等问题一样，都对美股造成了负面影响。”</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焦点个股</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周二收盘后，苹果公布了截至2018年3月31日的最新一季财报。财报显示，苹果本季度净营收611.37亿美元，高于去年同期的528.96亿美元，增长16%，净利润也从去年同期的110.29亿美元上涨至138.22亿美元，增幅高达25%，是苹果有史以来最好的第二财季。</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Snap(11.03, -3.10, -21.94%)(SNAP)股价重挫21.9%，此前该公司宣布营收及每日活跃用户数量均低于市场预期。</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百胜餐饮集团(80.2, -6.44, -7.43%)(YUM)收跌7.4%，该公司宣布第一财季盈利与营收均超出预期，并重申全年业绩预期。</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CVS Health(CVS)收跌3%，宣布第一财季盈利超出预期，并且销售收入超出预期。</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Southern(SO)宣布第一财季营收超出预期。</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SodaStream International(SODA)宣布第一财季盈利超出预期，同时上调全年业绩指引。</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周三收盘后，卡夫亨氏(KHC)与特斯拉(301.15, 1.23,0.41%)(TSLA)等将公布财报。</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其他市场表现如何?</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周三亚洲市场基本持平。日本日经225指数收跌0.2%。欧洲股市方面，欧洲泛欧绩优300指数周三收盘上涨0.6%;英国富时100指数周三收盘上涨0.29%;德国DAX指数周三收盘上涨1.48%;法国CAC指数周三收盘上涨0.16%;西班牙IBEX指数周三收盘上涨1.04%。</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周三黄金期货价格下跌1.20美元，或0.1%，收于1305.60美元/盎司，为3月1日以来的最低收盘价。美联储公布利率决定与政策声明后，盘后交易中的金价小幅回升至1310.80美元/盎司。</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原油期货价格周三收高。国际货币基金组织(IMF)以委内瑞拉未充分提交经济数据为由威胁将开除该国成员国资格，此消息推动油价攀升。纽约商品交易所6月交割的西德州中质原油(WTI)期货价格上涨68美分，或1%，收于67.93美元/桶。</w:t>
      </w:r>
    </w:p>
    <w:p>
      <w:pPr>
        <w:numPr>
          <w:ilvl w:val="0"/>
          <w:numId w:val="0"/>
        </w:numPr>
        <w:ind w:leftChars="0"/>
        <w:outlineLvl w:val="1"/>
        <w:rPr>
          <w:rFonts w:hint="eastAsia" w:ascii="黑体" w:hAnsi="宋体" w:eastAsia="黑体"/>
          <w:b/>
          <w:sz w:val="28"/>
          <w:szCs w:val="28"/>
        </w:rPr>
      </w:pPr>
    </w:p>
    <w:p>
      <w:pPr>
        <w:pStyle w:val="19"/>
        <w:numPr>
          <w:ilvl w:val="0"/>
          <w:numId w:val="3"/>
        </w:numPr>
        <w:ind w:left="0" w:leftChars="0" w:firstLine="0" w:firstLineChars="0"/>
        <w:outlineLvl w:val="1"/>
        <w:rPr>
          <w:rFonts w:hint="eastAsia" w:ascii="黑体" w:eastAsia="黑体"/>
          <w:b/>
          <w:sz w:val="28"/>
          <w:szCs w:val="28"/>
        </w:rPr>
      </w:pPr>
      <w:bookmarkStart w:id="17" w:name="_Toc504051941"/>
      <w:r>
        <w:rPr>
          <w:rFonts w:hint="eastAsia" w:ascii="黑体" w:eastAsia="黑体"/>
          <w:b/>
          <w:sz w:val="28"/>
          <w:szCs w:val="28"/>
        </w:rPr>
        <w:t>世界经济形势</w:t>
      </w:r>
      <w:bookmarkEnd w:id="17"/>
    </w:p>
    <w:p>
      <w:pPr>
        <w:pStyle w:val="19"/>
        <w:ind w:firstLine="560" w:firstLineChars="200"/>
        <w:rPr>
          <w:rFonts w:ascii="华文仿宋" w:hAnsi="华文仿宋" w:eastAsia="华文仿宋"/>
          <w:sz w:val="28"/>
          <w:szCs w:val="28"/>
        </w:rPr>
      </w:pPr>
      <w:r>
        <w:rPr>
          <w:rFonts w:ascii="华文仿宋" w:hAnsi="华文仿宋" w:eastAsia="华文仿宋"/>
          <w:sz w:val="28"/>
          <w:szCs w:val="28"/>
        </w:rPr>
        <w:t>联合国常务副秘书长阿明娜·穆罕默德27日表示，在世界经济出现普遍增长的时候，出台限制性贸易政策将破坏全球经济增长。她认为国际社会应共同努力，维护一个公平的多边贸易体系。</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当天，中国常驻联合国代表团与联合国经济与社会事务部共同举办“支持多边主义、维护多边贸易体系和规则”研讨会，穆罕默德在会上指出，多边主义是联合国的DNA。“多边贸易体系是我们开放、全球化及现代经济的命脉。和平与繁荣取决于我们对多边主义和多边贸易体系的共同承诺。”</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她表示，贸易是现代经济的基本组成部分，是推动全球经济增长和可持续发展的动力之一，它创造就业机会，促进投资，传播技术进步，帮助不发达地区摆脱贫困。</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穆罕默德说，限制性贸易政策将损害企业和消费者利益，削弱人们对多边贸易体系的信心。在过去几十年里，全球化程度不断加深，世界经济呈现一体化趋势。在世界贸易组织框架下维护一个具有普遍性、基于规则、开放、非歧视和公平的多边贸易体系，对于一个繁荣、可持续和包容的世界至关重要。</w:t>
      </w:r>
    </w:p>
    <w:p>
      <w:pPr>
        <w:outlineLvl w:val="1"/>
        <w:rPr>
          <w:rFonts w:ascii="黑体" w:hAnsi="宋体" w:eastAsia="黑体"/>
          <w:b/>
          <w:sz w:val="30"/>
          <w:szCs w:val="30"/>
        </w:rPr>
      </w:pPr>
    </w:p>
    <w:p>
      <w:pPr>
        <w:outlineLvl w:val="1"/>
        <w:rPr>
          <w:rFonts w:ascii="宋体" w:hAnsi="宋体" w:cs="Arial"/>
          <w:b/>
          <w:bCs/>
          <w:kern w:val="0"/>
          <w:sz w:val="32"/>
          <w:szCs w:val="32"/>
        </w:rPr>
      </w:pPr>
      <w:bookmarkStart w:id="18" w:name="_Toc505350005"/>
      <w:r>
        <w:rPr>
          <w:rFonts w:hint="eastAsia" w:ascii="仿宋_GB2312" w:eastAsia="仿宋_GB2312"/>
          <w:b/>
          <w:sz w:val="28"/>
          <w:szCs w:val="28"/>
        </w:rPr>
        <w:t>（三）</w:t>
      </w:r>
      <w:r>
        <w:rPr>
          <w:rFonts w:hint="eastAsia" w:ascii="宋体" w:hAnsi="宋体" w:cs="Arial"/>
          <w:b/>
          <w:bCs/>
          <w:kern w:val="0"/>
          <w:sz w:val="32"/>
          <w:szCs w:val="32"/>
        </w:rPr>
        <w:t>、201</w:t>
      </w:r>
      <w:r>
        <w:rPr>
          <w:rFonts w:hint="eastAsia" w:ascii="宋体" w:hAnsi="宋体" w:cs="Arial"/>
          <w:b/>
          <w:bCs/>
          <w:kern w:val="0"/>
          <w:sz w:val="32"/>
          <w:szCs w:val="32"/>
          <w:lang w:val="en-US" w:eastAsia="zh-CN"/>
        </w:rPr>
        <w:t>8</w:t>
      </w:r>
      <w:r>
        <w:rPr>
          <w:rFonts w:hint="eastAsia" w:ascii="宋体" w:hAnsi="宋体" w:cs="Arial"/>
          <w:b/>
          <w:bCs/>
          <w:kern w:val="0"/>
          <w:sz w:val="32"/>
          <w:szCs w:val="32"/>
        </w:rPr>
        <w:t>年</w:t>
      </w:r>
      <w:r>
        <w:rPr>
          <w:rFonts w:hint="eastAsia" w:ascii="宋体" w:hAnsi="宋体" w:cs="Arial"/>
          <w:b/>
          <w:bCs/>
          <w:kern w:val="0"/>
          <w:sz w:val="32"/>
          <w:szCs w:val="32"/>
          <w:lang w:val="en-US" w:eastAsia="zh-CN"/>
        </w:rPr>
        <w:t>3</w:t>
      </w:r>
      <w:r>
        <w:rPr>
          <w:rFonts w:hint="eastAsia" w:ascii="宋体" w:hAnsi="宋体" w:cs="Arial"/>
          <w:b/>
          <w:bCs/>
          <w:kern w:val="0"/>
          <w:sz w:val="32"/>
          <w:szCs w:val="32"/>
        </w:rPr>
        <w:t>月份全国原油进出口统计数据</w:t>
      </w:r>
      <w:bookmarkEnd w:id="18"/>
    </w:p>
    <w:p>
      <w:pPr>
        <w:widowControl/>
        <w:spacing w:line="260" w:lineRule="atLeast"/>
        <w:jc w:val="center"/>
        <w:rPr>
          <w:rFonts w:hint="eastAsia" w:ascii="宋体" w:hAnsi="宋体" w:cs="宋体"/>
          <w:b/>
          <w:bCs/>
          <w:kern w:val="0"/>
          <w:szCs w:val="21"/>
        </w:rPr>
      </w:pPr>
      <w:r>
        <w:rPr>
          <w:rFonts w:hint="eastAsia" w:ascii="宋体" w:hAnsi="宋体" w:cs="宋体"/>
          <w:b/>
          <w:bCs/>
          <w:kern w:val="0"/>
          <w:szCs w:val="21"/>
        </w:rPr>
        <w:t xml:space="preserve">                                                      单位：千克，美元</w:t>
      </w:r>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817"/>
        <w:gridCol w:w="1917"/>
        <w:gridCol w:w="1751"/>
        <w:gridCol w:w="1705"/>
        <w:gridCol w:w="1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产销国</w:t>
            </w:r>
          </w:p>
        </w:tc>
        <w:tc>
          <w:tcPr>
            <w:tcW w:w="1917"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进口数量</w:t>
            </w:r>
          </w:p>
        </w:tc>
        <w:tc>
          <w:tcPr>
            <w:tcW w:w="1751"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进口美元</w:t>
            </w:r>
          </w:p>
        </w:tc>
        <w:tc>
          <w:tcPr>
            <w:tcW w:w="1705"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出口数量</w:t>
            </w:r>
          </w:p>
        </w:tc>
        <w:tc>
          <w:tcPr>
            <w:tcW w:w="1586"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也门共和国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139671930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69119063</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伊拉克</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54934951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25276930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伊朗</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440303947</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199663370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俄罗斯联邦</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1125496577</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529265485</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刚果</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399235103</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171863588</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利比亚</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141476160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67854272</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加拿大</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76290531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31718391</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加纳</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132613900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67604302</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加蓬</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88806062</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40929256</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南苏丹共和国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86617693</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38288189</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卡塔尔</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140308081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68680806</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印度尼西亚</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24929000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9956375</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厄瓜多尔</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98808670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44149393</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台湾省</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191</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哈萨克斯坦</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118464387</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50847984</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哥伦比亚</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73119341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34614401</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喀麦隆</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127234200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61054525</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埃及</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82456238</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41579207</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墨西哥</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72940642</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28952365</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委内瑞拉</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137333838</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52674864</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安哥拉</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317024045</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142854940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巴西</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232662507</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114018194</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日本</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111802311</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47612621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沙特阿拉伯</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393253610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182238617</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泰国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41459901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18538310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澳大利亚</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78507300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28973271</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科威特</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131271500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65493282</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美国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124388784</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64927951</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苏丹</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86057871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42347044</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英国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135125522</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69997762</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蒙古</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3494580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1533530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赤道几内亚</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270410190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132949102</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越南</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37323920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19945663</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阿拉伯联合酋长国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132441043</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71192358</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阿曼</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130202825</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61214569</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韩国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244574704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99332431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香港</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145169178</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65097431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马来西亚</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146548051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63398782</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widowControl/>
        <w:spacing w:line="260" w:lineRule="atLeast"/>
        <w:jc w:val="center"/>
        <w:rPr>
          <w:rFonts w:hint="eastAsia" w:ascii="宋体" w:hAnsi="宋体" w:cs="宋体"/>
          <w:b/>
          <w:bCs/>
          <w:kern w:val="0"/>
          <w:szCs w:val="21"/>
        </w:rPr>
      </w:pPr>
    </w:p>
    <w:p>
      <w:pPr>
        <w:widowControl/>
        <w:spacing w:line="260" w:lineRule="atLeast"/>
        <w:jc w:val="center"/>
        <w:rPr>
          <w:rFonts w:hint="eastAsia" w:ascii="宋体" w:hAnsi="宋体" w:cs="宋体"/>
          <w:b/>
          <w:bCs/>
          <w:kern w:val="0"/>
          <w:szCs w:val="21"/>
        </w:rPr>
      </w:pPr>
    </w:p>
    <w:p>
      <w:pPr>
        <w:numPr>
          <w:ilvl w:val="0"/>
          <w:numId w:val="0"/>
        </w:numPr>
        <w:tabs>
          <w:tab w:val="left" w:pos="798"/>
        </w:tabs>
        <w:outlineLvl w:val="1"/>
        <w:rPr>
          <w:rFonts w:hint="eastAsia" w:ascii="仿宋_GB2312" w:hAnsi="宋体" w:eastAsia="仿宋_GB2312" w:cs="Arial"/>
          <w:b/>
          <w:bCs/>
          <w:kern w:val="0"/>
          <w:sz w:val="30"/>
          <w:szCs w:val="30"/>
          <w:lang w:eastAsia="zh-CN"/>
        </w:rPr>
      </w:pPr>
      <w:bookmarkStart w:id="19" w:name="_Toc505350006"/>
    </w:p>
    <w:p>
      <w:pPr>
        <w:numPr>
          <w:ilvl w:val="0"/>
          <w:numId w:val="0"/>
        </w:numPr>
        <w:tabs>
          <w:tab w:val="left" w:pos="798"/>
        </w:tabs>
        <w:outlineLvl w:val="1"/>
        <w:rPr>
          <w:rFonts w:hint="eastAsia" w:ascii="仿宋_GB2312" w:hAnsi="宋体" w:eastAsia="仿宋_GB2312" w:cs="Arial"/>
          <w:b/>
          <w:bCs/>
          <w:kern w:val="0"/>
          <w:sz w:val="30"/>
          <w:szCs w:val="30"/>
        </w:rPr>
      </w:pPr>
      <w:r>
        <w:rPr>
          <w:rFonts w:hint="eastAsia" w:ascii="仿宋_GB2312" w:hAnsi="宋体" w:eastAsia="仿宋_GB2312" w:cs="Arial"/>
          <w:b/>
          <w:bCs/>
          <w:kern w:val="0"/>
          <w:sz w:val="30"/>
          <w:szCs w:val="30"/>
          <w:lang w:eastAsia="zh-CN"/>
        </w:rPr>
        <w:t>（四）</w:t>
      </w:r>
      <w:r>
        <w:rPr>
          <w:rFonts w:hint="eastAsia" w:ascii="仿宋_GB2312" w:hAnsi="宋体" w:eastAsia="仿宋_GB2312" w:cs="Arial"/>
          <w:b/>
          <w:bCs/>
          <w:kern w:val="0"/>
          <w:sz w:val="30"/>
          <w:szCs w:val="30"/>
        </w:rPr>
        <w:t>、后市预测</w:t>
      </w:r>
      <w:bookmarkEnd w:id="19"/>
    </w:p>
    <w:p>
      <w:pPr>
        <w:pStyle w:val="19"/>
        <w:keepNext w:val="0"/>
        <w:keepLines w:val="0"/>
        <w:widowControl/>
        <w:suppressLineNumbers w:val="0"/>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本周WTI原油价格在6</w:t>
      </w:r>
      <w:r>
        <w:rPr>
          <w:rFonts w:hint="eastAsia" w:ascii="华文仿宋" w:hAnsi="华文仿宋" w:eastAsia="华文仿宋"/>
          <w:sz w:val="28"/>
          <w:szCs w:val="28"/>
          <w:lang w:val="en-US" w:eastAsia="zh-CN"/>
        </w:rPr>
        <w:t>7.25</w:t>
      </w:r>
      <w:r>
        <w:rPr>
          <w:rFonts w:hint="eastAsia" w:ascii="华文仿宋" w:hAnsi="华文仿宋" w:eastAsia="华文仿宋"/>
          <w:sz w:val="28"/>
          <w:szCs w:val="28"/>
        </w:rPr>
        <w:t>-6</w:t>
      </w:r>
      <w:r>
        <w:rPr>
          <w:rFonts w:hint="eastAsia" w:ascii="华文仿宋" w:hAnsi="华文仿宋" w:eastAsia="华文仿宋"/>
          <w:sz w:val="28"/>
          <w:szCs w:val="28"/>
          <w:lang w:val="en-US" w:eastAsia="zh-CN"/>
        </w:rPr>
        <w:t>8.57</w:t>
      </w:r>
      <w:r>
        <w:rPr>
          <w:rFonts w:hint="eastAsia" w:ascii="华文仿宋" w:hAnsi="华文仿宋" w:eastAsia="华文仿宋"/>
          <w:sz w:val="28"/>
          <w:szCs w:val="28"/>
        </w:rPr>
        <w:t>美元/桶，布伦特原油价格在</w:t>
      </w:r>
      <w:r>
        <w:rPr>
          <w:rFonts w:hint="eastAsia" w:ascii="华文仿宋" w:hAnsi="华文仿宋" w:eastAsia="华文仿宋"/>
          <w:sz w:val="28"/>
          <w:szCs w:val="28"/>
          <w:lang w:val="en-US" w:eastAsia="zh-CN"/>
        </w:rPr>
        <w:t>73.13</w:t>
      </w:r>
      <w:r>
        <w:rPr>
          <w:rFonts w:hint="eastAsia" w:ascii="华文仿宋" w:hAnsi="华文仿宋" w:eastAsia="华文仿宋"/>
          <w:sz w:val="28"/>
          <w:szCs w:val="28"/>
        </w:rPr>
        <w:t>-</w:t>
      </w:r>
      <w:r>
        <w:rPr>
          <w:rFonts w:hint="eastAsia" w:ascii="华文仿宋" w:hAnsi="华文仿宋" w:eastAsia="华文仿宋"/>
          <w:sz w:val="28"/>
          <w:szCs w:val="28"/>
          <w:lang w:val="en-US" w:eastAsia="zh-CN"/>
        </w:rPr>
        <w:t>75.17</w:t>
      </w:r>
      <w:r>
        <w:rPr>
          <w:rFonts w:hint="eastAsia" w:ascii="华文仿宋" w:hAnsi="华文仿宋" w:eastAsia="华文仿宋"/>
          <w:sz w:val="28"/>
          <w:szCs w:val="28"/>
        </w:rPr>
        <w:t>美元/桶震</w:t>
      </w:r>
      <w:r>
        <w:rPr>
          <w:rFonts w:hint="eastAsia" w:ascii="华文仿宋" w:hAnsi="华文仿宋" w:eastAsia="华文仿宋"/>
          <w:sz w:val="28"/>
          <w:szCs w:val="28"/>
          <w:lang w:eastAsia="zh-CN"/>
        </w:rPr>
        <w:t>荡。</w:t>
      </w:r>
      <w:r>
        <w:rPr>
          <w:rFonts w:hint="eastAsia" w:ascii="华文仿宋" w:hAnsi="华文仿宋" w:eastAsia="华文仿宋"/>
          <w:sz w:val="28"/>
          <w:szCs w:val="28"/>
        </w:rPr>
        <w:t>周内国际原油期货价格整体呈现涨跌不一，双原油呈分歧走势，但新加坡现货价格录得全面推涨。周内前期，美国石油活跃钻井数连续录得增长以及美元持续反弹，均为油价带来压力，国际油价小幅收跌，随后，美国重启伊朗制裁担忧情绪为油价带来支撑，原油价格小幅走强;周内后期，中美贸易谈判可期，同时地缘政治紧张局势进一步缓解，美元指数在92关口上方强势上涨，增加了油价的下行压力，国际油价跌破68关口，之后美国原油库存和产量双双增加利空油价，但伊朗核协议危机仍笼罩在油市上方，市场关注美伊局势，金融市场紧张情绪继续支撑油价，这令油价韧性十足，国际油价小幅回涨。此外，美国油服公司贝克休斯(BakerHughes)周五(4月27日)公布数据显示，截至4月27日当周，美国石油活跃钻井数增加5座至825座，连续四周录得增长，续刷2015年3月来新高。更多数据显示，截至4月20日当周美国石油和天然气活跃钻井总数增加8至1021座。OPEC月报数据显示，14个成员国3月原油产出减少20.14万桶/日至3195.8万桶/日，这是自2017年3月以来的最低水平。其中沙特3月份石油产量降至992万桶/日。尤其是3月委内瑞拉产量的暴跌，直接导致OPEC减产任务执行率提升至163%。整体看来，周内国际原油市场中虽不乏伊朗核协议危机等利好消息，但国际油价主要受美元强势反弹、地缘政治局势缓和以及美油库存、产量升高等多头利空打压，油价涨跌不一。其中WTI期货本周均价68.01美元/桶，较上周下跌0.30%，较上月上涨2.54%;本周布伦特期货均价74.20美元/桶，较上周小幅上涨0.16%，较上月上涨3.40%。后市预测：近期国际油市中美元指数强势反弹至92高位上方，加之美国原油产量和库存双双增加仍在很大程度上限制了油价的上行空间，但好在OPEC积极减产以及委内瑞拉产量下滑等将对冲这一大利空，后市需要密切关注伊朗核协议的结果及制裁，美国若再次对伊朗实施制裁，每日将有30万到50万桶伊朗原油退出市场。综合来看，近期油市底部支撑仍然强劲，但上涨空间有限。预计近期WTI原油期货价格在68～70美元/桶之间浮动，布伦特原油期货均价在73～75美元/桶之间浮动。</w:t>
      </w:r>
    </w:p>
    <w:p>
      <w:pPr>
        <w:numPr>
          <w:ilvl w:val="0"/>
          <w:numId w:val="0"/>
        </w:numPr>
        <w:ind w:leftChars="99"/>
        <w:outlineLvl w:val="1"/>
        <w:rPr>
          <w:rFonts w:hint="eastAsia" w:ascii="仿宋_GB2312" w:hAnsi="宋体" w:eastAsia="仿宋_GB2312" w:cs="Arial"/>
          <w:b/>
          <w:bCs/>
          <w:kern w:val="0"/>
          <w:sz w:val="30"/>
          <w:szCs w:val="30"/>
        </w:rPr>
      </w:pPr>
    </w:p>
    <w:p>
      <w:pPr>
        <w:spacing w:line="360" w:lineRule="auto"/>
        <w:outlineLvl w:val="0"/>
        <w:rPr>
          <w:rFonts w:hint="eastAsia" w:ascii="黑体" w:hAnsi="宋体" w:eastAsia="黑体"/>
          <w:b/>
          <w:sz w:val="28"/>
          <w:szCs w:val="28"/>
        </w:rPr>
      </w:pPr>
      <w:bookmarkStart w:id="20" w:name="_Toc505350007"/>
      <w:r>
        <w:rPr>
          <w:rFonts w:hint="eastAsia" w:ascii="黑体" w:hAnsi="宋体" w:eastAsia="黑体"/>
          <w:b/>
          <w:sz w:val="28"/>
          <w:szCs w:val="28"/>
        </w:rPr>
        <w:t>二、 石脑油</w:t>
      </w:r>
      <w:bookmarkEnd w:id="20"/>
    </w:p>
    <w:p>
      <w:pPr>
        <w:spacing w:line="360" w:lineRule="auto"/>
        <w:outlineLvl w:val="0"/>
        <w:rPr>
          <w:rFonts w:hint="eastAsia" w:ascii="黑体" w:hAnsi="宋体" w:eastAsia="黑体"/>
          <w:b/>
          <w:sz w:val="28"/>
          <w:szCs w:val="28"/>
        </w:rPr>
      </w:pPr>
    </w:p>
    <w:p>
      <w:pPr>
        <w:pStyle w:val="3"/>
        <w:spacing w:line="240" w:lineRule="auto"/>
        <w:rPr>
          <w:rFonts w:ascii="宋体" w:hAnsi="宋体" w:cs="Arial"/>
          <w:b w:val="0"/>
          <w:bCs w:val="0"/>
          <w:kern w:val="0"/>
          <w:szCs w:val="28"/>
        </w:rPr>
      </w:pPr>
      <w:bookmarkStart w:id="21" w:name="_Toc505350008"/>
      <w:bookmarkStart w:id="22" w:name="_Toc460250404"/>
      <w:r>
        <w:rPr>
          <w:rFonts w:hint="eastAsia"/>
        </w:rPr>
        <w:t>2. 1</w:t>
      </w:r>
      <w:r>
        <w:rPr>
          <w:rFonts w:hint="eastAsia"/>
          <w:kern w:val="0"/>
        </w:rPr>
        <w:t>国际石脑油市场价格</w:t>
      </w:r>
      <w:bookmarkEnd w:id="11"/>
      <w:bookmarkEnd w:id="12"/>
      <w:bookmarkEnd w:id="21"/>
      <w:bookmarkEnd w:id="22"/>
    </w:p>
    <w:p>
      <w:pPr>
        <w:widowControl/>
        <w:jc w:val="center"/>
        <w:rPr>
          <w:rFonts w:ascii="宋体" w:hAnsi="宋体" w:cs="宋体"/>
          <w:sz w:val="20"/>
          <w:szCs w:val="20"/>
        </w:rPr>
      </w:pPr>
      <w:r>
        <w:rPr>
          <w:rFonts w:hint="eastAsia" w:ascii="宋体" w:hAnsi="宋体" w:cs="宋体"/>
          <w:sz w:val="20"/>
          <w:szCs w:val="20"/>
        </w:rPr>
        <w:t xml:space="preserve">                                                                 单位：美元/吨  ①单位：美元/桶</w:t>
      </w:r>
    </w:p>
    <w:tbl>
      <w:tblPr>
        <w:tblStyle w:val="25"/>
        <w:tblW w:w="9956" w:type="dxa"/>
        <w:tblInd w:w="0" w:type="dxa"/>
        <w:shd w:val="clear" w:color="auto" w:fill="FFFFFF"/>
        <w:tblLayout w:type="fixed"/>
        <w:tblCellMar>
          <w:top w:w="0" w:type="dxa"/>
          <w:left w:w="0" w:type="dxa"/>
          <w:bottom w:w="0" w:type="dxa"/>
          <w:right w:w="0" w:type="dxa"/>
        </w:tblCellMar>
      </w:tblPr>
      <w:tblGrid>
        <w:gridCol w:w="1810"/>
        <w:gridCol w:w="2129"/>
        <w:gridCol w:w="1602"/>
        <w:gridCol w:w="1970"/>
        <w:gridCol w:w="2445"/>
      </w:tblGrid>
      <w:tr>
        <w:tblPrEx>
          <w:shd w:val="clear" w:color="auto" w:fill="FFFFFF"/>
          <w:tblLayout w:type="fixed"/>
        </w:tblPrEx>
        <w:trPr>
          <w:trHeight w:val="675" w:hRule="atLeast"/>
        </w:trPr>
        <w:tc>
          <w:tcPr>
            <w:tcW w:w="1810"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lang w:val="en-US" w:eastAsia="zh-CN"/>
              </w:rPr>
            </w:pPr>
            <w:r>
              <w:rPr>
                <w:rFonts w:hint="eastAsia" w:ascii="华文仿宋" w:hAnsi="华文仿宋" w:eastAsia="华文仿宋" w:cs="华文仿宋"/>
                <w:color w:val="000000"/>
                <w:sz w:val="28"/>
                <w:szCs w:val="28"/>
                <w:lang w:val="en-US" w:eastAsia="zh-CN"/>
              </w:rPr>
              <w:t>5月3日</w:t>
            </w:r>
          </w:p>
        </w:tc>
        <w:tc>
          <w:tcPr>
            <w:tcW w:w="2129"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低端价（美元/吨）</w:t>
            </w:r>
          </w:p>
        </w:tc>
        <w:tc>
          <w:tcPr>
            <w:tcW w:w="1602"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高端价（美元/吨）</w:t>
            </w:r>
          </w:p>
        </w:tc>
        <w:tc>
          <w:tcPr>
            <w:tcW w:w="1970"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均价涨跌幅</w:t>
            </w:r>
          </w:p>
        </w:tc>
        <w:tc>
          <w:tcPr>
            <w:tcW w:w="2445"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美分/加仑</w:t>
            </w:r>
          </w:p>
        </w:tc>
      </w:tr>
      <w:tr>
        <w:tblPrEx>
          <w:tblLayout w:type="fixed"/>
          <w:tblCellMar>
            <w:top w:w="0" w:type="dxa"/>
            <w:left w:w="0" w:type="dxa"/>
            <w:bottom w:w="0" w:type="dxa"/>
            <w:right w:w="0" w:type="dxa"/>
          </w:tblCellMar>
        </w:tblPrEx>
        <w:trPr>
          <w:trHeight w:val="285" w:hRule="atLeast"/>
        </w:trPr>
        <w:tc>
          <w:tcPr>
            <w:tcW w:w="18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新加坡</w:t>
            </w:r>
          </w:p>
        </w:tc>
        <w:tc>
          <w:tcPr>
            <w:tcW w:w="212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69.85美元/桶</w:t>
            </w:r>
          </w:p>
        </w:tc>
        <w:tc>
          <w:tcPr>
            <w:tcW w:w="160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69.89美元/桶</w:t>
            </w:r>
          </w:p>
        </w:tc>
        <w:tc>
          <w:tcPr>
            <w:tcW w:w="197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0.00美元/桶</w:t>
            </w:r>
          </w:p>
        </w:tc>
        <w:tc>
          <w:tcPr>
            <w:tcW w:w="244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166.310-166.405</w:t>
            </w:r>
          </w:p>
        </w:tc>
      </w:tr>
      <w:tr>
        <w:tblPrEx>
          <w:tblLayout w:type="fixed"/>
          <w:tblCellMar>
            <w:top w:w="0" w:type="dxa"/>
            <w:left w:w="0" w:type="dxa"/>
            <w:bottom w:w="0" w:type="dxa"/>
            <w:right w:w="0" w:type="dxa"/>
          </w:tblCellMar>
        </w:tblPrEx>
        <w:trPr>
          <w:trHeight w:val="285" w:hRule="atLeast"/>
        </w:trPr>
        <w:tc>
          <w:tcPr>
            <w:tcW w:w="18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日本</w:t>
            </w:r>
          </w:p>
        </w:tc>
        <w:tc>
          <w:tcPr>
            <w:tcW w:w="212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627.75</w:t>
            </w:r>
          </w:p>
        </w:tc>
        <w:tc>
          <w:tcPr>
            <w:tcW w:w="160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632.75</w:t>
            </w:r>
          </w:p>
        </w:tc>
        <w:tc>
          <w:tcPr>
            <w:tcW w:w="197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0.75</w:t>
            </w:r>
          </w:p>
        </w:tc>
        <w:tc>
          <w:tcPr>
            <w:tcW w:w="244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166.071-167.394</w:t>
            </w:r>
          </w:p>
        </w:tc>
      </w:tr>
      <w:tr>
        <w:tblPrEx>
          <w:tblLayout w:type="fixed"/>
          <w:tblCellMar>
            <w:top w:w="0" w:type="dxa"/>
            <w:left w:w="0" w:type="dxa"/>
            <w:bottom w:w="0" w:type="dxa"/>
            <w:right w:w="0" w:type="dxa"/>
          </w:tblCellMar>
        </w:tblPrEx>
        <w:trPr>
          <w:trHeight w:val="285" w:hRule="atLeast"/>
        </w:trPr>
        <w:tc>
          <w:tcPr>
            <w:tcW w:w="18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阿拉伯海湾</w:t>
            </w:r>
          </w:p>
        </w:tc>
        <w:tc>
          <w:tcPr>
            <w:tcW w:w="212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604.71</w:t>
            </w:r>
          </w:p>
        </w:tc>
        <w:tc>
          <w:tcPr>
            <w:tcW w:w="160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609.71</w:t>
            </w:r>
          </w:p>
        </w:tc>
        <w:tc>
          <w:tcPr>
            <w:tcW w:w="197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0.97</w:t>
            </w:r>
          </w:p>
        </w:tc>
        <w:tc>
          <w:tcPr>
            <w:tcW w:w="244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  159.976-161.299</w:t>
            </w:r>
          </w:p>
        </w:tc>
      </w:tr>
      <w:tr>
        <w:tblPrEx>
          <w:tblLayout w:type="fixed"/>
          <w:tblCellMar>
            <w:top w:w="0" w:type="dxa"/>
            <w:left w:w="0" w:type="dxa"/>
            <w:bottom w:w="0" w:type="dxa"/>
            <w:right w:w="0" w:type="dxa"/>
          </w:tblCellMar>
        </w:tblPrEx>
        <w:trPr>
          <w:trHeight w:val="675" w:hRule="atLeast"/>
        </w:trPr>
        <w:tc>
          <w:tcPr>
            <w:tcW w:w="18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阿姆斯特丹、鹿特丹、安特卫普到岸价</w:t>
            </w:r>
          </w:p>
        </w:tc>
        <w:tc>
          <w:tcPr>
            <w:tcW w:w="212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630.00</w:t>
            </w:r>
          </w:p>
        </w:tc>
        <w:tc>
          <w:tcPr>
            <w:tcW w:w="160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630.50</w:t>
            </w:r>
          </w:p>
        </w:tc>
        <w:tc>
          <w:tcPr>
            <w:tcW w:w="197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5.00</w:t>
            </w:r>
          </w:p>
        </w:tc>
        <w:tc>
          <w:tcPr>
            <w:tcW w:w="244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168.449-168.583</w:t>
            </w:r>
          </w:p>
        </w:tc>
      </w:tr>
      <w:tr>
        <w:tblPrEx>
          <w:tblLayout w:type="fixed"/>
        </w:tblPrEx>
        <w:trPr>
          <w:trHeight w:val="285" w:hRule="atLeast"/>
        </w:trPr>
        <w:tc>
          <w:tcPr>
            <w:tcW w:w="18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鹿特丹船货价</w:t>
            </w:r>
          </w:p>
        </w:tc>
        <w:tc>
          <w:tcPr>
            <w:tcW w:w="212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626.00</w:t>
            </w:r>
          </w:p>
        </w:tc>
        <w:tc>
          <w:tcPr>
            <w:tcW w:w="160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626.50</w:t>
            </w:r>
          </w:p>
        </w:tc>
        <w:tc>
          <w:tcPr>
            <w:tcW w:w="197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5.00</w:t>
            </w:r>
          </w:p>
        </w:tc>
        <w:tc>
          <w:tcPr>
            <w:tcW w:w="244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167.380-167.513</w:t>
            </w:r>
          </w:p>
        </w:tc>
      </w:tr>
      <w:tr>
        <w:tblPrEx>
          <w:tblLayout w:type="fixed"/>
        </w:tblPrEx>
        <w:trPr>
          <w:trHeight w:val="285" w:hRule="atLeast"/>
        </w:trPr>
        <w:tc>
          <w:tcPr>
            <w:tcW w:w="18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地中海离岸价</w:t>
            </w:r>
          </w:p>
        </w:tc>
        <w:tc>
          <w:tcPr>
            <w:tcW w:w="212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612.00</w:t>
            </w:r>
          </w:p>
        </w:tc>
        <w:tc>
          <w:tcPr>
            <w:tcW w:w="160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612.50</w:t>
            </w:r>
          </w:p>
        </w:tc>
        <w:tc>
          <w:tcPr>
            <w:tcW w:w="197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4.75</w:t>
            </w:r>
          </w:p>
        </w:tc>
        <w:tc>
          <w:tcPr>
            <w:tcW w:w="244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163.636-163.770</w:t>
            </w:r>
          </w:p>
        </w:tc>
      </w:tr>
      <w:tr>
        <w:tblPrEx>
          <w:tblLayout w:type="fixed"/>
          <w:tblCellMar>
            <w:top w:w="0" w:type="dxa"/>
            <w:left w:w="0" w:type="dxa"/>
            <w:bottom w:w="0" w:type="dxa"/>
            <w:right w:w="0" w:type="dxa"/>
          </w:tblCellMar>
        </w:tblPrEx>
        <w:trPr>
          <w:trHeight w:val="285" w:hRule="atLeast"/>
        </w:trPr>
        <w:tc>
          <w:tcPr>
            <w:tcW w:w="18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热那亚到岸价</w:t>
            </w:r>
          </w:p>
        </w:tc>
        <w:tc>
          <w:tcPr>
            <w:tcW w:w="212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622.50</w:t>
            </w:r>
          </w:p>
        </w:tc>
        <w:tc>
          <w:tcPr>
            <w:tcW w:w="160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623.00</w:t>
            </w:r>
          </w:p>
        </w:tc>
        <w:tc>
          <w:tcPr>
            <w:tcW w:w="197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5.00</w:t>
            </w:r>
          </w:p>
        </w:tc>
        <w:tc>
          <w:tcPr>
            <w:tcW w:w="244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166.444-166.578</w:t>
            </w:r>
          </w:p>
        </w:tc>
      </w:tr>
      <w:tr>
        <w:tblPrEx>
          <w:tblLayout w:type="fixed"/>
          <w:tblCellMar>
            <w:top w:w="0" w:type="dxa"/>
            <w:left w:w="0" w:type="dxa"/>
            <w:bottom w:w="0" w:type="dxa"/>
            <w:right w:w="0" w:type="dxa"/>
          </w:tblCellMar>
        </w:tblPrEx>
        <w:trPr>
          <w:trHeight w:val="285" w:hRule="atLeast"/>
        </w:trPr>
        <w:tc>
          <w:tcPr>
            <w:tcW w:w="18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美国墨西哥湾</w:t>
            </w:r>
          </w:p>
        </w:tc>
        <w:tc>
          <w:tcPr>
            <w:tcW w:w="212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615.99</w:t>
            </w:r>
          </w:p>
        </w:tc>
        <w:tc>
          <w:tcPr>
            <w:tcW w:w="160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616.09</w:t>
            </w:r>
          </w:p>
        </w:tc>
        <w:tc>
          <w:tcPr>
            <w:tcW w:w="197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0.230</w:t>
            </w:r>
            <w:r>
              <w:rPr>
                <w:rFonts w:hint="eastAsia" w:ascii="华文仿宋" w:hAnsi="华文仿宋" w:eastAsia="华文仿宋" w:cs="华文仿宋"/>
                <w:b w:val="0"/>
                <w:i w:val="0"/>
                <w:caps w:val="0"/>
                <w:color w:val="000000"/>
                <w:spacing w:val="0"/>
                <w:sz w:val="28"/>
                <w:szCs w:val="28"/>
                <w:shd w:val="clear" w:fill="FFFFFF"/>
              </w:rPr>
              <w:t>美分/加仑</w:t>
            </w:r>
          </w:p>
        </w:tc>
        <w:tc>
          <w:tcPr>
            <w:tcW w:w="244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175.950-176.050</w:t>
            </w:r>
          </w:p>
        </w:tc>
      </w:tr>
      <w:tr>
        <w:tblPrEx>
          <w:tblLayout w:type="fixed"/>
          <w:tblCellMar>
            <w:top w:w="0" w:type="dxa"/>
            <w:left w:w="0" w:type="dxa"/>
            <w:bottom w:w="0" w:type="dxa"/>
            <w:right w:w="0" w:type="dxa"/>
          </w:tblCellMar>
        </w:tblPrEx>
        <w:trPr>
          <w:trHeight w:val="285" w:hRule="atLeast"/>
        </w:trPr>
        <w:tc>
          <w:tcPr>
            <w:tcW w:w="18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加勒比海</w:t>
            </w:r>
          </w:p>
        </w:tc>
        <w:tc>
          <w:tcPr>
            <w:tcW w:w="212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w:t>
            </w:r>
          </w:p>
        </w:tc>
        <w:tc>
          <w:tcPr>
            <w:tcW w:w="160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w:t>
            </w:r>
          </w:p>
        </w:tc>
        <w:tc>
          <w:tcPr>
            <w:tcW w:w="197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w:t>
            </w:r>
          </w:p>
        </w:tc>
        <w:tc>
          <w:tcPr>
            <w:tcW w:w="244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w:t>
            </w:r>
          </w:p>
        </w:tc>
      </w:tr>
    </w:tbl>
    <w:p>
      <w:pPr>
        <w:widowControl/>
        <w:rPr>
          <w:rFonts w:ascii="宋体" w:hAnsi="宋体" w:cs="宋体"/>
          <w:sz w:val="20"/>
          <w:szCs w:val="20"/>
        </w:rPr>
      </w:pPr>
    </w:p>
    <w:p>
      <w:pPr>
        <w:pStyle w:val="3"/>
        <w:spacing w:line="240" w:lineRule="auto"/>
        <w:rPr>
          <w:rFonts w:ascii="华文仿宋" w:hAnsi="华文仿宋" w:eastAsia="华文仿宋" w:cs="宋体"/>
          <w:b w:val="0"/>
          <w:bCs w:val="0"/>
          <w:kern w:val="0"/>
          <w:szCs w:val="28"/>
        </w:rPr>
      </w:pPr>
      <w:bookmarkStart w:id="23" w:name="_Toc296600812"/>
      <w:bookmarkStart w:id="24" w:name="_Toc460250405"/>
      <w:bookmarkStart w:id="25" w:name="_Toc281568202"/>
      <w:bookmarkStart w:id="26" w:name="_Toc505350009"/>
      <w:bookmarkStart w:id="27" w:name="_Toc239847715"/>
    </w:p>
    <w:p>
      <w:pPr>
        <w:pStyle w:val="3"/>
        <w:spacing w:line="240" w:lineRule="auto"/>
        <w:rPr>
          <w:rFonts w:hint="eastAsia" w:cs="Times New Roman" w:asciiTheme="minorEastAsia" w:hAnsiTheme="minorEastAsia" w:eastAsiaTheme="minorEastAsia"/>
          <w:b/>
          <w:bCs w:val="0"/>
          <w:kern w:val="2"/>
          <w:sz w:val="28"/>
          <w:szCs w:val="28"/>
          <w:lang w:val="en-US" w:eastAsia="zh-CN" w:bidi="ar-SA"/>
        </w:rPr>
      </w:pPr>
      <w:r>
        <w:rPr>
          <w:rFonts w:hint="eastAsia" w:cs="Times New Roman" w:asciiTheme="minorEastAsia" w:hAnsiTheme="minorEastAsia" w:eastAsiaTheme="minorEastAsia"/>
          <w:b/>
          <w:bCs w:val="0"/>
          <w:kern w:val="2"/>
          <w:sz w:val="28"/>
          <w:szCs w:val="28"/>
          <w:lang w:val="en-US" w:eastAsia="zh-CN" w:bidi="ar-SA"/>
        </w:rPr>
        <w:t>2.2地炼石脑油市场</w:t>
      </w:r>
      <w:bookmarkEnd w:id="13"/>
      <w:bookmarkEnd w:id="14"/>
      <w:bookmarkEnd w:id="23"/>
      <w:bookmarkEnd w:id="24"/>
      <w:bookmarkEnd w:id="25"/>
      <w:bookmarkEnd w:id="26"/>
      <w:bookmarkEnd w:id="27"/>
      <w:r>
        <w:rPr>
          <w:rFonts w:hint="eastAsia" w:cs="Times New Roman" w:asciiTheme="minorEastAsia" w:hAnsiTheme="minorEastAsia" w:eastAsiaTheme="minorEastAsia"/>
          <w:b/>
          <w:bCs w:val="0"/>
          <w:kern w:val="2"/>
          <w:sz w:val="28"/>
          <w:szCs w:val="28"/>
          <w:lang w:val="en-US" w:eastAsia="zh-CN" w:bidi="ar-SA"/>
        </w:rPr>
        <w:t xml:space="preserve"> </w:t>
      </w:r>
    </w:p>
    <w:p>
      <w:pPr>
        <w:pStyle w:val="19"/>
        <w:keepNext w:val="0"/>
        <w:keepLines w:val="0"/>
        <w:widowControl/>
        <w:suppressLineNumbers w:val="0"/>
        <w:rPr>
          <w:rFonts w:hint="eastAsia" w:ascii="华文仿宋" w:hAnsi="华文仿宋" w:eastAsia="华文仿宋"/>
          <w:sz w:val="28"/>
          <w:szCs w:val="28"/>
        </w:rPr>
      </w:pPr>
      <w:r>
        <w:rPr>
          <w:sz w:val="21"/>
          <w:szCs w:val="21"/>
        </w:rPr>
        <w:t>　</w:t>
      </w:r>
      <w:r>
        <w:rPr>
          <w:rFonts w:hint="eastAsia"/>
          <w:sz w:val="21"/>
          <w:szCs w:val="21"/>
          <w:lang w:val="en-US" w:eastAsia="zh-CN"/>
        </w:rPr>
        <w:t xml:space="preserve"> </w:t>
      </w:r>
      <w:r>
        <w:rPr>
          <w:rFonts w:hint="eastAsia" w:ascii="华文仿宋" w:hAnsi="华文仿宋" w:eastAsia="华文仿宋"/>
          <w:sz w:val="28"/>
          <w:szCs w:val="28"/>
        </w:rPr>
        <w:t>　本周国内地炼石脑油市场局部调整。美国石油活跃钻井数连续录得增长以及美元持续反弹，为油价带来压力，随后，美国重启伊朗制裁担忧情绪为油价带来支撑，周内国际原油期货价格整体呈现涨跌不一。国内成品油调价，社会单位酝酿炒涨，地炼石脑油市场局部微调，山东恒源石化等个别炼厂窄幅上推石脑油报盘，齐润石化产品近日出货，完税资源定价颇高。适逢劳动节，国内地炼石脑油市场量价变化并不显著，主力交投区域价格成交区间有微幅下移，但资源基本面仍偏向平衡。东北地区目前华锦、宝来等石脑油有部分资源外放，但北沥、中天浩业、大连锦源资源无外放或少量外放，东北本身资源不足，仍需自山东乃至西北吸纳资源。西北方面神华宁煤控制开户数量，山东方面维持节前供应水平，据观察石脑油成交出现窄幅下修态势，短期市场将维持盘整格局。</w:t>
      </w:r>
    </w:p>
    <w:p>
      <w:pPr>
        <w:pStyle w:val="19"/>
        <w:keepNext w:val="0"/>
        <w:keepLines w:val="0"/>
        <w:widowControl/>
        <w:suppressLineNumbers w:val="0"/>
        <w:rPr>
          <w:rFonts w:hint="eastAsia" w:ascii="华文仿宋" w:hAnsi="华文仿宋" w:eastAsia="华文仿宋"/>
          <w:sz w:val="28"/>
          <w:szCs w:val="28"/>
        </w:rPr>
      </w:pPr>
    </w:p>
    <w:p/>
    <w:p>
      <w:pPr>
        <w:outlineLvl w:val="1"/>
        <w:rPr>
          <w:rFonts w:asciiTheme="minorEastAsia" w:hAnsiTheme="minorEastAsia" w:eastAsiaTheme="minorEastAsia"/>
          <w:b/>
          <w:sz w:val="28"/>
          <w:szCs w:val="28"/>
        </w:rPr>
      </w:pPr>
      <w:bookmarkStart w:id="28" w:name="_Toc505350010"/>
      <w:bookmarkStart w:id="29" w:name="_Toc281568203"/>
      <w:bookmarkStart w:id="30" w:name="_Toc460250406"/>
      <w:bookmarkStart w:id="31" w:name="_Toc296600813"/>
      <w:r>
        <w:rPr>
          <w:rFonts w:hint="eastAsia" w:asciiTheme="minorEastAsia" w:hAnsiTheme="minorEastAsia" w:eastAsiaTheme="minorEastAsia"/>
          <w:b/>
          <w:sz w:val="28"/>
          <w:szCs w:val="28"/>
        </w:rPr>
        <w:t>2.3本周国内石脑油价格汇总</w:t>
      </w:r>
      <w:bookmarkEnd w:id="28"/>
      <w:bookmarkEnd w:id="29"/>
      <w:bookmarkEnd w:id="30"/>
      <w:bookmarkEnd w:id="31"/>
      <w:r>
        <w:rPr>
          <w:rFonts w:hint="eastAsia" w:asciiTheme="minorEastAsia" w:hAnsiTheme="minorEastAsia" w:eastAsiaTheme="minorEastAsia"/>
          <w:b/>
          <w:sz w:val="28"/>
          <w:szCs w:val="28"/>
        </w:rPr>
        <w:t xml:space="preserve"> </w:t>
      </w:r>
    </w:p>
    <w:p>
      <w:pPr>
        <w:rPr>
          <w:rFonts w:ascii="宋体" w:hAnsi="宋体" w:cs="Arial"/>
          <w:kern w:val="0"/>
          <w:sz w:val="20"/>
          <w:szCs w:val="20"/>
        </w:rPr>
      </w:pPr>
    </w:p>
    <w:p>
      <w:pPr>
        <w:tabs>
          <w:tab w:val="left" w:pos="810"/>
          <w:tab w:val="center" w:pos="4851"/>
        </w:tabs>
        <w:autoSpaceDE w:val="0"/>
        <w:autoSpaceDN w:val="0"/>
        <w:adjustRightInd w:val="0"/>
        <w:rPr>
          <w:rFonts w:ascii="黑体" w:hAnsi="宋体" w:eastAsia="黑体" w:cs="Arial"/>
          <w:kern w:val="0"/>
          <w:sz w:val="24"/>
          <w:szCs w:val="24"/>
        </w:rPr>
      </w:pPr>
      <w:r>
        <w:rPr>
          <w:rFonts w:hint="eastAsia" w:ascii="黑体" w:hAnsi="宋体" w:eastAsia="黑体" w:cs="Arial"/>
          <w:kern w:val="0"/>
          <w:sz w:val="24"/>
          <w:szCs w:val="24"/>
        </w:rPr>
        <w:t>山东地炼石脑油价格汇总</w:t>
      </w:r>
    </w:p>
    <w:p>
      <w:pPr>
        <w:tabs>
          <w:tab w:val="left" w:pos="810"/>
          <w:tab w:val="center" w:pos="4851"/>
        </w:tabs>
        <w:autoSpaceDE w:val="0"/>
        <w:autoSpaceDN w:val="0"/>
        <w:adjustRightInd w:val="0"/>
        <w:ind w:firstLine="520" w:firstLineChars="260"/>
        <w:jc w:val="center"/>
        <w:rPr>
          <w:rFonts w:ascii="宋体" w:hAnsi="宋体" w:cs="Arial"/>
          <w:kern w:val="0"/>
          <w:sz w:val="20"/>
          <w:szCs w:val="20"/>
        </w:rPr>
      </w:pPr>
    </w:p>
    <w:p>
      <w:pPr>
        <w:rPr>
          <w:rFonts w:ascii="宋体" w:hAnsi="宋体" w:cs="Arial"/>
          <w:kern w:val="0"/>
          <w:sz w:val="20"/>
          <w:szCs w:val="20"/>
        </w:rPr>
      </w:pPr>
      <w:r>
        <w:rPr>
          <w:rFonts w:hint="eastAsia" w:ascii="宋体" w:hAnsi="宋体" w:cs="Arial"/>
          <w:kern w:val="0"/>
          <w:sz w:val="20"/>
          <w:szCs w:val="20"/>
        </w:rPr>
        <w:t xml:space="preserve"> 单位：元/吨</w:t>
      </w:r>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58"/>
        <w:gridCol w:w="1358"/>
        <w:gridCol w:w="1358"/>
        <w:gridCol w:w="1358"/>
        <w:gridCol w:w="1362"/>
        <w:gridCol w:w="1554"/>
        <w:gridCol w:w="1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地区</w:t>
            </w:r>
          </w:p>
        </w:tc>
        <w:tc>
          <w:tcPr>
            <w:tcW w:w="1358"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生产厂家</w:t>
            </w:r>
          </w:p>
        </w:tc>
        <w:tc>
          <w:tcPr>
            <w:tcW w:w="1358"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358"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36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1554"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2018-5-4</w:t>
            </w:r>
          </w:p>
        </w:tc>
        <w:tc>
          <w:tcPr>
            <w:tcW w:w="1428"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金城石化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恒源石化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4650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东明石化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中海石化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弘润石化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华星石化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海科石化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广饶石化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5020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鑫泰石化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6300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利津石化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长城石化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安邦石化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6150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日照源丰</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富海石化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4760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京博石化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6204</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昌邑石化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6210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垦利石化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寿光石化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神驰石化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汇丰石化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5730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宝塔石化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滨化石化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高青宏远石化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河口实业</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rPr>
          <w:rFonts w:hint="eastAsia" w:ascii="宋体" w:hAnsi="宋体" w:cs="Arial"/>
          <w:kern w:val="0"/>
          <w:sz w:val="20"/>
          <w:szCs w:val="20"/>
        </w:rPr>
      </w:pPr>
    </w:p>
    <w:p>
      <w:pPr>
        <w:pStyle w:val="3"/>
        <w:spacing w:line="240" w:lineRule="auto"/>
        <w:jc w:val="left"/>
        <w:rPr>
          <w:rFonts w:ascii="宋体" w:hAnsi="宋体"/>
          <w:b w:val="0"/>
          <w:szCs w:val="28"/>
        </w:rPr>
      </w:pPr>
      <w:bookmarkStart w:id="32" w:name="_Toc281568204"/>
      <w:bookmarkStart w:id="33" w:name="_Toc296600814"/>
      <w:bookmarkStart w:id="34" w:name="_Toc460250407"/>
      <w:bookmarkStart w:id="35" w:name="_Toc239847719"/>
      <w:bookmarkStart w:id="36" w:name="_Toc158203132"/>
    </w:p>
    <w:p>
      <w:pPr>
        <w:pStyle w:val="3"/>
        <w:spacing w:line="240" w:lineRule="auto"/>
        <w:jc w:val="left"/>
        <w:rPr>
          <w:rFonts w:asciiTheme="minorEastAsia" w:hAnsiTheme="minorEastAsia" w:eastAsiaTheme="minorEastAsia"/>
        </w:rPr>
      </w:pPr>
      <w:bookmarkStart w:id="37" w:name="_Toc505350011"/>
      <w:r>
        <w:rPr>
          <w:rFonts w:hint="eastAsia" w:asciiTheme="minorEastAsia" w:hAnsiTheme="minorEastAsia" w:eastAsiaTheme="minorEastAsia"/>
          <w:szCs w:val="28"/>
        </w:rPr>
        <w:t>2.</w:t>
      </w:r>
      <w:r>
        <w:rPr>
          <w:rFonts w:hint="eastAsia" w:asciiTheme="minorEastAsia" w:hAnsiTheme="minorEastAsia" w:eastAsiaTheme="minorEastAsia"/>
          <w:bCs w:val="0"/>
          <w:szCs w:val="28"/>
        </w:rPr>
        <w:t xml:space="preserve"> </w:t>
      </w:r>
      <w:r>
        <w:rPr>
          <w:rFonts w:hint="eastAsia" w:asciiTheme="minorEastAsia" w:hAnsiTheme="minorEastAsia" w:eastAsiaTheme="minorEastAsia"/>
          <w:szCs w:val="28"/>
        </w:rPr>
        <w:t>4山东地炼石脑油价格走势图</w:t>
      </w:r>
      <w:bookmarkEnd w:id="32"/>
      <w:bookmarkEnd w:id="33"/>
      <w:bookmarkEnd w:id="34"/>
      <w:bookmarkEnd w:id="37"/>
    </w:p>
    <w:p>
      <w:pPr>
        <w:widowControl/>
        <w:jc w:val="left"/>
        <w:rPr>
          <w:rFonts w:ascii="宋体" w:hAnsi="宋体" w:cs="宋体"/>
          <w:kern w:val="0"/>
          <w:sz w:val="24"/>
          <w:szCs w:val="24"/>
        </w:rPr>
      </w:pPr>
    </w:p>
    <w:p>
      <w:pPr>
        <w:rPr>
          <w:sz w:val="20"/>
          <w:szCs w:val="20"/>
        </w:rPr>
      </w:pPr>
      <w:r>
        <w:drawing>
          <wp:inline distT="0" distB="0" distL="114300" distR="114300">
            <wp:extent cx="5800725" cy="5928360"/>
            <wp:effectExtent l="0" t="0" r="9525" b="15240"/>
            <wp:docPr id="624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rPr>
          <w:sz w:val="20"/>
          <w:szCs w:val="20"/>
        </w:rPr>
      </w:pPr>
    </w:p>
    <w:bookmarkEnd w:id="35"/>
    <w:bookmarkEnd w:id="36"/>
    <w:p>
      <w:pPr>
        <w:outlineLvl w:val="0"/>
        <w:rPr>
          <w:rFonts w:ascii="黑体" w:eastAsia="黑体"/>
          <w:b/>
          <w:sz w:val="28"/>
          <w:szCs w:val="28"/>
        </w:rPr>
      </w:pPr>
      <w:bookmarkStart w:id="38" w:name="_Toc460250408"/>
      <w:bookmarkStart w:id="39" w:name="_Toc296600816"/>
      <w:bookmarkStart w:id="40" w:name="_Toc505350012"/>
      <w:bookmarkStart w:id="41" w:name="_Toc281568206"/>
      <w:bookmarkStart w:id="42" w:name="_Toc237428455"/>
      <w:r>
        <w:rPr>
          <w:rFonts w:hint="eastAsia" w:ascii="黑体" w:eastAsia="黑体"/>
          <w:b/>
          <w:sz w:val="28"/>
          <w:szCs w:val="28"/>
        </w:rPr>
        <w:t>三、本周国内油品市场分析及预测</w:t>
      </w:r>
      <w:bookmarkEnd w:id="38"/>
      <w:bookmarkEnd w:id="39"/>
      <w:bookmarkEnd w:id="40"/>
      <w:bookmarkEnd w:id="41"/>
      <w:bookmarkEnd w:id="42"/>
      <w:bookmarkStart w:id="43" w:name="_Toc296600817"/>
      <w:bookmarkStart w:id="44" w:name="_Toc281568207"/>
      <w:bookmarkStart w:id="45" w:name="_Toc460250409"/>
      <w:bookmarkStart w:id="46" w:name="_Toc237428456"/>
      <w:bookmarkStart w:id="47" w:name="_Toc176571903"/>
    </w:p>
    <w:p>
      <w:pPr>
        <w:pStyle w:val="2"/>
        <w:spacing w:line="360" w:lineRule="auto"/>
        <w:rPr>
          <w:rFonts w:hint="eastAsia" w:ascii="黑体" w:hAnsi="黑体"/>
          <w:b w:val="0"/>
          <w:kern w:val="2"/>
          <w:sz w:val="28"/>
          <w:szCs w:val="28"/>
        </w:rPr>
      </w:pPr>
      <w:bookmarkStart w:id="48" w:name="_Toc505350013"/>
      <w:r>
        <w:rPr>
          <w:rFonts w:hint="eastAsia" w:ascii="黑体" w:hAnsi="黑体"/>
          <w:b w:val="0"/>
          <w:kern w:val="2"/>
          <w:sz w:val="28"/>
          <w:szCs w:val="28"/>
        </w:rPr>
        <w:t>3．1  成品油市场动态</w:t>
      </w:r>
      <w:bookmarkEnd w:id="43"/>
      <w:bookmarkEnd w:id="44"/>
      <w:bookmarkEnd w:id="45"/>
      <w:bookmarkEnd w:id="48"/>
    </w:p>
    <w:p>
      <w:pPr>
        <w:pStyle w:val="19"/>
        <w:keepNext w:val="0"/>
        <w:keepLines w:val="0"/>
        <w:widowControl/>
        <w:suppressLineNumbers w:val="0"/>
        <w:rPr>
          <w:rFonts w:hint="eastAsia" w:ascii="华文仿宋" w:hAnsi="华文仿宋" w:eastAsia="华文仿宋" w:cs="华文仿宋"/>
          <w:sz w:val="28"/>
          <w:szCs w:val="28"/>
        </w:rPr>
      </w:pPr>
      <w:r>
        <w:rPr>
          <w:sz w:val="21"/>
          <w:szCs w:val="21"/>
        </w:rPr>
        <w:t>　</w:t>
      </w:r>
      <w:r>
        <w:rPr>
          <w:rFonts w:hint="eastAsia" w:ascii="华文仿宋" w:hAnsi="华文仿宋" w:eastAsia="华文仿宋" w:cs="华文仿宋"/>
          <w:sz w:val="28"/>
          <w:szCs w:val="28"/>
        </w:rPr>
        <w:t>本周，国际原油期价高位震荡，受此影响，国内成品油市场购销氛围持淡，各地主营单位汽柴油销售执行优惠政策。与此同时，山东地区成品油行情弱势盘整，部分炼厂报价涨跌互现，且成交保持100元/吨左右优惠。具体来看出货方面：节日期间，买卖双方操作意向低迷，市场购销氛围清淡。节后，受原油上涨提振，中下游商家入市补货操作增加，因此地炼整体出货稍显好转，库存普遍处于中位附近。后市前瞻：进入下周，国际原油期货将继续保持高位震荡的格局，并有进一步上扬的空间。受消息面利好提振，山东地区成品油行情有望稳中上行，买卖双方操作积极性提升，市场交投气氛升温。综上所述，预计下周山东地炼汽柴油价格看涨。</w:t>
      </w:r>
    </w:p>
    <w:p>
      <w:pPr>
        <w:pStyle w:val="19"/>
        <w:keepNext w:val="0"/>
        <w:keepLines w:val="0"/>
        <w:widowControl/>
        <w:suppressLineNumbers w:val="0"/>
        <w:rPr>
          <w:rFonts w:hint="eastAsia" w:ascii="华文仿宋" w:hAnsi="华文仿宋" w:eastAsia="华文仿宋" w:cs="华文仿宋"/>
          <w:sz w:val="28"/>
          <w:szCs w:val="28"/>
        </w:rPr>
      </w:pPr>
      <w:r>
        <w:rPr>
          <w:rFonts w:hint="eastAsia" w:ascii="华文仿宋" w:hAnsi="华文仿宋" w:eastAsia="华文仿宋" w:cs="华文仿宋"/>
          <w:sz w:val="28"/>
          <w:szCs w:val="28"/>
        </w:rPr>
        <w:t>　　华北地区成品油行情涨后趋稳，整体成交气氛十分清淡。具体来看，上周四成品油零售价兑现年内大涨，带动区内汽柴油批发价格顺势上推。不过周内国际原油走势震荡，变化率正向区间收窄，消息面指引有所弱化。再者，恰逢五一假期，市场处于消化库存阶段，且目前成品油价格已至相对高位，从而打压业者补库意愿，市场交投寥寥无几。节后仍处月初多数主营执行稳价政策，部分单位销售意愿增强，高端价格呈现适度回调局面，或者暗中加大优惠，业者则仍显观望，零星小单采购。后市来看，国际原油或维持，主营油价或随之上行，且下周国际原油有望震荡上涨，消息面存有利好支撑，加上市场库存经过消化之后存在补货需求，故预计下周华北地区成品油行情有望保持向好趋势。</w:t>
      </w:r>
    </w:p>
    <w:p>
      <w:pPr>
        <w:pStyle w:val="19"/>
        <w:keepNext w:val="0"/>
        <w:keepLines w:val="0"/>
        <w:widowControl/>
        <w:suppressLineNumbers w:val="0"/>
        <w:rPr>
          <w:rFonts w:hint="eastAsia" w:ascii="华文仿宋" w:hAnsi="华文仿宋" w:eastAsia="华文仿宋" w:cs="华文仿宋"/>
          <w:sz w:val="28"/>
          <w:szCs w:val="28"/>
        </w:rPr>
      </w:pPr>
      <w:r>
        <w:rPr>
          <w:rFonts w:hint="eastAsia" w:ascii="华文仿宋" w:hAnsi="华文仿宋" w:eastAsia="华文仿宋" w:cs="华文仿宋"/>
          <w:sz w:val="28"/>
          <w:szCs w:val="28"/>
        </w:rPr>
        <w:t>　　华南地区成品油行情先扬后抑，市场交投气氛偏淡。具体来看，国际原油期货高位震荡，变化率正向区间收窄，消息面对油市支撑力度相对降低。节前，零售价兑现年内最大涨幅，主营单位汽柴油价格高位坚挺。5月1日起增值税税率下调，汽柴油零售价顺势下跌。假期归来，主营单位汽柴油价格先涨后跌，业者消库之余按需购进，市场交投气氛维持平淡。后市来看，国际原油期货震荡走高为主，消息方面支撑犹存。但业者依然消化库存为主，市场交投气氛提升不易。预计下周华南地区汽柴油行情横盘整理为主。</w:t>
      </w:r>
    </w:p>
    <w:p>
      <w:pPr>
        <w:pStyle w:val="19"/>
        <w:keepNext w:val="0"/>
        <w:keepLines w:val="0"/>
        <w:widowControl/>
        <w:suppressLineNumbers w:val="0"/>
        <w:rPr>
          <w:rFonts w:hint="eastAsia" w:ascii="华文仿宋" w:hAnsi="华文仿宋" w:eastAsia="华文仿宋" w:cs="华文仿宋"/>
          <w:sz w:val="28"/>
          <w:szCs w:val="28"/>
        </w:rPr>
      </w:pPr>
      <w:r>
        <w:rPr>
          <w:rFonts w:hint="eastAsia" w:ascii="华文仿宋" w:hAnsi="华文仿宋" w:eastAsia="华文仿宋" w:cs="华文仿宋"/>
          <w:sz w:val="28"/>
          <w:szCs w:val="28"/>
        </w:rPr>
        <w:t>　　华中地区成品油价格窄幅波动，市场交投气氛十分清淡。具体来看，本周国际原油维持高位震荡，变化率正向区间收窄运行，消息面指引向弱发展。在上周四零售价兑现大幅上调的提振下，部分主营维持挺价，但由于前期价格涨幅较大，现已处于相对高位，故节后归来主营推价较为谨慎，部分维持宽松优惠。但业者入市意向淡薄，偶有小单补货，市场购销略显冷清。后市来看，国际原油或维持高位震荡，零售价仍存上调预期，消息面仍存利好支撑，故预计近期内华中市场成品油仍有上行空间，但主营为保证销售进度，多以稳价为主，部分或暗中加大优惠力度。</w:t>
      </w:r>
    </w:p>
    <w:p>
      <w:pPr>
        <w:pStyle w:val="19"/>
        <w:keepNext w:val="0"/>
        <w:keepLines w:val="0"/>
        <w:widowControl/>
        <w:suppressLineNumbers w:val="0"/>
        <w:rPr>
          <w:rFonts w:hint="eastAsia" w:ascii="华文仿宋" w:hAnsi="华文仿宋" w:eastAsia="华文仿宋" w:cs="华文仿宋"/>
          <w:sz w:val="28"/>
          <w:szCs w:val="28"/>
        </w:rPr>
      </w:pPr>
      <w:r>
        <w:rPr>
          <w:rFonts w:hint="eastAsia" w:ascii="华文仿宋" w:hAnsi="华文仿宋" w:eastAsia="华文仿宋" w:cs="华文仿宋"/>
          <w:sz w:val="28"/>
          <w:szCs w:val="28"/>
        </w:rPr>
        <w:t>　　华东地区成品油行情涨后趋稳整理，市场交投气氛维持清淡。具体来看，国际油价维持高位震荡，新一轮变化率维持正向运行，但消息面支撑较前期有所减弱。节前华东主营销售任务多已完成，且零售价兑现了年内最大涨幅，故汽柴价格进一步涨至高位。而节后归来，市场观望气氛难消，下游用户消化库存为主，入市采购较为有限。华东主营单位月初销售压力不大，汽柴价格较为坚挺，不过部分单位考虑到后期销售压力较大，故提前暗中促销冲量，但整体交投难有明显好转。后市而言，国际油价或仍难改高位震荡，本轮零售价存搁浅或小幅上调可能。而下游库存消耗仍需时日，预计下周华东汽柴行情上涨动力不足，部分地区或存在高位回调可能，市场成交侧重实盘商谈为主。</w:t>
      </w:r>
    </w:p>
    <w:p>
      <w:pPr>
        <w:pStyle w:val="19"/>
        <w:keepNext w:val="0"/>
        <w:keepLines w:val="0"/>
        <w:widowControl/>
        <w:suppressLineNumbers w:val="0"/>
        <w:rPr>
          <w:rFonts w:hint="eastAsia" w:ascii="华文仿宋" w:hAnsi="华文仿宋" w:eastAsia="华文仿宋" w:cs="华文仿宋"/>
          <w:sz w:val="28"/>
          <w:szCs w:val="28"/>
        </w:rPr>
      </w:pPr>
      <w:r>
        <w:rPr>
          <w:rFonts w:hint="eastAsia" w:ascii="华文仿宋" w:hAnsi="华文仿宋" w:eastAsia="华文仿宋" w:cs="华文仿宋"/>
          <w:sz w:val="28"/>
          <w:szCs w:val="28"/>
        </w:rPr>
        <w:t>　　西北地炼汽柴行情涨后回调，市场交投氛围转淡。分析来看：上周四零售价兑现年内最大涨幅，进入新一轮计价周期，变化率维持正向较大幅度运行，区内汽柴行情大幅跟涨。然而，业者前期积极补货，下游库存涨至高位，市场转为去库存阶段，销售公司出货稀少，价格略有回落。“五一”假期至今，国际油价维持高位震荡，变化率正向区间收窄，消息面对市场支撑减弱。并且，社会库存消耗有限，节后业者补货较为谨慎，市场成交难有提升，整体行情维持淡稳。就后市而言，国际油价或震荡走高，变化率正向波动，零售价存小涨预期，届时，西北地炼汽柴行情或小幅跟涨。不过，业者仍消耗前期库存为主，大单补货有限，市场成交难有明显改善。</w:t>
      </w:r>
    </w:p>
    <w:p>
      <w:pPr>
        <w:pStyle w:val="19"/>
        <w:keepNext w:val="0"/>
        <w:keepLines w:val="0"/>
        <w:widowControl/>
        <w:suppressLineNumbers w:val="0"/>
        <w:rPr>
          <w:rFonts w:hint="eastAsia" w:ascii="华文仿宋" w:hAnsi="华文仿宋" w:eastAsia="华文仿宋" w:cs="华文仿宋"/>
          <w:sz w:val="28"/>
          <w:szCs w:val="28"/>
        </w:rPr>
      </w:pPr>
      <w:r>
        <w:rPr>
          <w:rFonts w:hint="eastAsia" w:ascii="华文仿宋" w:hAnsi="华文仿宋" w:eastAsia="华文仿宋" w:cs="华文仿宋"/>
          <w:sz w:val="28"/>
          <w:szCs w:val="28"/>
        </w:rPr>
        <w:t>　　西南地区汽柴行情涨后趋稳，市场购销两淡。分析来看：4月27日成品油零售价兑现首日，区内主营单位价格全线走高，其中汽油上调100元/吨左右，柴油上涨150元/吨。随着汽柴价格涨至高位，业者多退市消库，市场成交气氛持续转淡。进入“五一”小长假之后，汽油需求略有提升，社会库存得到一定消耗，但节后需求面再度转淡;而柴油需求面波动不大，且业者前期库存仍然充足。另外，国际原油走势较为震荡，消息面指引有限，业者节后补货稀少，市场成交难改平淡。不过，月初主营单位销售压力不大，因此价格多高位走稳，仅个别地区略有松动。进入下周，国际油价或保持震荡上行，变化率正向区间窄幅波动，本轮零售价存小涨预期，消息面仍有一定支撑。不过，当前价格维持高位，且业者前期库存消耗缓慢，入市操作有限，市场成交难有明显改善。预计下周西南地区汽柴行情涨势难续，主营销售政策灵活。</w:t>
      </w:r>
    </w:p>
    <w:p>
      <w:pPr>
        <w:pStyle w:val="19"/>
        <w:keepNext w:val="0"/>
        <w:keepLines w:val="0"/>
        <w:widowControl/>
        <w:suppressLineNumbers w:val="0"/>
        <w:rPr>
          <w:rFonts w:hint="eastAsia" w:ascii="华文仿宋" w:hAnsi="华文仿宋" w:eastAsia="华文仿宋" w:cs="华文仿宋"/>
          <w:sz w:val="28"/>
          <w:szCs w:val="28"/>
        </w:rPr>
      </w:pPr>
      <w:r>
        <w:rPr>
          <w:rFonts w:hint="eastAsia" w:ascii="华文仿宋" w:hAnsi="华文仿宋" w:eastAsia="华文仿宋" w:cs="华文仿宋"/>
          <w:sz w:val="28"/>
          <w:szCs w:val="28"/>
        </w:rPr>
        <w:t>　　步入下周，国际原油或继续保持高位震荡走势，变化率将维持正向区间波动，零售价上调预期仍存，消息面对油市有一定利好支撑。就供需面来看，国内主营炼厂和地方炼厂仍处于集中检修阶段，国内成品油供应量短期内恢复有限。且下游工程、基建等柴油终端用油单位基本已全面开工运行，柴油消耗速度加快，市场补货频率增加;汽油方面或因短期内无节假日提振，市场相对平稳。但是前期由于市场价格涨幅较大，油价不断刷新高点，现已处于高位水平，业者对高价有所抵触，市场成交多以小单为主。综合来看，外围消息面与需求面持续利好，国内油价仍存上行空间，但主营为保证销售量，推价较为谨慎，部分出货维持较大优惠。</w:t>
      </w:r>
    </w:p>
    <w:p>
      <w:pPr>
        <w:rPr>
          <w:rFonts w:hint="eastAsia"/>
        </w:rPr>
      </w:pPr>
    </w:p>
    <w:bookmarkEnd w:id="46"/>
    <w:bookmarkEnd w:id="47"/>
    <w:p>
      <w:pPr>
        <w:numPr>
          <w:ilvl w:val="0"/>
          <w:numId w:val="0"/>
        </w:numPr>
        <w:outlineLvl w:val="0"/>
        <w:rPr>
          <w:rFonts w:ascii="黑体"/>
          <w:b/>
          <w:bCs/>
          <w:sz w:val="28"/>
          <w:szCs w:val="28"/>
        </w:rPr>
      </w:pPr>
      <w:bookmarkStart w:id="49" w:name="_Toc505350014"/>
      <w:bookmarkStart w:id="50" w:name="_Toc460250410"/>
      <w:bookmarkStart w:id="51" w:name="_Toc296600818"/>
      <w:bookmarkStart w:id="52" w:name="_Toc369858747"/>
      <w:bookmarkStart w:id="53" w:name="_Toc281568208"/>
      <w:bookmarkStart w:id="54" w:name="_Toc180485827"/>
      <w:bookmarkStart w:id="55" w:name="_Toc281568211"/>
      <w:bookmarkStart w:id="56" w:name="_Toc296600819"/>
      <w:r>
        <w:rPr>
          <w:rFonts w:hint="eastAsia" w:ascii="黑体"/>
          <w:b/>
          <w:bCs/>
          <w:sz w:val="28"/>
          <w:szCs w:val="28"/>
          <w:lang w:eastAsia="zh-CN"/>
        </w:rPr>
        <w:t>四、</w:t>
      </w:r>
      <w:r>
        <w:rPr>
          <w:rFonts w:hint="eastAsia" w:ascii="黑体"/>
          <w:b/>
          <w:bCs/>
          <w:sz w:val="28"/>
          <w:szCs w:val="28"/>
        </w:rPr>
        <w:t>国内溶剂油市场综述</w:t>
      </w:r>
      <w:bookmarkEnd w:id="49"/>
    </w:p>
    <w:p>
      <w:pPr>
        <w:pStyle w:val="19"/>
        <w:keepNext w:val="0"/>
        <w:keepLines w:val="0"/>
        <w:widowControl/>
        <w:suppressLineNumbers w:val="0"/>
        <w:rPr>
          <w:rFonts w:hint="eastAsia" w:ascii="华文仿宋" w:hAnsi="华文仿宋" w:eastAsia="华文仿宋" w:cs="华文仿宋"/>
          <w:sz w:val="28"/>
          <w:szCs w:val="28"/>
        </w:rPr>
      </w:pPr>
      <w:r>
        <w:rPr>
          <w:sz w:val="21"/>
          <w:szCs w:val="21"/>
        </w:rPr>
        <w:t>　</w:t>
      </w:r>
      <w:r>
        <w:rPr>
          <w:rFonts w:hint="eastAsia"/>
          <w:sz w:val="21"/>
          <w:szCs w:val="21"/>
          <w:lang w:val="en-US" w:eastAsia="zh-CN"/>
        </w:rPr>
        <w:t xml:space="preserve">   </w:t>
      </w:r>
      <w:r>
        <w:rPr>
          <w:rFonts w:hint="eastAsia" w:ascii="华文仿宋" w:hAnsi="华文仿宋" w:eastAsia="华文仿宋" w:cs="华文仿宋"/>
          <w:sz w:val="28"/>
          <w:szCs w:val="28"/>
        </w:rPr>
        <w:t>本周溶剂油市场持续低迷整理，观望氛围不减，成交气氛清淡。国际原油高位震荡，消息面利好指引弱化，区内炼厂报盘多以稳为主，局部根据自身销售情况进行涨跌调整。由于市场库存较为充足，故业者采购意愿低迷，整体购销气氛有限，本周溶剂油市场价格平均指数小幅下跌至5512元/吨左右。周初，溶剂油市场走势平缓，观望氛围浓厚。中期，国际原油或保持高位震荡，新一轮零售价存上调预期，消息面仍存利好，不过五一假期在即，市场需求归于平淡。节后，溶剂油行情淡稳为主，节前受成本面支撑，部分炼厂价格调涨，但整体需求疲软，无法支撑整体价格走高，节后返市市场成交维持淡稳。本周国际原油市场中虽不乏伊朗核协议危机等利好消息，但国际油价主要受美元强势反弹、地缘政治局势缓和以及美油库存、产量升高等多头利空打压，油价涨跌不一。其中WTI期货本周均价68.01美元/桶，较上周下跌0.30%，较上月上涨2.54%;本周布伦特期货均价74.20美元/桶，较上周小幅上涨0.16%，较上月上涨3.40%。在现货市场中，本周原油现货均价整体呈现全面推涨的态势，其中塔皮斯原油涨幅最大，较上周上涨3.30%至75.18美元/桶，其次是ESPO原油周均价较上周上涨2.78%至73.24美元/桶，布伦特原油涨幅最小，上涨0.02%至74.51美元/桶，前值为74.49美元/桶。受成本面支撑，部分炼厂溶剂油价格调涨，但整体需求疲软，无法支撑整体价格走高。近期国际油市中美元指数强势反弹至92高位上方，加之美国原油产量和库存双双增加仍在很大程度上限制了油价的上行空间，但好在OPEC积极减产以及委内瑞拉产量下滑等将对冲这一大利空，后市需要密切关注伊朗核协议的结果及制裁，美国若再次对伊朗实施制裁，每日将有30万到50万桶伊朗原油退出市场。综合来看，近期油市底部支撑仍然强劲，但上涨空间有限。消息面利好，溶剂油市场价格或获得支撑，市场整体交投或有所改善。因此预计溶剂油市场行情持稳或稳中小涨的可能居多，成交氛围或有所改观。</w:t>
      </w:r>
    </w:p>
    <w:p>
      <w:pPr>
        <w:pStyle w:val="19"/>
        <w:keepNext w:val="0"/>
        <w:keepLines w:val="0"/>
        <w:widowControl/>
        <w:suppressLineNumbers w:val="0"/>
        <w:rPr>
          <w:rFonts w:hint="eastAsia" w:ascii="华文仿宋" w:hAnsi="华文仿宋" w:eastAsia="华文仿宋" w:cs="华文仿宋"/>
          <w:kern w:val="0"/>
          <w:sz w:val="28"/>
          <w:szCs w:val="28"/>
          <w:lang w:val="en-US" w:eastAsia="zh-CN" w:bidi="ar-SA"/>
        </w:rPr>
      </w:pPr>
    </w:p>
    <w:bookmarkEnd w:id="50"/>
    <w:bookmarkEnd w:id="51"/>
    <w:bookmarkEnd w:id="52"/>
    <w:bookmarkEnd w:id="53"/>
    <w:bookmarkEnd w:id="54"/>
    <w:p>
      <w:pPr>
        <w:pStyle w:val="2"/>
        <w:spacing w:line="360" w:lineRule="auto"/>
        <w:rPr>
          <w:rFonts w:hint="eastAsia" w:ascii="Microsoft YaHei" w:hAnsi="Microsoft YaHei" w:cs="宋体"/>
          <w:kern w:val="0"/>
          <w:sz w:val="23"/>
          <w:szCs w:val="23"/>
        </w:rPr>
      </w:pPr>
      <w:bookmarkStart w:id="57" w:name="_Toc460250411"/>
      <w:bookmarkStart w:id="58" w:name="_Toc505350015"/>
      <w:r>
        <w:rPr>
          <w:rFonts w:hint="eastAsia" w:ascii="黑体" w:hAnsi="宋体"/>
          <w:sz w:val="28"/>
          <w:szCs w:val="28"/>
        </w:rPr>
        <w:t>五、本周国内炼厂溶剂油产品价格对比</w:t>
      </w:r>
      <w:bookmarkEnd w:id="55"/>
      <w:bookmarkEnd w:id="56"/>
      <w:bookmarkEnd w:id="57"/>
      <w:bookmarkEnd w:id="58"/>
    </w:p>
    <w:p>
      <w:pPr>
        <w:rPr>
          <w:rFonts w:ascii="宋体" w:hAnsi="宋体"/>
          <w:sz w:val="20"/>
          <w:szCs w:val="20"/>
        </w:rPr>
      </w:pPr>
      <w:r>
        <w:rPr>
          <w:rFonts w:hint="eastAsia" w:ascii="宋体" w:hAnsi="宋体"/>
          <w:sz w:val="20"/>
          <w:szCs w:val="20"/>
        </w:rPr>
        <w:t>单位：元/吨</w:t>
      </w:r>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8"/>
        <w:gridCol w:w="1947"/>
        <w:gridCol w:w="1087"/>
        <w:gridCol w:w="1091"/>
        <w:gridCol w:w="1087"/>
        <w:gridCol w:w="1091"/>
        <w:gridCol w:w="1244"/>
        <w:gridCol w:w="1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地区</w:t>
            </w:r>
          </w:p>
        </w:tc>
        <w:tc>
          <w:tcPr>
            <w:tcW w:w="1947"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生产厂家</w:t>
            </w:r>
          </w:p>
        </w:tc>
        <w:tc>
          <w:tcPr>
            <w:tcW w:w="1087"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091"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型号</w:t>
            </w:r>
          </w:p>
        </w:tc>
        <w:tc>
          <w:tcPr>
            <w:tcW w:w="1087"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091"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1244"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2018-5-4</w:t>
            </w:r>
          </w:p>
        </w:tc>
        <w:tc>
          <w:tcPr>
            <w:tcW w:w="1141"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锦州石化精细化工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4900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锦州石化精细化工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锦州石化精细化工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大庆精细化工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大庆精细化工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大庆精细化工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大庆精细化工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大庆庆升</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大庆庆升</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大庆庆升</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大庆庆升</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石家庄炼厂</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石家庄炼厂</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石家庄炼厂</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天津天泰实业</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6#窄</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天津天泰实业</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天津天泰实业</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260#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280#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淄博胜炼</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淄博胜炼</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淄博胜炼</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和利时石化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6#窄</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和利时石化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和利时石化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5400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山东集兴化工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山东集兴化工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山东东营旺豪</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山东东营旺豪</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山东东营旺豪</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山东东营旭辰化工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6#窄</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山东东营旭辰化工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5400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山东东营旭辰化工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5300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山东东营旭辰化工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5600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胜利桩西</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胜利桩西</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胜利桩西</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淄博远达化工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淄博远达化工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淄博远达化工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青岛石化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济南炼厂</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东明石化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7150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6700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7250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扬子石化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扬子石化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-7650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镇海炼化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镇海炼化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高桥石化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高桥石化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杭州炼厂</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泰州石化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金陵烷基苯厂</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扬州石化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广州石化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广州石化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广州赫尔普公司</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广州赫尔普公司</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南海志德</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南海志德</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南方石油</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南方石油</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九江石化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九江石化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茂名华粤</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茂名华粤</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260#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福建联合</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中原石化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中原石化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中原石化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5850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巴陵石化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110#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巴陵石化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6600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南阳石化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武汉石化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武汉石化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乌鲁木齐石化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乌鲁木齐石化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乌鲁木齐石化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独山子石化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独山子石化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新疆康佳投资(集团)</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新疆康佳投资(集团)</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吐哈油田</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吐哈油田</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吐哈油田</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吐哈油田</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南充炼厂</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rPr>
          <w:rFonts w:ascii="宋体" w:hAnsi="宋体"/>
          <w:sz w:val="20"/>
          <w:szCs w:val="20"/>
        </w:rPr>
      </w:pPr>
    </w:p>
    <w:p>
      <w:pPr>
        <w:widowControl/>
        <w:jc w:val="center"/>
        <w:rPr>
          <w:rFonts w:hint="eastAsia"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59" w:name="_Toc296600821"/>
      <w:bookmarkStart w:id="60" w:name="_Toc281568213"/>
      <w:bookmarkStart w:id="61" w:name="_Toc505350016"/>
      <w:bookmarkStart w:id="62" w:name="_Toc460250412"/>
      <w:r>
        <w:rPr>
          <w:rFonts w:hint="eastAsia" w:ascii="黑体" w:hAnsi="宋体"/>
          <w:sz w:val="28"/>
          <w:szCs w:val="28"/>
        </w:rPr>
        <w:t>六、D系列特种溶剂油</w:t>
      </w:r>
      <w:bookmarkEnd w:id="59"/>
      <w:bookmarkEnd w:id="60"/>
      <w:bookmarkEnd w:id="61"/>
      <w:bookmarkEnd w:id="62"/>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本周国内D系列溶剂油价格汇总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单位：元/吨</w:t>
      </w:r>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89"/>
        <w:gridCol w:w="1224"/>
        <w:gridCol w:w="1228"/>
        <w:gridCol w:w="1223"/>
        <w:gridCol w:w="1229"/>
        <w:gridCol w:w="1398"/>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生产厂家</w:t>
            </w:r>
          </w:p>
        </w:tc>
        <w:tc>
          <w:tcPr>
            <w:tcW w:w="1224"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228"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型号</w:t>
            </w:r>
          </w:p>
        </w:tc>
        <w:tc>
          <w:tcPr>
            <w:tcW w:w="1223"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229"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1398"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2018-5-4</w:t>
            </w:r>
          </w:p>
        </w:tc>
        <w:tc>
          <w:tcPr>
            <w:tcW w:w="1285"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抚顺石化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抚顺石化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D60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抚顺石化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抚顺石化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D20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7400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D75</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7800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240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8900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D90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240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8900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D95</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240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8900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D105</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7900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240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8900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D110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7900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D120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D30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D60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D90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D140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D30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-1100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D60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-400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7800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8000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8400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D110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D130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8000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8000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D30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D130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D70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D95</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D30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7150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D65</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hAnsi="华文仿宋" w:eastAsia="华文仿宋"/>
          <w:bCs w:val="0"/>
          <w:kern w:val="2"/>
          <w:sz w:val="28"/>
          <w:szCs w:val="28"/>
        </w:rPr>
      </w:pPr>
      <w:bookmarkStart w:id="63" w:name="_Toc505350017"/>
      <w:bookmarkStart w:id="64" w:name="_Toc296600822"/>
      <w:bookmarkStart w:id="65" w:name="_Toc281568214"/>
      <w:bookmarkStart w:id="66" w:name="_Toc460250413"/>
      <w:r>
        <w:rPr>
          <w:rFonts w:hint="eastAsia" w:ascii="华文仿宋" w:hAnsi="华文仿宋" w:eastAsia="华文仿宋"/>
          <w:bCs w:val="0"/>
          <w:kern w:val="2"/>
          <w:sz w:val="28"/>
          <w:szCs w:val="28"/>
        </w:rPr>
        <w:t>七、重芳烃溶剂油</w:t>
      </w:r>
      <w:bookmarkEnd w:id="63"/>
      <w:bookmarkEnd w:id="64"/>
      <w:bookmarkEnd w:id="65"/>
      <w:bookmarkEnd w:id="66"/>
    </w:p>
    <w:p>
      <w:pPr>
        <w:autoSpaceDE w:val="0"/>
        <w:autoSpaceDN w:val="0"/>
        <w:adjustRightInd w:val="0"/>
        <w:ind w:firstLine="140" w:firstLineChars="50"/>
        <w:rPr>
          <w:rFonts w:ascii="华文仿宋" w:hAnsi="华文仿宋" w:eastAsia="华文仿宋"/>
          <w:sz w:val="28"/>
          <w:szCs w:val="28"/>
        </w:rPr>
      </w:pPr>
      <w:r>
        <w:rPr>
          <w:rFonts w:hint="eastAsia" w:ascii="华文仿宋" w:hAnsi="华文仿宋" w:eastAsia="华文仿宋"/>
          <w:sz w:val="28"/>
          <w:szCs w:val="28"/>
        </w:rPr>
        <w:t>单位：元/吨</w:t>
      </w:r>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07"/>
        <w:gridCol w:w="1642"/>
        <w:gridCol w:w="1306"/>
        <w:gridCol w:w="1112"/>
        <w:gridCol w:w="1107"/>
        <w:gridCol w:w="1077"/>
        <w:gridCol w:w="1264"/>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地区</w:t>
            </w:r>
          </w:p>
        </w:tc>
        <w:tc>
          <w:tcPr>
            <w:tcW w:w="164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生产厂家</w:t>
            </w:r>
          </w:p>
        </w:tc>
        <w:tc>
          <w:tcPr>
            <w:tcW w:w="1306"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11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型号</w:t>
            </w:r>
          </w:p>
        </w:tc>
        <w:tc>
          <w:tcPr>
            <w:tcW w:w="1107"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077"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1264"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2018-5-4</w:t>
            </w:r>
          </w:p>
        </w:tc>
        <w:tc>
          <w:tcPr>
            <w:tcW w:w="1161"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辽阳化纤</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辽阳化纤</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辽阳化纤</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盘锦和运实业</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盘锦和运实业</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盘锦和运实业</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混合芳烃</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燕化高新</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燕化高新</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S200#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S100A</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S100B</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天津兴实化工有限公司</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天津兴实化工有限公司</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天津兴实化工有限公司</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S180#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4700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天津兴实化工有限公司</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S200#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丹阳联东化工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混三甲苯-1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丹阳联东化工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混三甲苯-3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丹阳联东化工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混四甲苯</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云合化工厂</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云合化工厂</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云合化工厂</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S-1800#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云合化工厂</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S-2300#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常熟联邦</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常熟联邦</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常熟联邦</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常熟联邦</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4600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S1800A</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S1800B</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S100#A</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S100#B</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S100#C</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S180#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S200#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混合甲乙苯</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混合三甲苯</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洛阳宇晶</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4300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洛阳宇晶</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4000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九江华庐</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C9</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九江华庐</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C10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中海油惠州</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C9</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widowControl/>
        <w:jc w:val="center"/>
        <w:rPr>
          <w:rFonts w:hint="eastAsia" w:ascii="华文仿宋" w:hAnsi="华文仿宋" w:eastAsia="华文仿宋"/>
          <w:sz w:val="28"/>
          <w:szCs w:val="28"/>
          <w:lang w:val="en-US" w:eastAsia="zh-CN"/>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hAnsi="华文仿宋" w:eastAsia="华文仿宋"/>
          <w:bCs w:val="0"/>
          <w:kern w:val="2"/>
          <w:sz w:val="28"/>
          <w:szCs w:val="28"/>
        </w:rPr>
      </w:pPr>
      <w:bookmarkStart w:id="67" w:name="_Toc180485835"/>
      <w:bookmarkStart w:id="68" w:name="_Toc281568215"/>
      <w:bookmarkStart w:id="69" w:name="_Toc296600823"/>
      <w:bookmarkStart w:id="70" w:name="_Toc505350018"/>
      <w:bookmarkStart w:id="71" w:name="_Toc460250414"/>
      <w:r>
        <w:rPr>
          <w:rFonts w:hint="eastAsia" w:ascii="华文仿宋" w:hAnsi="华文仿宋" w:eastAsia="华文仿宋"/>
          <w:bCs w:val="0"/>
          <w:kern w:val="2"/>
          <w:sz w:val="28"/>
          <w:szCs w:val="28"/>
        </w:rPr>
        <w:t>八、正己烷</w:t>
      </w:r>
      <w:bookmarkEnd w:id="67"/>
      <w:bookmarkEnd w:id="68"/>
      <w:bookmarkEnd w:id="69"/>
      <w:bookmarkEnd w:id="70"/>
      <w:bookmarkEnd w:id="71"/>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hAnsi="华文仿宋" w:eastAsia="华文仿宋"/>
          <w:sz w:val="28"/>
          <w:szCs w:val="28"/>
        </w:rPr>
      </w:pPr>
      <w:r>
        <w:rPr>
          <w:rFonts w:hint="eastAsia" w:ascii="华文仿宋" w:hAnsi="华文仿宋" w:eastAsia="华文仿宋"/>
          <w:sz w:val="28"/>
          <w:szCs w:val="28"/>
        </w:rPr>
        <w:t>本周国内正己烷价格汇总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 xml:space="preserve">单位：元/吨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78"/>
        <w:gridCol w:w="1877"/>
        <w:gridCol w:w="1882"/>
        <w:gridCol w:w="2156"/>
        <w:gridCol w:w="1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877"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88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2156"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2018-5-4</w:t>
            </w:r>
          </w:p>
        </w:tc>
        <w:tc>
          <w:tcPr>
            <w:tcW w:w="1983"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8000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7100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40</w:t>
            </w:r>
          </w:p>
        </w:tc>
        <w:tc>
          <w:tcPr>
            <w:tcW w:w="2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7040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7500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400</w:t>
            </w:r>
          </w:p>
        </w:tc>
        <w:tc>
          <w:tcPr>
            <w:tcW w:w="2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7100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hint="eastAsia" w:ascii="华文仿宋" w:hAnsi="华文仿宋" w:eastAsia="华文仿宋"/>
          <w:b w:val="0"/>
          <w:bCs w:val="0"/>
          <w:kern w:val="2"/>
          <w:sz w:val="28"/>
          <w:szCs w:val="28"/>
        </w:rPr>
      </w:pPr>
      <w:bookmarkStart w:id="72" w:name="_Toc505350019"/>
      <w:bookmarkStart w:id="73" w:name="_Toc460250415"/>
      <w:bookmarkStart w:id="74" w:name="_Toc281568216"/>
      <w:bookmarkStart w:id="75" w:name="_Toc296600824"/>
      <w:r>
        <w:rPr>
          <w:rFonts w:hint="eastAsia" w:ascii="华文仿宋" w:hAnsi="华文仿宋" w:eastAsia="华文仿宋"/>
          <w:b w:val="0"/>
          <w:bCs w:val="0"/>
          <w:kern w:val="2"/>
          <w:sz w:val="28"/>
          <w:szCs w:val="28"/>
        </w:rPr>
        <w:t>九、201</w:t>
      </w:r>
      <w:r>
        <w:rPr>
          <w:rFonts w:hint="eastAsia" w:ascii="华文仿宋" w:hAnsi="华文仿宋" w:eastAsia="华文仿宋"/>
          <w:b w:val="0"/>
          <w:bCs w:val="0"/>
          <w:kern w:val="2"/>
          <w:sz w:val="28"/>
          <w:szCs w:val="28"/>
          <w:lang w:val="en-US" w:eastAsia="zh-CN"/>
        </w:rPr>
        <w:t>8</w:t>
      </w:r>
      <w:r>
        <w:rPr>
          <w:rFonts w:hint="eastAsia" w:ascii="华文仿宋" w:hAnsi="华文仿宋" w:eastAsia="华文仿宋"/>
          <w:b w:val="0"/>
          <w:bCs w:val="0"/>
          <w:kern w:val="2"/>
          <w:sz w:val="28"/>
          <w:szCs w:val="28"/>
        </w:rPr>
        <w:t>年</w:t>
      </w:r>
      <w:r>
        <w:rPr>
          <w:rFonts w:hint="eastAsia" w:ascii="华文仿宋" w:hAnsi="华文仿宋" w:eastAsia="华文仿宋"/>
          <w:b w:val="0"/>
          <w:bCs w:val="0"/>
          <w:kern w:val="2"/>
          <w:sz w:val="28"/>
          <w:szCs w:val="28"/>
          <w:lang w:val="en-US" w:eastAsia="zh-CN"/>
        </w:rPr>
        <w:t>3</w:t>
      </w:r>
      <w:r>
        <w:rPr>
          <w:rFonts w:hint="eastAsia" w:ascii="华文仿宋" w:hAnsi="华文仿宋" w:eastAsia="华文仿宋"/>
          <w:b w:val="0"/>
          <w:bCs w:val="0"/>
          <w:kern w:val="2"/>
          <w:sz w:val="28"/>
          <w:szCs w:val="28"/>
        </w:rPr>
        <w:t>月中国溶剂油石脑油进出口数据统计</w:t>
      </w:r>
      <w:bookmarkEnd w:id="72"/>
      <w:bookmarkEnd w:id="73"/>
      <w:bookmarkEnd w:id="74"/>
      <w:bookmarkEnd w:id="75"/>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bookmarkStart w:id="76" w:name="_Toc296600826"/>
      <w:bookmarkStart w:id="77" w:name="_Toc281568218"/>
      <w:r>
        <w:rPr>
          <w:rFonts w:hint="eastAsia" w:ascii="华文仿宋" w:hAnsi="华文仿宋" w:eastAsia="华文仿宋"/>
          <w:sz w:val="28"/>
          <w:szCs w:val="28"/>
        </w:rPr>
        <w:t>201</w:t>
      </w:r>
      <w:r>
        <w:rPr>
          <w:rFonts w:hint="eastAsia" w:ascii="华文仿宋" w:hAnsi="华文仿宋" w:eastAsia="华文仿宋"/>
          <w:sz w:val="28"/>
          <w:szCs w:val="28"/>
          <w:lang w:val="en-US" w:eastAsia="zh-CN"/>
        </w:rPr>
        <w:t>8</w:t>
      </w:r>
      <w:r>
        <w:rPr>
          <w:rFonts w:hint="eastAsia" w:ascii="华文仿宋" w:hAnsi="华文仿宋" w:eastAsia="华文仿宋"/>
          <w:sz w:val="28"/>
          <w:szCs w:val="28"/>
        </w:rPr>
        <w:t>年</w:t>
      </w:r>
      <w:r>
        <w:rPr>
          <w:rFonts w:hint="eastAsia" w:ascii="华文仿宋" w:hAnsi="华文仿宋" w:eastAsia="华文仿宋"/>
          <w:sz w:val="28"/>
          <w:szCs w:val="28"/>
          <w:lang w:val="en-US" w:eastAsia="zh-CN"/>
        </w:rPr>
        <w:t>3</w:t>
      </w:r>
      <w:r>
        <w:rPr>
          <w:rFonts w:hint="eastAsia" w:ascii="华文仿宋" w:hAnsi="华文仿宋" w:eastAsia="华文仿宋"/>
          <w:sz w:val="28"/>
          <w:szCs w:val="28"/>
        </w:rPr>
        <w:t>月中国</w:t>
      </w:r>
      <w:r>
        <w:rPr>
          <w:rFonts w:ascii="华文仿宋" w:hAnsi="华文仿宋" w:eastAsia="华文仿宋"/>
          <w:sz w:val="28"/>
          <w:szCs w:val="28"/>
        </w:rPr>
        <w:t>橡胶溶剂油、油漆溶剂油、抽提溶剂油</w:t>
      </w:r>
      <w:bookmarkEnd w:id="76"/>
      <w:bookmarkEnd w:id="77"/>
      <w:r>
        <w:rPr>
          <w:rFonts w:hint="eastAsia" w:ascii="华文仿宋" w:hAnsi="华文仿宋" w:eastAsia="华文仿宋"/>
          <w:sz w:val="28"/>
          <w:szCs w:val="28"/>
        </w:rPr>
        <w:t>进出口数据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r>
        <w:rPr>
          <w:rFonts w:hint="eastAsia" w:ascii="华文仿宋" w:hAnsi="华文仿宋" w:eastAsia="华文仿宋"/>
          <w:sz w:val="28"/>
          <w:szCs w:val="28"/>
        </w:rPr>
        <w:t>(数量单位：千克/升 金额单位: 美元)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80"/>
        <w:gridCol w:w="1790"/>
        <w:gridCol w:w="1621"/>
        <w:gridCol w:w="1743"/>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产销国</w:t>
            </w:r>
          </w:p>
        </w:tc>
        <w:tc>
          <w:tcPr>
            <w:tcW w:w="1790"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进口数量</w:t>
            </w:r>
          </w:p>
        </w:tc>
        <w:tc>
          <w:tcPr>
            <w:tcW w:w="1621"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进口美元</w:t>
            </w:r>
          </w:p>
        </w:tc>
        <w:tc>
          <w:tcPr>
            <w:tcW w:w="1743"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出口数量</w:t>
            </w:r>
          </w:p>
        </w:tc>
        <w:tc>
          <w:tcPr>
            <w:tcW w:w="1742"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俄罗斯联邦</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4964</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台湾省</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10560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23654</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德国</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26</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986</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新加坡</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785199</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1096866</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日本</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43468</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92487</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朝鲜</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30020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42028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比利时</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2559</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8202</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法国</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174</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泰国</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12400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12524</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美国</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628</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4506</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荷兰</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1216</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4139</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韩国</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35760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53998</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香港</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24960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41434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马来西亚</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32600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35244</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r>
        <w:rPr>
          <w:rFonts w:hint="eastAsia" w:ascii="华文仿宋" w:hAnsi="华文仿宋" w:eastAsia="华文仿宋"/>
          <w:sz w:val="28"/>
          <w:szCs w:val="28"/>
        </w:rPr>
        <w:t>201</w:t>
      </w:r>
      <w:r>
        <w:rPr>
          <w:rFonts w:hint="eastAsia" w:ascii="华文仿宋" w:hAnsi="华文仿宋" w:eastAsia="华文仿宋"/>
          <w:sz w:val="28"/>
          <w:szCs w:val="28"/>
          <w:lang w:val="en-US" w:eastAsia="zh-CN"/>
        </w:rPr>
        <w:t>8</w:t>
      </w:r>
      <w:r>
        <w:rPr>
          <w:rFonts w:hint="eastAsia" w:ascii="华文仿宋" w:hAnsi="华文仿宋" w:eastAsia="华文仿宋"/>
          <w:sz w:val="28"/>
          <w:szCs w:val="28"/>
        </w:rPr>
        <w:t>年</w:t>
      </w:r>
      <w:r>
        <w:rPr>
          <w:rFonts w:hint="eastAsia" w:ascii="华文仿宋" w:hAnsi="华文仿宋" w:eastAsia="华文仿宋"/>
          <w:sz w:val="28"/>
          <w:szCs w:val="28"/>
          <w:lang w:val="en-US" w:eastAsia="zh-CN"/>
        </w:rPr>
        <w:t>2</w:t>
      </w:r>
      <w:r>
        <w:rPr>
          <w:rFonts w:hint="eastAsia" w:ascii="华文仿宋" w:hAnsi="华文仿宋" w:eastAsia="华文仿宋"/>
          <w:sz w:val="28"/>
          <w:szCs w:val="28"/>
        </w:rPr>
        <w:t>月石脑油进出口数据(数量单位：千克/升 金额单位: 美元)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55"/>
        <w:gridCol w:w="1955"/>
        <w:gridCol w:w="1956"/>
        <w:gridCol w:w="1955"/>
        <w:gridCol w:w="1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产销国</w:t>
            </w:r>
          </w:p>
        </w:tc>
        <w:tc>
          <w:tcPr>
            <w:tcW w:w="1955"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进口数量</w:t>
            </w:r>
          </w:p>
        </w:tc>
        <w:tc>
          <w:tcPr>
            <w:tcW w:w="1956"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进口美元</w:t>
            </w:r>
          </w:p>
        </w:tc>
        <w:tc>
          <w:tcPr>
            <w:tcW w:w="1955"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出口数量</w:t>
            </w:r>
          </w:p>
        </w:tc>
        <w:tc>
          <w:tcPr>
            <w:tcW w:w="1955"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俄罗斯联邦</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60850458</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32928505</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印度</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29972525</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17664699</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埃及</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36355897</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21572481</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日本</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86</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荷兰</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55866332</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32618531</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阿拉伯联合酋长国</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55461759</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32868053</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韩国</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64861818</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37385693</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widowControl/>
        <w:jc w:val="center"/>
        <w:rPr>
          <w:rFonts w:ascii="华文仿宋" w:hAnsi="华文仿宋" w:eastAsia="华文仿宋"/>
          <w:sz w:val="28"/>
          <w:szCs w:val="28"/>
        </w:rPr>
      </w:pPr>
    </w:p>
    <w:sectPr>
      <w:headerReference r:id="rId3" w:type="default"/>
      <w:footerReference r:id="rId4" w:type="default"/>
      <w:pgSz w:w="11906" w:h="16838"/>
      <w:pgMar w:top="1440" w:right="1080" w:bottom="1440" w:left="1080" w:header="851" w:footer="992" w:gutter="0"/>
      <w:pgBorders>
        <w:top w:val="none" w:sz="0" w:space="0"/>
        <w:left w:val="none" w:sz="0" w:space="0"/>
        <w:bottom w:val="none" w:sz="0" w:space="0"/>
        <w:right w:val="none" w:sz="0" w:space="0"/>
      </w:pgBorders>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Arial Unicode MS">
    <w:altName w:val="宋体"/>
    <w:panose1 w:val="020B0604020202020204"/>
    <w:charset w:val="86"/>
    <w:family w:val="swiss"/>
    <w:pitch w:val="default"/>
    <w:sig w:usb0="00000000" w:usb1="00000000" w:usb2="0000003F" w:usb3="00000000" w:csb0="003F01FF" w:csb1="0000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Microsoft YaHei">
    <w:altName w:val="Courier New"/>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roman"/>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44</w:t>
    </w:r>
    <w:r>
      <w:rPr>
        <w:b/>
        <w:bCs/>
        <w:sz w:val="24"/>
        <w:szCs w:val="24"/>
      </w:rPr>
      <w:fldChar w:fldCharType="end"/>
    </w:r>
  </w:p>
  <w:p>
    <w:pPr>
      <w:pStyle w:val="12"/>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pPr>
      <w:pStyle w:val="13"/>
      <w:pBdr>
        <w:bottom w:val="none" w:color="auto" w:sz="0" w:space="0"/>
      </w:pBdr>
    </w:pPr>
  </w:p>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7D6932"/>
    <w:multiLevelType w:val="singleLevel"/>
    <w:tmpl w:val="F97D6932"/>
    <w:lvl w:ilvl="0" w:tentative="0">
      <w:start w:val="1"/>
      <w:numFmt w:val="decimal"/>
      <w:suff w:val="nothing"/>
      <w:lvlText w:val="%1、"/>
      <w:lvlJc w:val="left"/>
    </w:lvl>
  </w:abstractNum>
  <w:abstractNum w:abstractNumId="1">
    <w:nsid w:val="2E66BECC"/>
    <w:multiLevelType w:val="singleLevel"/>
    <w:tmpl w:val="2E66BECC"/>
    <w:lvl w:ilvl="0" w:tentative="0">
      <w:start w:val="1"/>
      <w:numFmt w:val="decimal"/>
      <w:suff w:val="nothing"/>
      <w:lvlText w:val="%1、"/>
      <w:lvlJc w:val="left"/>
    </w:lvl>
  </w:abstractNum>
  <w:abstractNum w:abstractNumId="2">
    <w:nsid w:val="37716F8E"/>
    <w:multiLevelType w:val="singleLevel"/>
    <w:tmpl w:val="37716F8E"/>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4CFF"/>
    <w:rsid w:val="000071C7"/>
    <w:rsid w:val="00007808"/>
    <w:rsid w:val="000121DE"/>
    <w:rsid w:val="00013FDF"/>
    <w:rsid w:val="00037E49"/>
    <w:rsid w:val="000425F6"/>
    <w:rsid w:val="000436BC"/>
    <w:rsid w:val="000516D9"/>
    <w:rsid w:val="00052A4E"/>
    <w:rsid w:val="0005567F"/>
    <w:rsid w:val="00057ECC"/>
    <w:rsid w:val="00060511"/>
    <w:rsid w:val="00061563"/>
    <w:rsid w:val="00062A8E"/>
    <w:rsid w:val="00063B35"/>
    <w:rsid w:val="00064D33"/>
    <w:rsid w:val="000654E9"/>
    <w:rsid w:val="000672ED"/>
    <w:rsid w:val="000824CA"/>
    <w:rsid w:val="000828AD"/>
    <w:rsid w:val="00085917"/>
    <w:rsid w:val="000862A0"/>
    <w:rsid w:val="00087B10"/>
    <w:rsid w:val="00096A95"/>
    <w:rsid w:val="00097DEF"/>
    <w:rsid w:val="000A0D0E"/>
    <w:rsid w:val="000B1002"/>
    <w:rsid w:val="000B1594"/>
    <w:rsid w:val="000B2483"/>
    <w:rsid w:val="000B4670"/>
    <w:rsid w:val="000C4C8D"/>
    <w:rsid w:val="000D02E6"/>
    <w:rsid w:val="000D3893"/>
    <w:rsid w:val="000D6DB7"/>
    <w:rsid w:val="000D7C1F"/>
    <w:rsid w:val="000E12DD"/>
    <w:rsid w:val="000E3ED3"/>
    <w:rsid w:val="000E4486"/>
    <w:rsid w:val="000F4930"/>
    <w:rsid w:val="000F6AFC"/>
    <w:rsid w:val="00100B41"/>
    <w:rsid w:val="001028D9"/>
    <w:rsid w:val="00103D77"/>
    <w:rsid w:val="001045A7"/>
    <w:rsid w:val="00111DD8"/>
    <w:rsid w:val="00111F37"/>
    <w:rsid w:val="00113D3C"/>
    <w:rsid w:val="00114C42"/>
    <w:rsid w:val="00114D13"/>
    <w:rsid w:val="00123276"/>
    <w:rsid w:val="00130438"/>
    <w:rsid w:val="001316A0"/>
    <w:rsid w:val="001351B0"/>
    <w:rsid w:val="00137FFE"/>
    <w:rsid w:val="00147D86"/>
    <w:rsid w:val="00167025"/>
    <w:rsid w:val="00183F2A"/>
    <w:rsid w:val="00194FF2"/>
    <w:rsid w:val="00195689"/>
    <w:rsid w:val="001A3318"/>
    <w:rsid w:val="001A58F5"/>
    <w:rsid w:val="001B0F30"/>
    <w:rsid w:val="001B2E5D"/>
    <w:rsid w:val="001B32BE"/>
    <w:rsid w:val="001B7F7D"/>
    <w:rsid w:val="001C077C"/>
    <w:rsid w:val="001C20CD"/>
    <w:rsid w:val="001C37E2"/>
    <w:rsid w:val="001C5CC6"/>
    <w:rsid w:val="001D1279"/>
    <w:rsid w:val="001D2FA8"/>
    <w:rsid w:val="001D35A4"/>
    <w:rsid w:val="001D3943"/>
    <w:rsid w:val="001D408B"/>
    <w:rsid w:val="001D48F1"/>
    <w:rsid w:val="001E2FF2"/>
    <w:rsid w:val="001E7175"/>
    <w:rsid w:val="001F0235"/>
    <w:rsid w:val="001F24AD"/>
    <w:rsid w:val="001F325D"/>
    <w:rsid w:val="001F3557"/>
    <w:rsid w:val="00200758"/>
    <w:rsid w:val="00212A13"/>
    <w:rsid w:val="00214955"/>
    <w:rsid w:val="0021517F"/>
    <w:rsid w:val="00216D04"/>
    <w:rsid w:val="00225CE6"/>
    <w:rsid w:val="00227F5A"/>
    <w:rsid w:val="00234D42"/>
    <w:rsid w:val="002366DE"/>
    <w:rsid w:val="00237B6C"/>
    <w:rsid w:val="00240DF6"/>
    <w:rsid w:val="002447EA"/>
    <w:rsid w:val="00244F15"/>
    <w:rsid w:val="002477D4"/>
    <w:rsid w:val="002502CA"/>
    <w:rsid w:val="002517C0"/>
    <w:rsid w:val="00251F8B"/>
    <w:rsid w:val="00260BDE"/>
    <w:rsid w:val="002614B0"/>
    <w:rsid w:val="00261884"/>
    <w:rsid w:val="00262F32"/>
    <w:rsid w:val="00274D99"/>
    <w:rsid w:val="00277D2C"/>
    <w:rsid w:val="002828E1"/>
    <w:rsid w:val="00290A13"/>
    <w:rsid w:val="0029167F"/>
    <w:rsid w:val="0029698F"/>
    <w:rsid w:val="002A0B34"/>
    <w:rsid w:val="002A1698"/>
    <w:rsid w:val="002B018D"/>
    <w:rsid w:val="002B3AF4"/>
    <w:rsid w:val="002C3203"/>
    <w:rsid w:val="002D0CDE"/>
    <w:rsid w:val="002D1062"/>
    <w:rsid w:val="002D12FA"/>
    <w:rsid w:val="002D67FA"/>
    <w:rsid w:val="002E1DC1"/>
    <w:rsid w:val="002E38DB"/>
    <w:rsid w:val="002F33D8"/>
    <w:rsid w:val="002F4F0E"/>
    <w:rsid w:val="002F5234"/>
    <w:rsid w:val="002F54D8"/>
    <w:rsid w:val="00307354"/>
    <w:rsid w:val="0032110B"/>
    <w:rsid w:val="003240B9"/>
    <w:rsid w:val="00324F27"/>
    <w:rsid w:val="00327FC0"/>
    <w:rsid w:val="00344452"/>
    <w:rsid w:val="003530D9"/>
    <w:rsid w:val="00355C68"/>
    <w:rsid w:val="003572B9"/>
    <w:rsid w:val="0035738C"/>
    <w:rsid w:val="0036061A"/>
    <w:rsid w:val="00361079"/>
    <w:rsid w:val="00365DE0"/>
    <w:rsid w:val="00370336"/>
    <w:rsid w:val="00370DF6"/>
    <w:rsid w:val="0037670E"/>
    <w:rsid w:val="00377F89"/>
    <w:rsid w:val="00380D44"/>
    <w:rsid w:val="00381DF6"/>
    <w:rsid w:val="00384C31"/>
    <w:rsid w:val="00387771"/>
    <w:rsid w:val="00391FCD"/>
    <w:rsid w:val="00394660"/>
    <w:rsid w:val="00397D27"/>
    <w:rsid w:val="003A05B5"/>
    <w:rsid w:val="003A177D"/>
    <w:rsid w:val="003A4492"/>
    <w:rsid w:val="003B2552"/>
    <w:rsid w:val="003B4A54"/>
    <w:rsid w:val="003C393A"/>
    <w:rsid w:val="003D18AF"/>
    <w:rsid w:val="003D6166"/>
    <w:rsid w:val="003D632C"/>
    <w:rsid w:val="003E2A66"/>
    <w:rsid w:val="003F15E2"/>
    <w:rsid w:val="003F26E1"/>
    <w:rsid w:val="003F30FD"/>
    <w:rsid w:val="003F5F7C"/>
    <w:rsid w:val="003F6DCC"/>
    <w:rsid w:val="003F76C3"/>
    <w:rsid w:val="00407D07"/>
    <w:rsid w:val="0041068E"/>
    <w:rsid w:val="0041230B"/>
    <w:rsid w:val="00412C3D"/>
    <w:rsid w:val="00417CA3"/>
    <w:rsid w:val="00420769"/>
    <w:rsid w:val="00421410"/>
    <w:rsid w:val="004220B2"/>
    <w:rsid w:val="00424E11"/>
    <w:rsid w:val="004326DA"/>
    <w:rsid w:val="00432A38"/>
    <w:rsid w:val="00437B9F"/>
    <w:rsid w:val="00445837"/>
    <w:rsid w:val="00447890"/>
    <w:rsid w:val="00452199"/>
    <w:rsid w:val="00452E7F"/>
    <w:rsid w:val="004535CF"/>
    <w:rsid w:val="00455FD1"/>
    <w:rsid w:val="00465A63"/>
    <w:rsid w:val="0047082D"/>
    <w:rsid w:val="00474BA0"/>
    <w:rsid w:val="00475BC4"/>
    <w:rsid w:val="00476DE0"/>
    <w:rsid w:val="00476F38"/>
    <w:rsid w:val="004774BB"/>
    <w:rsid w:val="00485005"/>
    <w:rsid w:val="0049171C"/>
    <w:rsid w:val="00491A4E"/>
    <w:rsid w:val="00494524"/>
    <w:rsid w:val="004A2527"/>
    <w:rsid w:val="004A6E28"/>
    <w:rsid w:val="004A7473"/>
    <w:rsid w:val="004A7B5F"/>
    <w:rsid w:val="004B078A"/>
    <w:rsid w:val="004B2762"/>
    <w:rsid w:val="004B4629"/>
    <w:rsid w:val="004B5ABD"/>
    <w:rsid w:val="004C0320"/>
    <w:rsid w:val="004C1F94"/>
    <w:rsid w:val="004C2578"/>
    <w:rsid w:val="004C515D"/>
    <w:rsid w:val="004D1EB5"/>
    <w:rsid w:val="004D3C9D"/>
    <w:rsid w:val="004D6F1B"/>
    <w:rsid w:val="004E0D9B"/>
    <w:rsid w:val="004E2F19"/>
    <w:rsid w:val="004F3817"/>
    <w:rsid w:val="004F491D"/>
    <w:rsid w:val="004F57CD"/>
    <w:rsid w:val="004F7B37"/>
    <w:rsid w:val="0050120B"/>
    <w:rsid w:val="00501686"/>
    <w:rsid w:val="00501DD8"/>
    <w:rsid w:val="00504E0E"/>
    <w:rsid w:val="00510901"/>
    <w:rsid w:val="0051359C"/>
    <w:rsid w:val="00517918"/>
    <w:rsid w:val="0052375A"/>
    <w:rsid w:val="00524DE5"/>
    <w:rsid w:val="00527E80"/>
    <w:rsid w:val="00530810"/>
    <w:rsid w:val="0053224A"/>
    <w:rsid w:val="00533757"/>
    <w:rsid w:val="005351E4"/>
    <w:rsid w:val="005429EE"/>
    <w:rsid w:val="00542C07"/>
    <w:rsid w:val="005579EC"/>
    <w:rsid w:val="00565438"/>
    <w:rsid w:val="005666EC"/>
    <w:rsid w:val="005670E7"/>
    <w:rsid w:val="005673DC"/>
    <w:rsid w:val="00581114"/>
    <w:rsid w:val="00581F9C"/>
    <w:rsid w:val="00585C56"/>
    <w:rsid w:val="00587D98"/>
    <w:rsid w:val="00595E1A"/>
    <w:rsid w:val="0059652E"/>
    <w:rsid w:val="005965F5"/>
    <w:rsid w:val="00597232"/>
    <w:rsid w:val="005A4B85"/>
    <w:rsid w:val="005B12A5"/>
    <w:rsid w:val="005B36D7"/>
    <w:rsid w:val="005B4843"/>
    <w:rsid w:val="005B5D5F"/>
    <w:rsid w:val="005B67FC"/>
    <w:rsid w:val="005C1130"/>
    <w:rsid w:val="005C1227"/>
    <w:rsid w:val="005C2613"/>
    <w:rsid w:val="005C5518"/>
    <w:rsid w:val="005C6091"/>
    <w:rsid w:val="005D7C50"/>
    <w:rsid w:val="005E01E3"/>
    <w:rsid w:val="005E1F2A"/>
    <w:rsid w:val="005E2512"/>
    <w:rsid w:val="00612F43"/>
    <w:rsid w:val="006145D2"/>
    <w:rsid w:val="00623E59"/>
    <w:rsid w:val="00627BE6"/>
    <w:rsid w:val="00630ED3"/>
    <w:rsid w:val="0063461D"/>
    <w:rsid w:val="00640ACF"/>
    <w:rsid w:val="00650197"/>
    <w:rsid w:val="00650D2E"/>
    <w:rsid w:val="00660BE8"/>
    <w:rsid w:val="00660FA3"/>
    <w:rsid w:val="00661E23"/>
    <w:rsid w:val="00672B6D"/>
    <w:rsid w:val="00673BF4"/>
    <w:rsid w:val="00674F58"/>
    <w:rsid w:val="00677A2A"/>
    <w:rsid w:val="006813E0"/>
    <w:rsid w:val="00685F6D"/>
    <w:rsid w:val="00690DD2"/>
    <w:rsid w:val="00693C56"/>
    <w:rsid w:val="00695E69"/>
    <w:rsid w:val="006A3863"/>
    <w:rsid w:val="006A3B86"/>
    <w:rsid w:val="006B315F"/>
    <w:rsid w:val="006B389F"/>
    <w:rsid w:val="006B4454"/>
    <w:rsid w:val="006B4F5F"/>
    <w:rsid w:val="006C0BE2"/>
    <w:rsid w:val="006C745D"/>
    <w:rsid w:val="006D0372"/>
    <w:rsid w:val="006D0B7F"/>
    <w:rsid w:val="006D0C94"/>
    <w:rsid w:val="006D23A3"/>
    <w:rsid w:val="006D6ABD"/>
    <w:rsid w:val="006E195D"/>
    <w:rsid w:val="006E58D9"/>
    <w:rsid w:val="006E7999"/>
    <w:rsid w:val="006F2697"/>
    <w:rsid w:val="006F7170"/>
    <w:rsid w:val="00720A30"/>
    <w:rsid w:val="00721AE4"/>
    <w:rsid w:val="00723454"/>
    <w:rsid w:val="007271CA"/>
    <w:rsid w:val="00730BB5"/>
    <w:rsid w:val="007314A0"/>
    <w:rsid w:val="00731F5F"/>
    <w:rsid w:val="007326DF"/>
    <w:rsid w:val="00742A37"/>
    <w:rsid w:val="00763F6F"/>
    <w:rsid w:val="00765F8B"/>
    <w:rsid w:val="00767C71"/>
    <w:rsid w:val="007752FF"/>
    <w:rsid w:val="00776D2B"/>
    <w:rsid w:val="007815C0"/>
    <w:rsid w:val="00782BC6"/>
    <w:rsid w:val="00783A4E"/>
    <w:rsid w:val="00785313"/>
    <w:rsid w:val="00785EE7"/>
    <w:rsid w:val="007873C3"/>
    <w:rsid w:val="00793DD7"/>
    <w:rsid w:val="00797A26"/>
    <w:rsid w:val="007A3B57"/>
    <w:rsid w:val="007A73BE"/>
    <w:rsid w:val="007A78BE"/>
    <w:rsid w:val="007B38A5"/>
    <w:rsid w:val="007B3E0D"/>
    <w:rsid w:val="007B4C66"/>
    <w:rsid w:val="007C001C"/>
    <w:rsid w:val="007C0E95"/>
    <w:rsid w:val="007C32F6"/>
    <w:rsid w:val="007C748B"/>
    <w:rsid w:val="007D28DE"/>
    <w:rsid w:val="007E52C7"/>
    <w:rsid w:val="007E6808"/>
    <w:rsid w:val="007F0394"/>
    <w:rsid w:val="007F1029"/>
    <w:rsid w:val="007F4B19"/>
    <w:rsid w:val="00806040"/>
    <w:rsid w:val="008156F9"/>
    <w:rsid w:val="008161B2"/>
    <w:rsid w:val="00832565"/>
    <w:rsid w:val="008336D0"/>
    <w:rsid w:val="00835D26"/>
    <w:rsid w:val="00836111"/>
    <w:rsid w:val="00837F73"/>
    <w:rsid w:val="00837FE5"/>
    <w:rsid w:val="008400E1"/>
    <w:rsid w:val="00844D40"/>
    <w:rsid w:val="0085080D"/>
    <w:rsid w:val="00851423"/>
    <w:rsid w:val="00851E9E"/>
    <w:rsid w:val="008526E8"/>
    <w:rsid w:val="00853E97"/>
    <w:rsid w:val="00863FA6"/>
    <w:rsid w:val="00867B6F"/>
    <w:rsid w:val="00871AD9"/>
    <w:rsid w:val="00881178"/>
    <w:rsid w:val="00881E5D"/>
    <w:rsid w:val="0088710F"/>
    <w:rsid w:val="00887728"/>
    <w:rsid w:val="00887BB7"/>
    <w:rsid w:val="00890FEA"/>
    <w:rsid w:val="00894685"/>
    <w:rsid w:val="00897839"/>
    <w:rsid w:val="008A0EA8"/>
    <w:rsid w:val="008A71DE"/>
    <w:rsid w:val="008D3798"/>
    <w:rsid w:val="008D4C33"/>
    <w:rsid w:val="008D6398"/>
    <w:rsid w:val="008E2155"/>
    <w:rsid w:val="008E2C6F"/>
    <w:rsid w:val="008E6CAE"/>
    <w:rsid w:val="008F047D"/>
    <w:rsid w:val="008F309D"/>
    <w:rsid w:val="008F4D12"/>
    <w:rsid w:val="009136FA"/>
    <w:rsid w:val="009166B6"/>
    <w:rsid w:val="00917A6A"/>
    <w:rsid w:val="00920F2D"/>
    <w:rsid w:val="00921A1B"/>
    <w:rsid w:val="00922FF4"/>
    <w:rsid w:val="009347F0"/>
    <w:rsid w:val="00935F33"/>
    <w:rsid w:val="0093638A"/>
    <w:rsid w:val="009378FF"/>
    <w:rsid w:val="00940754"/>
    <w:rsid w:val="00944A63"/>
    <w:rsid w:val="00945B4E"/>
    <w:rsid w:val="00947B06"/>
    <w:rsid w:val="00947B15"/>
    <w:rsid w:val="00952E08"/>
    <w:rsid w:val="00954B41"/>
    <w:rsid w:val="00956005"/>
    <w:rsid w:val="00956999"/>
    <w:rsid w:val="00964933"/>
    <w:rsid w:val="009717D1"/>
    <w:rsid w:val="00974FDE"/>
    <w:rsid w:val="00975BF1"/>
    <w:rsid w:val="00980E9A"/>
    <w:rsid w:val="00987DE6"/>
    <w:rsid w:val="00993180"/>
    <w:rsid w:val="009A3031"/>
    <w:rsid w:val="009A6AB7"/>
    <w:rsid w:val="009B11C6"/>
    <w:rsid w:val="009D30D0"/>
    <w:rsid w:val="009D3DF0"/>
    <w:rsid w:val="009D4EB3"/>
    <w:rsid w:val="009F05BF"/>
    <w:rsid w:val="009F1D70"/>
    <w:rsid w:val="009F5944"/>
    <w:rsid w:val="00A0021E"/>
    <w:rsid w:val="00A0658F"/>
    <w:rsid w:val="00A13F55"/>
    <w:rsid w:val="00A140B5"/>
    <w:rsid w:val="00A2031A"/>
    <w:rsid w:val="00A20C84"/>
    <w:rsid w:val="00A26CD6"/>
    <w:rsid w:val="00A31F3B"/>
    <w:rsid w:val="00A33138"/>
    <w:rsid w:val="00A36CBA"/>
    <w:rsid w:val="00A42D38"/>
    <w:rsid w:val="00A4389F"/>
    <w:rsid w:val="00A4409F"/>
    <w:rsid w:val="00A44808"/>
    <w:rsid w:val="00A504C2"/>
    <w:rsid w:val="00A5136B"/>
    <w:rsid w:val="00A51A65"/>
    <w:rsid w:val="00A53FC4"/>
    <w:rsid w:val="00A6075D"/>
    <w:rsid w:val="00A63181"/>
    <w:rsid w:val="00A74C7D"/>
    <w:rsid w:val="00A773DA"/>
    <w:rsid w:val="00A77796"/>
    <w:rsid w:val="00A77E3A"/>
    <w:rsid w:val="00A81F35"/>
    <w:rsid w:val="00A8382F"/>
    <w:rsid w:val="00A8579A"/>
    <w:rsid w:val="00A93708"/>
    <w:rsid w:val="00AA2A31"/>
    <w:rsid w:val="00AA4211"/>
    <w:rsid w:val="00AA5F39"/>
    <w:rsid w:val="00AB0F41"/>
    <w:rsid w:val="00AB4BB0"/>
    <w:rsid w:val="00AB5344"/>
    <w:rsid w:val="00AC0BBE"/>
    <w:rsid w:val="00AC2EAE"/>
    <w:rsid w:val="00AE6B0A"/>
    <w:rsid w:val="00AF044A"/>
    <w:rsid w:val="00AF2497"/>
    <w:rsid w:val="00AF6EDC"/>
    <w:rsid w:val="00B002B8"/>
    <w:rsid w:val="00B049AB"/>
    <w:rsid w:val="00B079E9"/>
    <w:rsid w:val="00B16FDE"/>
    <w:rsid w:val="00B1736E"/>
    <w:rsid w:val="00B2427E"/>
    <w:rsid w:val="00B26353"/>
    <w:rsid w:val="00B32F59"/>
    <w:rsid w:val="00B330CE"/>
    <w:rsid w:val="00B34DB9"/>
    <w:rsid w:val="00B3655C"/>
    <w:rsid w:val="00B36918"/>
    <w:rsid w:val="00B37BD5"/>
    <w:rsid w:val="00B4089B"/>
    <w:rsid w:val="00B41501"/>
    <w:rsid w:val="00B4252A"/>
    <w:rsid w:val="00B43FD3"/>
    <w:rsid w:val="00B54753"/>
    <w:rsid w:val="00B56DAC"/>
    <w:rsid w:val="00B66525"/>
    <w:rsid w:val="00B7201D"/>
    <w:rsid w:val="00B72D56"/>
    <w:rsid w:val="00B73385"/>
    <w:rsid w:val="00B7660A"/>
    <w:rsid w:val="00B80D78"/>
    <w:rsid w:val="00B80F1F"/>
    <w:rsid w:val="00B81D14"/>
    <w:rsid w:val="00B86CFA"/>
    <w:rsid w:val="00B87EBA"/>
    <w:rsid w:val="00B92B61"/>
    <w:rsid w:val="00B969D4"/>
    <w:rsid w:val="00BA7BA1"/>
    <w:rsid w:val="00BC087F"/>
    <w:rsid w:val="00BC23E1"/>
    <w:rsid w:val="00BC2882"/>
    <w:rsid w:val="00BC31D3"/>
    <w:rsid w:val="00BC3AF2"/>
    <w:rsid w:val="00BC4513"/>
    <w:rsid w:val="00BC476E"/>
    <w:rsid w:val="00BD1EE5"/>
    <w:rsid w:val="00BD3E25"/>
    <w:rsid w:val="00BE0143"/>
    <w:rsid w:val="00BE088D"/>
    <w:rsid w:val="00BE60C2"/>
    <w:rsid w:val="00BF4005"/>
    <w:rsid w:val="00BF56EB"/>
    <w:rsid w:val="00BF5FDD"/>
    <w:rsid w:val="00C010CC"/>
    <w:rsid w:val="00C04234"/>
    <w:rsid w:val="00C143F0"/>
    <w:rsid w:val="00C15280"/>
    <w:rsid w:val="00C21042"/>
    <w:rsid w:val="00C22F47"/>
    <w:rsid w:val="00C25298"/>
    <w:rsid w:val="00C263DA"/>
    <w:rsid w:val="00C30738"/>
    <w:rsid w:val="00C558A1"/>
    <w:rsid w:val="00C56029"/>
    <w:rsid w:val="00C5695E"/>
    <w:rsid w:val="00C63E4A"/>
    <w:rsid w:val="00C7198C"/>
    <w:rsid w:val="00C7213E"/>
    <w:rsid w:val="00C76F2B"/>
    <w:rsid w:val="00C771C0"/>
    <w:rsid w:val="00C820FE"/>
    <w:rsid w:val="00C8580D"/>
    <w:rsid w:val="00C876BD"/>
    <w:rsid w:val="00C91326"/>
    <w:rsid w:val="00C91B70"/>
    <w:rsid w:val="00C95585"/>
    <w:rsid w:val="00CA0E82"/>
    <w:rsid w:val="00CA705C"/>
    <w:rsid w:val="00CB17C8"/>
    <w:rsid w:val="00CB2F62"/>
    <w:rsid w:val="00CB3130"/>
    <w:rsid w:val="00CB4928"/>
    <w:rsid w:val="00CD06D5"/>
    <w:rsid w:val="00CD5F66"/>
    <w:rsid w:val="00CE2915"/>
    <w:rsid w:val="00CE48BB"/>
    <w:rsid w:val="00CF1CB7"/>
    <w:rsid w:val="00CF7DD5"/>
    <w:rsid w:val="00D013C8"/>
    <w:rsid w:val="00D03E8B"/>
    <w:rsid w:val="00D06BE0"/>
    <w:rsid w:val="00D13DC7"/>
    <w:rsid w:val="00D16B1B"/>
    <w:rsid w:val="00D30499"/>
    <w:rsid w:val="00D340ED"/>
    <w:rsid w:val="00D414AB"/>
    <w:rsid w:val="00D56268"/>
    <w:rsid w:val="00D57F76"/>
    <w:rsid w:val="00D766DC"/>
    <w:rsid w:val="00D853F5"/>
    <w:rsid w:val="00D859DE"/>
    <w:rsid w:val="00D87D5F"/>
    <w:rsid w:val="00D919D9"/>
    <w:rsid w:val="00D9238E"/>
    <w:rsid w:val="00D9776A"/>
    <w:rsid w:val="00DA4501"/>
    <w:rsid w:val="00DA4F2B"/>
    <w:rsid w:val="00DA5FEE"/>
    <w:rsid w:val="00DA6C7F"/>
    <w:rsid w:val="00DB1006"/>
    <w:rsid w:val="00DB57C9"/>
    <w:rsid w:val="00DB79D6"/>
    <w:rsid w:val="00DC59D6"/>
    <w:rsid w:val="00DC60AC"/>
    <w:rsid w:val="00DD364C"/>
    <w:rsid w:val="00DD4EB3"/>
    <w:rsid w:val="00DD7167"/>
    <w:rsid w:val="00DD7E7D"/>
    <w:rsid w:val="00DE139B"/>
    <w:rsid w:val="00DE34F1"/>
    <w:rsid w:val="00DE40FB"/>
    <w:rsid w:val="00DF65D2"/>
    <w:rsid w:val="00E0381A"/>
    <w:rsid w:val="00E2087D"/>
    <w:rsid w:val="00E222B8"/>
    <w:rsid w:val="00E30A09"/>
    <w:rsid w:val="00E33D32"/>
    <w:rsid w:val="00E36209"/>
    <w:rsid w:val="00E4010A"/>
    <w:rsid w:val="00E508F5"/>
    <w:rsid w:val="00E54015"/>
    <w:rsid w:val="00E57AE9"/>
    <w:rsid w:val="00E6086B"/>
    <w:rsid w:val="00E6237C"/>
    <w:rsid w:val="00E70F83"/>
    <w:rsid w:val="00E71E4A"/>
    <w:rsid w:val="00E73393"/>
    <w:rsid w:val="00E74D23"/>
    <w:rsid w:val="00E75CFD"/>
    <w:rsid w:val="00E8370B"/>
    <w:rsid w:val="00E83EC9"/>
    <w:rsid w:val="00E87184"/>
    <w:rsid w:val="00E87533"/>
    <w:rsid w:val="00E944D7"/>
    <w:rsid w:val="00E94998"/>
    <w:rsid w:val="00EA5E30"/>
    <w:rsid w:val="00EC02F1"/>
    <w:rsid w:val="00EE7555"/>
    <w:rsid w:val="00EE78E5"/>
    <w:rsid w:val="00EF05B9"/>
    <w:rsid w:val="00EF59C3"/>
    <w:rsid w:val="00EF749C"/>
    <w:rsid w:val="00F0222D"/>
    <w:rsid w:val="00F036AB"/>
    <w:rsid w:val="00F051D9"/>
    <w:rsid w:val="00F07784"/>
    <w:rsid w:val="00F137E6"/>
    <w:rsid w:val="00F14617"/>
    <w:rsid w:val="00F14661"/>
    <w:rsid w:val="00F22426"/>
    <w:rsid w:val="00F2698F"/>
    <w:rsid w:val="00F4011D"/>
    <w:rsid w:val="00F4237A"/>
    <w:rsid w:val="00F42600"/>
    <w:rsid w:val="00F43FF4"/>
    <w:rsid w:val="00F53EB5"/>
    <w:rsid w:val="00F54A24"/>
    <w:rsid w:val="00F54FEA"/>
    <w:rsid w:val="00F553FB"/>
    <w:rsid w:val="00F611CA"/>
    <w:rsid w:val="00F61215"/>
    <w:rsid w:val="00F61D33"/>
    <w:rsid w:val="00F6247A"/>
    <w:rsid w:val="00F656E7"/>
    <w:rsid w:val="00F66767"/>
    <w:rsid w:val="00F67AE8"/>
    <w:rsid w:val="00F72F22"/>
    <w:rsid w:val="00F733F0"/>
    <w:rsid w:val="00F80C18"/>
    <w:rsid w:val="00F8269A"/>
    <w:rsid w:val="00F87D35"/>
    <w:rsid w:val="00F9529D"/>
    <w:rsid w:val="00FA0050"/>
    <w:rsid w:val="00FA0D01"/>
    <w:rsid w:val="00FC7592"/>
    <w:rsid w:val="00FC770F"/>
    <w:rsid w:val="00FD2679"/>
    <w:rsid w:val="00FD40EB"/>
    <w:rsid w:val="00FD46B2"/>
    <w:rsid w:val="00FD63AC"/>
    <w:rsid w:val="00FE1CDB"/>
    <w:rsid w:val="00FE2B19"/>
    <w:rsid w:val="00FE3BE9"/>
    <w:rsid w:val="00FE6042"/>
    <w:rsid w:val="00FE6C55"/>
    <w:rsid w:val="00FF269E"/>
    <w:rsid w:val="00FF3251"/>
    <w:rsid w:val="00FF3578"/>
    <w:rsid w:val="034215CC"/>
    <w:rsid w:val="04793982"/>
    <w:rsid w:val="099F699F"/>
    <w:rsid w:val="0C6F4F00"/>
    <w:rsid w:val="0CBA42B6"/>
    <w:rsid w:val="0E220EFD"/>
    <w:rsid w:val="106D2E5F"/>
    <w:rsid w:val="10C92BDE"/>
    <w:rsid w:val="14BD6DE9"/>
    <w:rsid w:val="151B0610"/>
    <w:rsid w:val="15A51265"/>
    <w:rsid w:val="1602563E"/>
    <w:rsid w:val="1871150E"/>
    <w:rsid w:val="193B0DD2"/>
    <w:rsid w:val="1950525E"/>
    <w:rsid w:val="1A4B0BD2"/>
    <w:rsid w:val="1BB02F43"/>
    <w:rsid w:val="1DBC2256"/>
    <w:rsid w:val="20DD1860"/>
    <w:rsid w:val="21416467"/>
    <w:rsid w:val="21467DDF"/>
    <w:rsid w:val="2258468B"/>
    <w:rsid w:val="24977CE4"/>
    <w:rsid w:val="250C493B"/>
    <w:rsid w:val="272712C8"/>
    <w:rsid w:val="29CF7033"/>
    <w:rsid w:val="2FB62CD5"/>
    <w:rsid w:val="316E4BCF"/>
    <w:rsid w:val="32FB3069"/>
    <w:rsid w:val="390E2AE7"/>
    <w:rsid w:val="3C7F4653"/>
    <w:rsid w:val="3D5C793D"/>
    <w:rsid w:val="3E0B15BA"/>
    <w:rsid w:val="3EC639AA"/>
    <w:rsid w:val="3FE24704"/>
    <w:rsid w:val="50A4483B"/>
    <w:rsid w:val="50D54E3C"/>
    <w:rsid w:val="532F052B"/>
    <w:rsid w:val="53CB1533"/>
    <w:rsid w:val="54A90501"/>
    <w:rsid w:val="552402CA"/>
    <w:rsid w:val="56490C7C"/>
    <w:rsid w:val="58343EAC"/>
    <w:rsid w:val="597E6C17"/>
    <w:rsid w:val="5B920EBC"/>
    <w:rsid w:val="5BFA6CAE"/>
    <w:rsid w:val="5D0D24D3"/>
    <w:rsid w:val="5D654113"/>
    <w:rsid w:val="5DB45A4D"/>
    <w:rsid w:val="5E3D22F6"/>
    <w:rsid w:val="5F5C54EB"/>
    <w:rsid w:val="60886E86"/>
    <w:rsid w:val="61426FC7"/>
    <w:rsid w:val="66AD6F06"/>
    <w:rsid w:val="67F355EF"/>
    <w:rsid w:val="68727AEB"/>
    <w:rsid w:val="68CB2404"/>
    <w:rsid w:val="6B7A4196"/>
    <w:rsid w:val="6FE46FB1"/>
    <w:rsid w:val="766E0138"/>
    <w:rsid w:val="76DA4E14"/>
    <w:rsid w:val="78C05101"/>
    <w:rsid w:val="7A0850E0"/>
    <w:rsid w:val="7C4A2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3"/>
    <w:qFormat/>
    <w:uiPriority w:val="9"/>
    <w:pPr>
      <w:keepNext/>
      <w:keepLines/>
      <w:spacing w:before="340" w:after="330" w:line="578" w:lineRule="auto"/>
      <w:outlineLvl w:val="0"/>
    </w:pPr>
    <w:rPr>
      <w:rFonts w:eastAsia="黑体"/>
      <w:b/>
      <w:bCs/>
      <w:kern w:val="44"/>
      <w:sz w:val="32"/>
      <w:szCs w:val="44"/>
    </w:rPr>
  </w:style>
  <w:style w:type="paragraph" w:styleId="3">
    <w:name w:val="heading 2"/>
    <w:basedOn w:val="1"/>
    <w:next w:val="1"/>
    <w:link w:val="30"/>
    <w:qFormat/>
    <w:uiPriority w:val="9"/>
    <w:pPr>
      <w:keepNext/>
      <w:keepLines/>
      <w:spacing w:before="260" w:after="260" w:line="416" w:lineRule="auto"/>
      <w:outlineLvl w:val="1"/>
    </w:pPr>
    <w:rPr>
      <w:rFonts w:ascii="Cambria" w:hAnsi="Cambria"/>
      <w:b/>
      <w:bCs/>
      <w:sz w:val="28"/>
      <w:szCs w:val="32"/>
    </w:rPr>
  </w:style>
  <w:style w:type="paragraph" w:styleId="4">
    <w:name w:val="heading 3"/>
    <w:basedOn w:val="1"/>
    <w:next w:val="1"/>
    <w:qFormat/>
    <w:uiPriority w:val="0"/>
    <w:pPr>
      <w:keepNext/>
      <w:keepLines/>
      <w:spacing w:before="260" w:after="260" w:line="416" w:lineRule="auto"/>
      <w:outlineLvl w:val="2"/>
    </w:pPr>
    <w:rPr>
      <w:bCs/>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unhideWhenUsed/>
    <w:uiPriority w:val="1"/>
  </w:style>
  <w:style w:type="table" w:default="1" w:styleId="2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6">
    <w:name w:val="Document Map"/>
    <w:basedOn w:val="1"/>
    <w:link w:val="178"/>
    <w:semiHidden/>
    <w:unhideWhenUsed/>
    <w:qFormat/>
    <w:uiPriority w:val="99"/>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3"/>
    <w:basedOn w:val="1"/>
    <w:next w:val="1"/>
    <w:unhideWhenUsed/>
    <w:qFormat/>
    <w:uiPriority w:val="39"/>
    <w:pPr>
      <w:ind w:left="840" w:leftChars="400"/>
    </w:pPr>
  </w:style>
  <w:style w:type="paragraph" w:styleId="9">
    <w:name w:val="Date"/>
    <w:basedOn w:val="1"/>
    <w:next w:val="1"/>
    <w:qFormat/>
    <w:uiPriority w:val="0"/>
    <w:pPr>
      <w:ind w:left="100" w:leftChars="2500"/>
    </w:pPr>
    <w:rPr>
      <w:rFonts w:ascii="宋体"/>
      <w:kern w:val="0"/>
      <w:sz w:val="20"/>
      <w:szCs w:val="20"/>
      <w:lang w:val="zh-CN"/>
    </w:rPr>
  </w:style>
  <w:style w:type="paragraph" w:styleId="10">
    <w:name w:val="Body Text Indent 2"/>
    <w:basedOn w:val="1"/>
    <w:qFormat/>
    <w:uiPriority w:val="0"/>
    <w:pPr>
      <w:tabs>
        <w:tab w:val="left" w:pos="2520"/>
      </w:tabs>
      <w:ind w:firstLine="435"/>
    </w:pPr>
    <w:rPr>
      <w:szCs w:val="24"/>
    </w:rPr>
  </w:style>
  <w:style w:type="paragraph" w:styleId="11">
    <w:name w:val="Balloon Text"/>
    <w:basedOn w:val="1"/>
    <w:link w:val="36"/>
    <w:unhideWhenUsed/>
    <w:uiPriority w:val="99"/>
    <w:rPr>
      <w:kern w:val="0"/>
      <w:sz w:val="18"/>
      <w:szCs w:val="18"/>
    </w:rPr>
  </w:style>
  <w:style w:type="paragraph" w:styleId="12">
    <w:name w:val="footer"/>
    <w:basedOn w:val="1"/>
    <w:link w:val="34"/>
    <w:unhideWhenUsed/>
    <w:qFormat/>
    <w:uiPriority w:val="99"/>
    <w:pPr>
      <w:tabs>
        <w:tab w:val="center" w:pos="4153"/>
        <w:tab w:val="right" w:pos="8306"/>
      </w:tabs>
      <w:snapToGrid w:val="0"/>
      <w:jc w:val="left"/>
    </w:pPr>
    <w:rPr>
      <w:kern w:val="0"/>
      <w:sz w:val="18"/>
      <w:szCs w:val="18"/>
    </w:rPr>
  </w:style>
  <w:style w:type="paragraph" w:styleId="13">
    <w:name w:val="header"/>
    <w:basedOn w:val="1"/>
    <w:link w:val="2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39"/>
    <w:pPr>
      <w:tabs>
        <w:tab w:val="right" w:leader="dot" w:pos="9170"/>
      </w:tabs>
      <w:spacing w:before="120" w:after="120"/>
      <w:jc w:val="left"/>
    </w:pPr>
    <w:rPr>
      <w:rFonts w:ascii="宋体" w:hAnsi="宋体"/>
      <w:b/>
      <w:bCs/>
      <w:caps/>
      <w:color w:val="000000"/>
      <w:sz w:val="24"/>
      <w:szCs w:val="24"/>
    </w:rPr>
  </w:style>
  <w:style w:type="paragraph" w:styleId="15">
    <w:name w:val="Subtitle"/>
    <w:basedOn w:val="1"/>
    <w:next w:val="1"/>
    <w:link w:val="38"/>
    <w:qFormat/>
    <w:uiPriority w:val="11"/>
    <w:pPr>
      <w:spacing w:before="240" w:after="60" w:line="312" w:lineRule="auto"/>
      <w:jc w:val="center"/>
      <w:outlineLvl w:val="1"/>
    </w:pPr>
    <w:rPr>
      <w:rFonts w:ascii="Cambria" w:hAnsi="Cambria"/>
      <w:b/>
      <w:bCs/>
      <w:kern w:val="28"/>
      <w:sz w:val="32"/>
      <w:szCs w:val="32"/>
    </w:rPr>
  </w:style>
  <w:style w:type="paragraph" w:styleId="16">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17">
    <w:name w:val="toc 2"/>
    <w:basedOn w:val="1"/>
    <w:next w:val="1"/>
    <w:qFormat/>
    <w:uiPriority w:val="39"/>
    <w:pPr>
      <w:tabs>
        <w:tab w:val="right" w:leader="dot" w:pos="9170"/>
      </w:tabs>
      <w:spacing w:line="360" w:lineRule="auto"/>
      <w:ind w:left="210"/>
      <w:jc w:val="left"/>
    </w:pPr>
    <w:rPr>
      <w:rFonts w:ascii="宋体" w:hAnsi="宋体"/>
      <w:b/>
      <w:smallCaps/>
      <w:color w:val="000000"/>
      <w:sz w:val="24"/>
      <w:szCs w:val="24"/>
    </w:rPr>
  </w:style>
  <w:style w:type="paragraph" w:styleId="1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1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21">
    <w:name w:val="Strong"/>
    <w:qFormat/>
    <w:uiPriority w:val="0"/>
    <w:rPr>
      <w:b/>
      <w:bCs/>
    </w:rPr>
  </w:style>
  <w:style w:type="character" w:styleId="22">
    <w:name w:val="page number"/>
    <w:basedOn w:val="20"/>
    <w:qFormat/>
    <w:uiPriority w:val="0"/>
  </w:style>
  <w:style w:type="character" w:styleId="23">
    <w:name w:val="FollowedHyperlink"/>
    <w:qFormat/>
    <w:uiPriority w:val="99"/>
    <w:rPr>
      <w:color w:val="800080"/>
      <w:u w:val="single"/>
    </w:rPr>
  </w:style>
  <w:style w:type="character" w:styleId="24">
    <w:name w:val="Hyperlink"/>
    <w:qFormat/>
    <w:uiPriority w:val="99"/>
    <w:rPr>
      <w:color w:val="0000FF"/>
      <w:u w:val="single"/>
    </w:rPr>
  </w:style>
  <w:style w:type="table" w:styleId="26">
    <w:name w:val="Table Theme"/>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标题 3 Char"/>
    <w:uiPriority w:val="0"/>
    <w:rPr>
      <w:rFonts w:eastAsia="宋体"/>
      <w:b/>
      <w:bCs/>
      <w:kern w:val="2"/>
      <w:sz w:val="32"/>
      <w:szCs w:val="32"/>
      <w:lang w:val="en-US" w:eastAsia="zh-CN" w:bidi="ar-SA"/>
    </w:rPr>
  </w:style>
  <w:style w:type="character" w:customStyle="1" w:styleId="28">
    <w:name w:val="页眉 Char"/>
    <w:link w:val="13"/>
    <w:qFormat/>
    <w:uiPriority w:val="99"/>
    <w:rPr>
      <w:sz w:val="18"/>
      <w:szCs w:val="18"/>
    </w:rPr>
  </w:style>
  <w:style w:type="character" w:customStyle="1" w:styleId="29">
    <w:name w:val="showtext"/>
    <w:basedOn w:val="20"/>
    <w:qFormat/>
    <w:uiPriority w:val="0"/>
  </w:style>
  <w:style w:type="character" w:customStyle="1" w:styleId="30">
    <w:name w:val="标题 2 Char1"/>
    <w:link w:val="3"/>
    <w:qFormat/>
    <w:uiPriority w:val="9"/>
    <w:rPr>
      <w:rFonts w:ascii="Cambria" w:hAnsi="Cambria"/>
      <w:b/>
      <w:bCs/>
      <w:kern w:val="2"/>
      <w:sz w:val="28"/>
      <w:szCs w:val="32"/>
    </w:rPr>
  </w:style>
  <w:style w:type="character" w:customStyle="1" w:styleId="31">
    <w:name w:val="普通 (Web) Char Char2"/>
    <w:qFormat/>
    <w:locked/>
    <w:uiPriority w:val="0"/>
    <w:rPr>
      <w:rFonts w:ascii="宋体" w:hAnsi="宋体" w:eastAsia="宋体" w:cs="宋体"/>
      <w:sz w:val="24"/>
      <w:szCs w:val="24"/>
      <w:lang w:val="en-US" w:eastAsia="zh-CN" w:bidi="ar-SA"/>
    </w:rPr>
  </w:style>
  <w:style w:type="character" w:customStyle="1" w:styleId="32">
    <w:name w:val="apple-converted-space"/>
    <w:basedOn w:val="20"/>
    <w:qFormat/>
    <w:uiPriority w:val="0"/>
  </w:style>
  <w:style w:type="character" w:customStyle="1" w:styleId="33">
    <w:name w:val="标题 1 Char"/>
    <w:link w:val="2"/>
    <w:qFormat/>
    <w:uiPriority w:val="9"/>
    <w:rPr>
      <w:rFonts w:eastAsia="黑体"/>
      <w:b/>
      <w:bCs/>
      <w:kern w:val="44"/>
      <w:sz w:val="32"/>
      <w:szCs w:val="44"/>
    </w:rPr>
  </w:style>
  <w:style w:type="character" w:customStyle="1" w:styleId="34">
    <w:name w:val="页脚 Char"/>
    <w:link w:val="12"/>
    <w:qFormat/>
    <w:uiPriority w:val="99"/>
    <w:rPr>
      <w:sz w:val="18"/>
      <w:szCs w:val="18"/>
    </w:rPr>
  </w:style>
  <w:style w:type="character" w:customStyle="1" w:styleId="35">
    <w:name w:val="f21"/>
    <w:uiPriority w:val="0"/>
    <w:rPr>
      <w:rFonts w:hint="eastAsia" w:ascii="宋体" w:hAnsi="宋体" w:eastAsia="宋体"/>
      <w:sz w:val="21"/>
      <w:szCs w:val="21"/>
    </w:rPr>
  </w:style>
  <w:style w:type="character" w:customStyle="1" w:styleId="36">
    <w:name w:val="批注框文本 Char"/>
    <w:link w:val="11"/>
    <w:semiHidden/>
    <w:qFormat/>
    <w:uiPriority w:val="99"/>
    <w:rPr>
      <w:sz w:val="18"/>
      <w:szCs w:val="18"/>
    </w:rPr>
  </w:style>
  <w:style w:type="character" w:customStyle="1" w:styleId="37">
    <w:name w:val="style11"/>
    <w:qFormat/>
    <w:uiPriority w:val="0"/>
    <w:rPr>
      <w:color w:val="999999"/>
      <w:sz w:val="18"/>
      <w:szCs w:val="18"/>
    </w:rPr>
  </w:style>
  <w:style w:type="character" w:customStyle="1" w:styleId="38">
    <w:name w:val="副标题 Char"/>
    <w:link w:val="15"/>
    <w:qFormat/>
    <w:uiPriority w:val="11"/>
    <w:rPr>
      <w:rFonts w:ascii="Cambria" w:hAnsi="Cambria" w:cs="Times New Roman"/>
      <w:b/>
      <w:bCs/>
      <w:kern w:val="28"/>
      <w:sz w:val="32"/>
      <w:szCs w:val="32"/>
    </w:rPr>
  </w:style>
  <w:style w:type="character" w:customStyle="1" w:styleId="39">
    <w:name w:val="标题 2 Char"/>
    <w:qFormat/>
    <w:uiPriority w:val="0"/>
    <w:rPr>
      <w:rFonts w:ascii="Arial" w:hAnsi="Arial" w:eastAsia="黑体"/>
      <w:b/>
      <w:bCs/>
      <w:kern w:val="2"/>
      <w:sz w:val="32"/>
      <w:szCs w:val="32"/>
      <w:lang w:val="en-US" w:eastAsia="zh-CN" w:bidi="ar-SA"/>
    </w:rPr>
  </w:style>
  <w:style w:type="character" w:customStyle="1" w:styleId="40">
    <w:name w:val="style171"/>
    <w:uiPriority w:val="0"/>
    <w:rPr>
      <w:sz w:val="21"/>
      <w:szCs w:val="21"/>
    </w:rPr>
  </w:style>
  <w:style w:type="character" w:customStyle="1" w:styleId="41">
    <w:name w:val="普通 (Web) Char Char"/>
    <w:qFormat/>
    <w:locked/>
    <w:uiPriority w:val="0"/>
    <w:rPr>
      <w:rFonts w:ascii="宋体" w:hAnsi="宋体" w:eastAsia="宋体" w:cs="宋体"/>
      <w:sz w:val="24"/>
      <w:szCs w:val="24"/>
      <w:lang w:val="en-US" w:eastAsia="zh-CN" w:bidi="ar-SA"/>
    </w:rPr>
  </w:style>
  <w:style w:type="character" w:customStyle="1" w:styleId="42">
    <w:name w:val="style61"/>
    <w:qFormat/>
    <w:uiPriority w:val="0"/>
    <w:rPr>
      <w:b/>
      <w:bCs/>
      <w:color w:val="3399FF"/>
      <w:sz w:val="24"/>
      <w:szCs w:val="24"/>
    </w:rPr>
  </w:style>
  <w:style w:type="character" w:customStyle="1" w:styleId="43">
    <w:name w:val="f41"/>
    <w:uiPriority w:val="0"/>
    <w:rPr>
      <w:rFonts w:hint="eastAsia" w:ascii="宋体" w:hAnsi="宋体" w:eastAsia="宋体"/>
      <w:sz w:val="18"/>
      <w:szCs w:val="18"/>
    </w:rPr>
  </w:style>
  <w:style w:type="character" w:customStyle="1" w:styleId="44">
    <w:name w:val="标题 3 Char1"/>
    <w:qFormat/>
    <w:uiPriority w:val="0"/>
    <w:rPr>
      <w:rFonts w:eastAsia="宋体"/>
      <w:b/>
      <w:bCs/>
      <w:kern w:val="2"/>
      <w:sz w:val="32"/>
      <w:szCs w:val="32"/>
      <w:lang w:val="en-US" w:eastAsia="zh-CN" w:bidi="ar-SA"/>
    </w:rPr>
  </w:style>
  <w:style w:type="character" w:customStyle="1" w:styleId="45">
    <w:name w:val="style161"/>
    <w:qFormat/>
    <w:uiPriority w:val="0"/>
    <w:rPr>
      <w:sz w:val="24"/>
      <w:szCs w:val="24"/>
    </w:rPr>
  </w:style>
  <w:style w:type="character" w:customStyle="1" w:styleId="46">
    <w:name w:val="f31"/>
    <w:uiPriority w:val="0"/>
    <w:rPr>
      <w:rFonts w:hint="default" w:ascii="ˎ̥" w:hAnsi="ˎ̥"/>
      <w:color w:val="999999"/>
      <w:sz w:val="16"/>
      <w:szCs w:val="16"/>
    </w:rPr>
  </w:style>
  <w:style w:type="paragraph" w:customStyle="1" w:styleId="4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48">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4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50">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5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52">
    <w:name w:val="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53">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54">
    <w:name w:val="f8"/>
    <w:basedOn w:val="1"/>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55">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6">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57">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58">
    <w:name w:val="xl104"/>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5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6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6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62">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6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6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65">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6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67">
    <w:name w:val="xl10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8">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69">
    <w:name w:val="为440"/>
    <w:basedOn w:val="1"/>
    <w:qFormat/>
    <w:uiPriority w:val="0"/>
    <w:pPr>
      <w:adjustRightInd w:val="0"/>
      <w:spacing w:line="360" w:lineRule="atLeast"/>
      <w:jc w:val="left"/>
      <w:textAlignment w:val="baseline"/>
    </w:pPr>
    <w:rPr>
      <w:kern w:val="0"/>
      <w:sz w:val="24"/>
      <w:szCs w:val="20"/>
    </w:rPr>
  </w:style>
  <w:style w:type="paragraph" w:customStyle="1" w:styleId="70">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7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72">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73">
    <w:name w:val="f2"/>
    <w:basedOn w:val="1"/>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74">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5">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7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77">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78">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79">
    <w:name w:val="xl42"/>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80">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81">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82">
    <w:name w:val="f7"/>
    <w:basedOn w:val="1"/>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83">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4">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85">
    <w:name w:val="xl4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8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87">
    <w:name w:val="font9"/>
    <w:basedOn w:val="1"/>
    <w:qFormat/>
    <w:uiPriority w:val="0"/>
    <w:pPr>
      <w:widowControl/>
      <w:spacing w:before="100" w:beforeAutospacing="1" w:after="100" w:afterAutospacing="1"/>
      <w:jc w:val="left"/>
    </w:pPr>
    <w:rPr>
      <w:kern w:val="0"/>
      <w:sz w:val="20"/>
      <w:szCs w:val="20"/>
    </w:rPr>
  </w:style>
  <w:style w:type="paragraph" w:customStyle="1" w:styleId="88">
    <w:name w:val="xl110"/>
    <w:basedOn w:val="1"/>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89">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90">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1">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93">
    <w:name w:val="stedit"/>
    <w:basedOn w:val="1"/>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94">
    <w:name w:val="unnamed1"/>
    <w:basedOn w:val="1"/>
    <w:uiPriority w:val="0"/>
    <w:pPr>
      <w:widowControl/>
      <w:spacing w:line="330" w:lineRule="atLeast"/>
      <w:jc w:val="left"/>
    </w:pPr>
    <w:rPr>
      <w:rFonts w:ascii="宋体" w:hAnsi="宋体" w:cs="宋体"/>
      <w:kern w:val="0"/>
      <w:szCs w:val="21"/>
    </w:rPr>
  </w:style>
  <w:style w:type="paragraph" w:customStyle="1" w:styleId="95">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96">
    <w:name w:val="xl3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97">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9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99">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00">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01">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02">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103">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104">
    <w:name w:val="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105">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106">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7">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08">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109">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11">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
    <w:name w:val="fgj02"/>
    <w:basedOn w:val="1"/>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13">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szCs w:val="24"/>
    </w:rPr>
  </w:style>
  <w:style w:type="paragraph" w:customStyle="1" w:styleId="114">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5">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6">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7">
    <w:name w:val="table302"/>
    <w:basedOn w:val="1"/>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8">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9">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2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21">
    <w:name w:val="font10"/>
    <w:basedOn w:val="1"/>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122">
    <w:name w:val="font11"/>
    <w:basedOn w:val="1"/>
    <w:uiPriority w:val="0"/>
    <w:pPr>
      <w:widowControl/>
      <w:spacing w:before="100" w:beforeAutospacing="1" w:after="100" w:afterAutospacing="1"/>
      <w:jc w:val="left"/>
    </w:pPr>
    <w:rPr>
      <w:b/>
      <w:bCs/>
      <w:color w:val="FFFFFF"/>
      <w:kern w:val="0"/>
      <w:sz w:val="18"/>
      <w:szCs w:val="18"/>
    </w:rPr>
  </w:style>
  <w:style w:type="paragraph" w:customStyle="1" w:styleId="123">
    <w:name w:val="xl44"/>
    <w:basedOn w:val="1"/>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124">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25">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1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27">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128">
    <w:name w:val="xl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29">
    <w:name w:val="xl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30">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131">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133">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34">
    <w:name w:val="xl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135">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136">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37">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38">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139">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40">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141">
    <w:name w:val="xl69"/>
    <w:basedOn w:val="1"/>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42">
    <w:name w:val="xl70"/>
    <w:basedOn w:val="1"/>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143">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44">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5">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46">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7">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8">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9">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50">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5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52">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153">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54">
    <w:name w:val="xl82"/>
    <w:basedOn w:val="1"/>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5">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156">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8">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9">
    <w:name w:val="xl8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160">
    <w:name w:val="xl94"/>
    <w:basedOn w:val="1"/>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1">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162">
    <w:name w:val="xl105"/>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63">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4">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6">
    <w:name w:val="xl93"/>
    <w:basedOn w:val="1"/>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68">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9">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0">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71">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2">
    <w:name w:val="xl10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73">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4">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5">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76">
    <w:name w:val="z-窗体底端1"/>
    <w:basedOn w:val="1"/>
    <w:next w:val="1"/>
    <w:uiPriority w:val="0"/>
    <w:pPr>
      <w:widowControl/>
      <w:pBdr>
        <w:top w:val="single" w:color="auto" w:sz="6" w:space="1"/>
      </w:pBdr>
      <w:jc w:val="center"/>
    </w:pPr>
    <w:rPr>
      <w:rFonts w:ascii="Arial" w:hAnsi="Arial" w:cs="Arial"/>
      <w:vanish/>
      <w:kern w:val="0"/>
      <w:sz w:val="16"/>
      <w:szCs w:val="16"/>
    </w:rPr>
  </w:style>
  <w:style w:type="paragraph" w:customStyle="1" w:styleId="177">
    <w:name w:val="Default"/>
    <w:qFormat/>
    <w:uiPriority w:val="0"/>
    <w:pPr>
      <w:widowControl w:val="0"/>
      <w:autoSpaceDE w:val="0"/>
      <w:autoSpaceDN w:val="0"/>
      <w:adjustRightInd w:val="0"/>
    </w:pPr>
    <w:rPr>
      <w:rFonts w:ascii="Microsoft YaHei" w:hAnsi="Microsoft YaHei" w:eastAsia="宋体" w:cs="Microsoft YaHei"/>
      <w:color w:val="000000"/>
      <w:sz w:val="24"/>
      <w:szCs w:val="24"/>
      <w:lang w:val="en-US" w:eastAsia="zh-CN" w:bidi="ar-SA"/>
    </w:rPr>
  </w:style>
  <w:style w:type="character" w:customStyle="1" w:styleId="178">
    <w:name w:val="文档结构图 Char"/>
    <w:basedOn w:val="20"/>
    <w:link w:val="6"/>
    <w:semiHidden/>
    <w:uiPriority w:val="99"/>
    <w:rPr>
      <w:rFonts w:ascii="宋体"/>
      <w:kern w:val="2"/>
      <w:sz w:val="18"/>
      <w:szCs w:val="18"/>
    </w:rPr>
  </w:style>
  <w:style w:type="paragraph" w:styleId="17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21407;&#27833;\&#21608;&#25253;&#12289;&#26376;&#25253;\&#26368;&#26032;&#28342;&#21058;&#27833;&#21608;&#25253;&#65306;&#23665;&#19996;&#22320;&#28860;&#30707;&#33041;&#27833;&#20215;&#26684;&#36208;&#21183;&#22270;4.2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山东地炼石脑油价格走势图</a:t>
            </a:r>
            <a:endParaRPr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350511875670714"/>
          <c:y val="0.0288483151015519"/>
        </c:manualLayout>
      </c:layout>
      <c:overlay val="0"/>
    </c:title>
    <c:autoTitleDeleted val="0"/>
    <c:plotArea>
      <c:layout>
        <c:manualLayout>
          <c:layoutTarget val="inner"/>
          <c:xMode val="edge"/>
          <c:yMode val="edge"/>
          <c:x val="0.0792580101180438"/>
          <c:y val="0.142857210012928"/>
          <c:w val="0.858347386172007"/>
          <c:h val="0.591837324455242"/>
        </c:manualLayout>
      </c:layout>
      <c:lineChart>
        <c:grouping val="standard"/>
        <c:varyColors val="0"/>
        <c:ser>
          <c:idx val="8"/>
          <c:order val="0"/>
          <c:tx>
            <c:strRef>
              <c:f>'[最新溶剂油周报：山东地炼石脑油价格走势图4.27.xls]溶剂油周报-石脑油价格走势图表'!$D$178</c:f>
              <c:strCache>
                <c:ptCount val="1"/>
                <c:pt idx="0">
                  <c:v>鑫泰石化</c:v>
                </c:pt>
              </c:strCache>
            </c:strRef>
          </c:tx>
          <c:spPr>
            <a:ln w="38100" cap="rnd" cmpd="sng" algn="ctr">
              <a:solidFill>
                <a:srgbClr val="000000">
                  <a:alpha val="100000"/>
                </a:srgbClr>
              </a:solidFill>
              <a:prstDash val="solid"/>
              <a:round/>
            </a:ln>
          </c:spPr>
          <c:marker>
            <c:symbol val="none"/>
          </c:marker>
          <c:dLbls>
            <c:delete val="1"/>
          </c:dLbls>
          <c:cat>
            <c:numRef>
              <c:f>'[最新溶剂油周报：山东地炼石脑油价格走势图4.27.xls]溶剂油周报-石脑油价格走势图表'!$A$179:$C$325</c:f>
              <c:numCache>
                <c:formatCode>yyyy/m/d</c:formatCode>
                <c:ptCount val="147"/>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pt idx="133" c:formatCode="yyyy/m/d">
                  <c:v>43217</c:v>
                </c:pt>
                <c:pt idx="134" c:formatCode="yyyy/m/d">
                  <c:v>43224</c:v>
                </c:pt>
              </c:numCache>
            </c:numRef>
          </c:cat>
          <c:val>
            <c:numRef>
              <c:f>'[最新溶剂油周报：山东地炼石脑油价格走势图4.27.xls]溶剂油周报-石脑油价格走势图表'!$D$179:$D$325</c:f>
              <c:numCache>
                <c:formatCode>@</c:formatCode>
                <c:ptCount val="147"/>
                <c:pt idx="0">
                  <c:v>5250</c:v>
                </c:pt>
                <c:pt idx="1">
                  <c:v>5250</c:v>
                </c:pt>
                <c:pt idx="2">
                  <c:v>5250</c:v>
                </c:pt>
                <c:pt idx="3">
                  <c:v>5250</c:v>
                </c:pt>
                <c:pt idx="4">
                  <c:v>5250</c:v>
                </c:pt>
                <c:pt idx="5">
                  <c:v>5250</c:v>
                </c:pt>
                <c:pt idx="6">
                  <c:v>5250</c:v>
                </c:pt>
                <c:pt idx="7">
                  <c:v>5250</c:v>
                </c:pt>
                <c:pt idx="8">
                  <c:v>5250</c:v>
                </c:pt>
                <c:pt idx="9">
                  <c:v>5250</c:v>
                </c:pt>
                <c:pt idx="10">
                  <c:v>4980</c:v>
                </c:pt>
                <c:pt idx="11">
                  <c:v>4980</c:v>
                </c:pt>
                <c:pt idx="12">
                  <c:v>4980</c:v>
                </c:pt>
                <c:pt idx="13">
                  <c:v>4800</c:v>
                </c:pt>
                <c:pt idx="14">
                  <c:v>4800</c:v>
                </c:pt>
                <c:pt idx="15">
                  <c:v>4800</c:v>
                </c:pt>
                <c:pt idx="16">
                  <c:v>4800</c:v>
                </c:pt>
                <c:pt idx="17">
                  <c:v>5500</c:v>
                </c:pt>
                <c:pt idx="18">
                  <c:v>5500</c:v>
                </c:pt>
                <c:pt idx="19">
                  <c:v>5500</c:v>
                </c:pt>
                <c:pt idx="20">
                  <c:v>5500</c:v>
                </c:pt>
                <c:pt idx="21">
                  <c:v>5500</c:v>
                </c:pt>
                <c:pt idx="22">
                  <c:v>3700</c:v>
                </c:pt>
                <c:pt idx="23">
                  <c:v>3700</c:v>
                </c:pt>
                <c:pt idx="24">
                  <c:v>3700</c:v>
                </c:pt>
                <c:pt idx="25">
                  <c:v>4200</c:v>
                </c:pt>
                <c:pt idx="26">
                  <c:v>4400</c:v>
                </c:pt>
                <c:pt idx="27">
                  <c:v>4400</c:v>
                </c:pt>
                <c:pt idx="28">
                  <c:v>4000</c:v>
                </c:pt>
                <c:pt idx="29">
                  <c:v>4000</c:v>
                </c:pt>
                <c:pt idx="30">
                  <c:v>4000</c:v>
                </c:pt>
                <c:pt idx="31">
                  <c:v>4000</c:v>
                </c:pt>
                <c:pt idx="32">
                  <c:v>4000</c:v>
                </c:pt>
                <c:pt idx="33">
                  <c:v>4000</c:v>
                </c:pt>
                <c:pt idx="34">
                  <c:v>4000</c:v>
                </c:pt>
                <c:pt idx="35">
                  <c:v>4500</c:v>
                </c:pt>
                <c:pt idx="36">
                  <c:v>4500</c:v>
                </c:pt>
                <c:pt idx="37">
                  <c:v>4500</c:v>
                </c:pt>
                <c:pt idx="38">
                  <c:v>4500</c:v>
                </c:pt>
                <c:pt idx="39">
                  <c:v>4500</c:v>
                </c:pt>
                <c:pt idx="40">
                  <c:v>4100</c:v>
                </c:pt>
                <c:pt idx="41">
                  <c:v>4100</c:v>
                </c:pt>
                <c:pt idx="42">
                  <c:v>4100</c:v>
                </c:pt>
                <c:pt idx="43">
                  <c:v>4100</c:v>
                </c:pt>
                <c:pt idx="44">
                  <c:v>4100</c:v>
                </c:pt>
                <c:pt idx="45">
                  <c:v>4100</c:v>
                </c:pt>
                <c:pt idx="46">
                  <c:v>4100</c:v>
                </c:pt>
                <c:pt idx="47">
                  <c:v>4100</c:v>
                </c:pt>
                <c:pt idx="48">
                  <c:v>4100</c:v>
                </c:pt>
                <c:pt idx="49">
                  <c:v>4100</c:v>
                </c:pt>
                <c:pt idx="50">
                  <c:v>4100</c:v>
                </c:pt>
                <c:pt idx="51">
                  <c:v>4100</c:v>
                </c:pt>
                <c:pt idx="52">
                  <c:v>4100</c:v>
                </c:pt>
                <c:pt idx="53" c:formatCode="General">
                  <c:v>4000</c:v>
                </c:pt>
                <c:pt idx="54" c:formatCode="General">
                  <c:v>4000</c:v>
                </c:pt>
                <c:pt idx="55" c:formatCode="General">
                  <c:v>4100</c:v>
                </c:pt>
                <c:pt idx="56" c:formatCode="General">
                  <c:v>4100</c:v>
                </c:pt>
                <c:pt idx="57" c:formatCode="General">
                  <c:v>4100</c:v>
                </c:pt>
                <c:pt idx="58" c:formatCode="General">
                  <c:v>4100</c:v>
                </c:pt>
                <c:pt idx="59" c:formatCode="General">
                  <c:v>4100</c:v>
                </c:pt>
                <c:pt idx="60" c:formatCode="General">
                  <c:v>4150</c:v>
                </c:pt>
                <c:pt idx="61" c:formatCode="General">
                  <c:v>4150</c:v>
                </c:pt>
                <c:pt idx="62" c:formatCode="General">
                  <c:v>4150</c:v>
                </c:pt>
                <c:pt idx="63" c:formatCode="General">
                  <c:v>4500</c:v>
                </c:pt>
                <c:pt idx="64" c:formatCode="General">
                  <c:v>4500</c:v>
                </c:pt>
                <c:pt idx="65" c:formatCode="General">
                  <c:v>4500</c:v>
                </c:pt>
                <c:pt idx="66" c:formatCode="General">
                  <c:v>4500</c:v>
                </c:pt>
                <c:pt idx="67" c:formatCode="General">
                  <c:v>4500</c:v>
                </c:pt>
                <c:pt idx="68" c:formatCode="General">
                  <c:v>4500</c:v>
                </c:pt>
                <c:pt idx="69" c:formatCode="General">
                  <c:v>4500</c:v>
                </c:pt>
                <c:pt idx="70" c:formatCode="General">
                  <c:v>4500</c:v>
                </c:pt>
                <c:pt idx="71" c:formatCode="General">
                  <c:v>4500</c:v>
                </c:pt>
                <c:pt idx="72" c:formatCode="General">
                  <c:v>4500</c:v>
                </c:pt>
                <c:pt idx="73" c:formatCode="General">
                  <c:v>4500</c:v>
                </c:pt>
                <c:pt idx="74" c:formatCode="General">
                  <c:v>4500</c:v>
                </c:pt>
                <c:pt idx="75" c:formatCode="General">
                  <c:v>4500</c:v>
                </c:pt>
                <c:pt idx="76" c:formatCode="General">
                  <c:v>4500</c:v>
                </c:pt>
                <c:pt idx="77" c:formatCode="General">
                  <c:v>4500</c:v>
                </c:pt>
                <c:pt idx="78" c:formatCode="General">
                  <c:v>4500</c:v>
                </c:pt>
                <c:pt idx="79" c:formatCode="General">
                  <c:v>5000</c:v>
                </c:pt>
                <c:pt idx="80" c:formatCode="General">
                  <c:v>5000</c:v>
                </c:pt>
                <c:pt idx="81" c:formatCode="General">
                  <c:v>5000</c:v>
                </c:pt>
                <c:pt idx="82" c:formatCode="General">
                  <c:v>5000</c:v>
                </c:pt>
                <c:pt idx="83" c:formatCode="General">
                  <c:v>5000</c:v>
                </c:pt>
                <c:pt idx="84" c:formatCode="General">
                  <c:v>5400</c:v>
                </c:pt>
                <c:pt idx="85" c:formatCode="General">
                  <c:v>5400</c:v>
                </c:pt>
                <c:pt idx="86" c:formatCode="General">
                  <c:v>5400</c:v>
                </c:pt>
                <c:pt idx="87" c:formatCode="General">
                  <c:v>5400</c:v>
                </c:pt>
                <c:pt idx="88" c:formatCode="General">
                  <c:v>5400</c:v>
                </c:pt>
                <c:pt idx="89" c:formatCode="General">
                  <c:v>5400</c:v>
                </c:pt>
                <c:pt idx="90" c:formatCode="General">
                  <c:v>5400</c:v>
                </c:pt>
                <c:pt idx="91" c:formatCode="General">
                  <c:v>5400</c:v>
                </c:pt>
                <c:pt idx="92" c:formatCode="General">
                  <c:v>5400</c:v>
                </c:pt>
                <c:pt idx="93" c:formatCode="General">
                  <c:v>5400</c:v>
                </c:pt>
                <c:pt idx="94" c:formatCode="General">
                  <c:v>5400</c:v>
                </c:pt>
                <c:pt idx="95" c:formatCode="General">
                  <c:v>5400</c:v>
                </c:pt>
                <c:pt idx="96" c:formatCode="General">
                  <c:v>4900</c:v>
                </c:pt>
                <c:pt idx="97" c:formatCode="General">
                  <c:v>5000</c:v>
                </c:pt>
                <c:pt idx="98" c:formatCode="General">
                  <c:v>5000</c:v>
                </c:pt>
                <c:pt idx="99" c:formatCode="General">
                  <c:v>5000</c:v>
                </c:pt>
                <c:pt idx="100" c:formatCode="General">
                  <c:v>5000</c:v>
                </c:pt>
                <c:pt idx="103" c:formatCode="General">
                  <c:v>0</c:v>
                </c:pt>
                <c:pt idx="104" c:formatCode="General">
                  <c:v>5000</c:v>
                </c:pt>
                <c:pt idx="105" c:formatCode="General">
                  <c:v>5000</c:v>
                </c:pt>
                <c:pt idx="106" c:formatCode="General">
                  <c:v>5000</c:v>
                </c:pt>
                <c:pt idx="107" c:formatCode="General">
                  <c:v>5000</c:v>
                </c:pt>
                <c:pt idx="108" c:formatCode="General">
                  <c:v>5000</c:v>
                </c:pt>
                <c:pt idx="109" c:formatCode="General">
                  <c:v>5000</c:v>
                </c:pt>
                <c:pt idx="110" c:formatCode="General">
                  <c:v>5000</c:v>
                </c:pt>
                <c:pt idx="111" c:formatCode="General">
                  <c:v>5000</c:v>
                </c:pt>
                <c:pt idx="112" c:formatCode="General">
                  <c:v>5000</c:v>
                </c:pt>
                <c:pt idx="113" c:formatCode="General">
                  <c:v>5000</c:v>
                </c:pt>
                <c:pt idx="114" c:formatCode="General">
                  <c:v>5000</c:v>
                </c:pt>
                <c:pt idx="115" c:formatCode="General">
                  <c:v>6150</c:v>
                </c:pt>
                <c:pt idx="116" c:formatCode="General">
                  <c:v>6100</c:v>
                </c:pt>
                <c:pt idx="117" c:formatCode="General">
                  <c:v>5950</c:v>
                </c:pt>
                <c:pt idx="118" c:formatCode="General">
                  <c:v>6100</c:v>
                </c:pt>
                <c:pt idx="119" c:formatCode="General">
                  <c:v>6150</c:v>
                </c:pt>
                <c:pt idx="120" c:formatCode="General">
                  <c:v>6300</c:v>
                </c:pt>
                <c:pt idx="121" c:formatCode="General">
                  <c:v>6300</c:v>
                </c:pt>
                <c:pt idx="122" c:formatCode="General">
                  <c:v>6300</c:v>
                </c:pt>
                <c:pt idx="123" c:formatCode="General">
                  <c:v>6250</c:v>
                </c:pt>
                <c:pt idx="124" c:formatCode="General">
                  <c:v>6150</c:v>
                </c:pt>
                <c:pt idx="125" c:formatCode="General">
                  <c:v>6300</c:v>
                </c:pt>
                <c:pt idx="126" c:formatCode="General">
                  <c:v>6150</c:v>
                </c:pt>
                <c:pt idx="127" c:formatCode="General">
                  <c:v>6150</c:v>
                </c:pt>
                <c:pt idx="128" c:formatCode="General">
                  <c:v>6150</c:v>
                </c:pt>
                <c:pt idx="129" c:formatCode="General">
                  <c:v>6150</c:v>
                </c:pt>
                <c:pt idx="130" c:formatCode="General">
                  <c:v>6150</c:v>
                </c:pt>
                <c:pt idx="131" c:formatCode="General">
                  <c:v>6350</c:v>
                </c:pt>
                <c:pt idx="132" c:formatCode="General">
                  <c:v>6250</c:v>
                </c:pt>
                <c:pt idx="133" c:formatCode="General">
                  <c:v>6250</c:v>
                </c:pt>
                <c:pt idx="134" c:formatCode="General">
                  <c:v>6300</c:v>
                </c:pt>
              </c:numCache>
            </c:numRef>
          </c:val>
          <c:smooth val="0"/>
        </c:ser>
        <c:ser>
          <c:idx val="10"/>
          <c:order val="1"/>
          <c:tx>
            <c:strRef>
              <c:f>'[最新溶剂油周报：山东地炼石脑油价格走势图4.27.xls]溶剂油周报-石脑油价格走势图表'!$E$178</c:f>
              <c:strCache>
                <c:ptCount val="1"/>
                <c:pt idx="0">
                  <c:v>利津石化</c:v>
                </c:pt>
              </c:strCache>
            </c:strRef>
          </c:tx>
          <c:spPr>
            <a:ln w="38100" cap="rnd" cmpd="sng" algn="ctr">
              <a:solidFill>
                <a:srgbClr val="00B050"/>
              </a:solidFill>
              <a:prstDash val="solid"/>
              <a:round/>
            </a:ln>
          </c:spPr>
          <c:marker>
            <c:symbol val="none"/>
          </c:marker>
          <c:dLbls>
            <c:delete val="1"/>
          </c:dLbls>
          <c:cat>
            <c:numRef>
              <c:f>'[最新溶剂油周报：山东地炼石脑油价格走势图4.27.xls]溶剂油周报-石脑油价格走势图表'!$A$179:$C$325</c:f>
              <c:numCache>
                <c:formatCode>yyyy/m/d</c:formatCode>
                <c:ptCount val="147"/>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pt idx="133" c:formatCode="yyyy/m/d">
                  <c:v>43217</c:v>
                </c:pt>
                <c:pt idx="134" c:formatCode="yyyy/m/d">
                  <c:v>43224</c:v>
                </c:pt>
              </c:numCache>
            </c:numRef>
          </c:cat>
          <c:val>
            <c:numRef>
              <c:f>'[最新溶剂油周报：山东地炼石脑油价格走势图4.27.xls]溶剂油周报-石脑油价格走势图表'!$E$179:$E$325</c:f>
              <c:numCache>
                <c:formatCode>@</c:formatCode>
                <c:ptCount val="147"/>
                <c:pt idx="0">
                  <c:v>4250</c:v>
                </c:pt>
                <c:pt idx="1">
                  <c:v>4050</c:v>
                </c:pt>
                <c:pt idx="2">
                  <c:v>4300</c:v>
                </c:pt>
                <c:pt idx="3">
                  <c:v>4500</c:v>
                </c:pt>
                <c:pt idx="4">
                  <c:v>4580</c:v>
                </c:pt>
                <c:pt idx="5">
                  <c:v>4580</c:v>
                </c:pt>
                <c:pt idx="6">
                  <c:v>4580</c:v>
                </c:pt>
                <c:pt idx="11">
                  <c:v>4150</c:v>
                </c:pt>
                <c:pt idx="12">
                  <c:v>4100</c:v>
                </c:pt>
                <c:pt idx="13">
                  <c:v>4030</c:v>
                </c:pt>
                <c:pt idx="14">
                  <c:v>3850</c:v>
                </c:pt>
                <c:pt idx="15">
                  <c:v>3550</c:v>
                </c:pt>
                <c:pt idx="16">
                  <c:v>3950</c:v>
                </c:pt>
                <c:pt idx="17">
                  <c:v>3850</c:v>
                </c:pt>
                <c:pt idx="18">
                  <c:v>3650</c:v>
                </c:pt>
                <c:pt idx="19">
                  <c:v>2800</c:v>
                </c:pt>
                <c:pt idx="20">
                  <c:v>2300</c:v>
                </c:pt>
                <c:pt idx="21">
                  <c:v>2800</c:v>
                </c:pt>
                <c:pt idx="22">
                  <c:v>2650</c:v>
                </c:pt>
                <c:pt idx="23">
                  <c:v>2650</c:v>
                </c:pt>
                <c:pt idx="24">
                  <c:v>2900</c:v>
                </c:pt>
                <c:pt idx="25">
                  <c:v>3300</c:v>
                </c:pt>
                <c:pt idx="26">
                  <c:v>3200</c:v>
                </c:pt>
                <c:pt idx="27">
                  <c:v>3400</c:v>
                </c:pt>
                <c:pt idx="28">
                  <c:v>3350</c:v>
                </c:pt>
                <c:pt idx="29">
                  <c:v>3000</c:v>
                </c:pt>
                <c:pt idx="30">
                  <c:v>3250</c:v>
                </c:pt>
                <c:pt idx="31">
                  <c:v>3250</c:v>
                </c:pt>
                <c:pt idx="32">
                  <c:v>3380</c:v>
                </c:pt>
                <c:pt idx="33">
                  <c:v>3430</c:v>
                </c:pt>
                <c:pt idx="34">
                  <c:v>3430</c:v>
                </c:pt>
                <c:pt idx="35">
                  <c:v>3480</c:v>
                </c:pt>
                <c:pt idx="36">
                  <c:v>3480</c:v>
                </c:pt>
                <c:pt idx="37">
                  <c:v>3380</c:v>
                </c:pt>
                <c:pt idx="38">
                  <c:v>3300</c:v>
                </c:pt>
                <c:pt idx="39">
                  <c:v>3050</c:v>
                </c:pt>
                <c:pt idx="40">
                  <c:v>3050</c:v>
                </c:pt>
                <c:pt idx="41">
                  <c:v>3050</c:v>
                </c:pt>
                <c:pt idx="42">
                  <c:v>3050</c:v>
                </c:pt>
                <c:pt idx="43">
                  <c:v>3050</c:v>
                </c:pt>
                <c:pt idx="44">
                  <c:v>3050</c:v>
                </c:pt>
                <c:pt idx="45">
                  <c:v>3050</c:v>
                </c:pt>
                <c:pt idx="46">
                  <c:v>3050</c:v>
                </c:pt>
                <c:pt idx="47">
                  <c:v>3050</c:v>
                </c:pt>
                <c:pt idx="48">
                  <c:v>3050</c:v>
                </c:pt>
                <c:pt idx="49">
                  <c:v>3050</c:v>
                </c:pt>
                <c:pt idx="50">
                  <c:v>3050</c:v>
                </c:pt>
                <c:pt idx="51" c:formatCode="General">
                  <c:v>3450</c:v>
                </c:pt>
                <c:pt idx="52" c:formatCode="General">
                  <c:v>3450</c:v>
                </c:pt>
                <c:pt idx="53" c:formatCode="General">
                  <c:v>3450</c:v>
                </c:pt>
                <c:pt idx="54" c:formatCode="General">
                  <c:v>3450</c:v>
                </c:pt>
                <c:pt idx="55" c:formatCode="General">
                  <c:v>3800</c:v>
                </c:pt>
                <c:pt idx="56" c:formatCode="General">
                  <c:v>4000</c:v>
                </c:pt>
                <c:pt idx="57" c:formatCode="General">
                  <c:v>3900</c:v>
                </c:pt>
                <c:pt idx="58" c:formatCode="General">
                  <c:v>3650</c:v>
                </c:pt>
                <c:pt idx="59" c:formatCode="General">
                  <c:v>3900</c:v>
                </c:pt>
                <c:pt idx="60" c:formatCode="General">
                  <c:v>4000</c:v>
                </c:pt>
                <c:pt idx="61" c:formatCode="General">
                  <c:v>4050</c:v>
                </c:pt>
                <c:pt idx="62" c:formatCode="General">
                  <c:v>4000</c:v>
                </c:pt>
                <c:pt idx="63" c:formatCode="General">
                  <c:v>4150</c:v>
                </c:pt>
                <c:pt idx="64" c:formatCode="General">
                  <c:v>4450</c:v>
                </c:pt>
                <c:pt idx="65" c:formatCode="General">
                  <c:v>4350</c:v>
                </c:pt>
                <c:pt idx="66" c:formatCode="General">
                  <c:v>4000</c:v>
                </c:pt>
                <c:pt idx="67" c:formatCode="General">
                  <c:v>4150</c:v>
                </c:pt>
                <c:pt idx="68" c:formatCode="General">
                  <c:v>4200</c:v>
                </c:pt>
                <c:pt idx="69" c:formatCode="General">
                  <c:v>4250</c:v>
                </c:pt>
                <c:pt idx="70" c:formatCode="General">
                  <c:v>4250</c:v>
                </c:pt>
                <c:pt idx="71" c:formatCode="General">
                  <c:v>4200</c:v>
                </c:pt>
                <c:pt idx="72" c:formatCode="General">
                  <c:v>4500</c:v>
                </c:pt>
                <c:pt idx="73" c:formatCode="General">
                  <c:v>4450</c:v>
                </c:pt>
                <c:pt idx="74" c:formatCode="General">
                  <c:v>4250</c:v>
                </c:pt>
                <c:pt idx="75" c:formatCode="General">
                  <c:v>4100</c:v>
                </c:pt>
                <c:pt idx="76" c:formatCode="General">
                  <c:v>4250</c:v>
                </c:pt>
                <c:pt idx="77" c:formatCode="General">
                  <c:v>4150</c:v>
                </c:pt>
                <c:pt idx="78" c:formatCode="General">
                  <c:v>4100</c:v>
                </c:pt>
                <c:pt idx="79" c:formatCode="General">
                  <c:v>4400</c:v>
                </c:pt>
                <c:pt idx="80" c:formatCode="General">
                  <c:v>4200</c:v>
                </c:pt>
                <c:pt idx="81" c:formatCode="General">
                  <c:v>4230</c:v>
                </c:pt>
                <c:pt idx="82" c:formatCode="General">
                  <c:v>4230</c:v>
                </c:pt>
                <c:pt idx="83" c:formatCode="General">
                  <c:v>4230</c:v>
                </c:pt>
                <c:pt idx="84" c:formatCode="General">
                  <c:v>4230</c:v>
                </c:pt>
                <c:pt idx="85" c:formatCode="General">
                  <c:v>4230</c:v>
                </c:pt>
                <c:pt idx="86" c:formatCode="General">
                  <c:v>4230</c:v>
                </c:pt>
                <c:pt idx="87" c:formatCode="General">
                  <c:v>4230</c:v>
                </c:pt>
                <c:pt idx="88" c:formatCode="General">
                  <c:v>0</c:v>
                </c:pt>
                <c:pt idx="89" c:formatCode="General">
                  <c:v>0</c:v>
                </c:pt>
                <c:pt idx="90" c:formatCode="General">
                  <c:v>0</c:v>
                </c:pt>
                <c:pt idx="91" c:formatCode="General">
                  <c:v>0</c:v>
                </c:pt>
                <c:pt idx="92" c:formatCode="General">
                  <c:v>0</c:v>
                </c:pt>
                <c:pt idx="93" c:formatCode="General">
                  <c:v>0</c:v>
                </c:pt>
                <c:pt idx="94" c:formatCode="General">
                  <c:v>0</c:v>
                </c:pt>
                <c:pt idx="95" c:formatCode="General">
                  <c:v>0</c:v>
                </c:pt>
                <c:pt idx="96" c:formatCode="General">
                  <c:v>0</c:v>
                </c:pt>
                <c:pt idx="97" c:formatCode="General">
                  <c:v>0</c:v>
                </c:pt>
                <c:pt idx="98" c:formatCode="General">
                  <c:v>0</c:v>
                </c:pt>
                <c:pt idx="99" c:formatCode="General">
                  <c:v>0</c:v>
                </c:pt>
                <c:pt idx="100" c:formatCode="General">
                  <c:v>0</c:v>
                </c:pt>
                <c:pt idx="103" c:formatCode="General">
                  <c:v>0</c:v>
                </c:pt>
                <c:pt idx="104" c:formatCode="General">
                  <c:v>0</c:v>
                </c:pt>
                <c:pt idx="105" c:formatCode="General">
                  <c:v>0</c:v>
                </c:pt>
                <c:pt idx="106" c:formatCode="General">
                  <c:v>0</c:v>
                </c:pt>
                <c:pt idx="107" c:formatCode="General">
                  <c:v>0</c:v>
                </c:pt>
                <c:pt idx="108" c:formatCode="General">
                  <c:v>0</c:v>
                </c:pt>
                <c:pt idx="109" c:formatCode="General">
                  <c:v>0</c:v>
                </c:pt>
                <c:pt idx="110" c:formatCode="General">
                  <c:v>0</c:v>
                </c:pt>
                <c:pt idx="111" c:formatCode="General">
                  <c:v>0</c:v>
                </c:pt>
                <c:pt idx="112" c:formatCode="General">
                  <c:v>0</c:v>
                </c:pt>
                <c:pt idx="113" c:formatCode="General">
                  <c:v>0</c:v>
                </c:pt>
                <c:pt idx="114" c:formatCode="General">
                  <c:v>0</c:v>
                </c:pt>
                <c:pt idx="115" c:formatCode="General">
                  <c:v>0</c:v>
                </c:pt>
                <c:pt idx="116" c:formatCode="General">
                  <c:v>0</c:v>
                </c:pt>
                <c:pt idx="117" c:formatCode="General">
                  <c:v>0</c:v>
                </c:pt>
                <c:pt idx="118" c:formatCode="General">
                  <c:v>0</c:v>
                </c:pt>
                <c:pt idx="119" c:formatCode="General">
                  <c:v>0</c:v>
                </c:pt>
                <c:pt idx="120" c:formatCode="General">
                  <c:v>0</c:v>
                </c:pt>
                <c:pt idx="121" c:formatCode="General">
                  <c:v>0</c:v>
                </c:pt>
                <c:pt idx="122" c:formatCode="General">
                  <c:v>0</c:v>
                </c:pt>
                <c:pt idx="123" c:formatCode="General">
                  <c:v>0</c:v>
                </c:pt>
                <c:pt idx="124" c:formatCode="General">
                  <c:v>0</c:v>
                </c:pt>
                <c:pt idx="125" c:formatCode="General">
                  <c:v>0</c:v>
                </c:pt>
                <c:pt idx="126" c:formatCode="General">
                  <c:v>0</c:v>
                </c:pt>
                <c:pt idx="127" c:formatCode="General">
                  <c:v>0</c:v>
                </c:pt>
                <c:pt idx="128" c:formatCode="General">
                  <c:v>0</c:v>
                </c:pt>
                <c:pt idx="129" c:formatCode="General">
                  <c:v>0</c:v>
                </c:pt>
                <c:pt idx="130" c:formatCode="General">
                  <c:v>0</c:v>
                </c:pt>
                <c:pt idx="131" c:formatCode="General">
                  <c:v>0</c:v>
                </c:pt>
                <c:pt idx="132" c:formatCode="General">
                  <c:v>0</c:v>
                </c:pt>
                <c:pt idx="133" c:formatCode="General">
                  <c:v>0</c:v>
                </c:pt>
                <c:pt idx="134" c:formatCode="General">
                  <c:v>0</c:v>
                </c:pt>
              </c:numCache>
            </c:numRef>
          </c:val>
          <c:smooth val="0"/>
        </c:ser>
        <c:ser>
          <c:idx val="1"/>
          <c:order val="2"/>
          <c:tx>
            <c:strRef>
              <c:f>'[最新溶剂油周报：山东地炼石脑油价格走势图4.27.xls]溶剂油周报-石脑油价格走势图表'!$F$178</c:f>
              <c:strCache>
                <c:ptCount val="1"/>
                <c:pt idx="0">
                  <c:v>安邦石化</c:v>
                </c:pt>
              </c:strCache>
            </c:strRef>
          </c:tx>
          <c:spPr>
            <a:ln w="38100" cap="rnd" cmpd="sng" algn="ctr">
              <a:solidFill>
                <a:srgbClr val="FF00FF">
                  <a:alpha val="100000"/>
                </a:srgbClr>
              </a:solidFill>
              <a:prstDash val="solid"/>
              <a:round/>
            </a:ln>
          </c:spPr>
          <c:marker>
            <c:symbol val="none"/>
          </c:marker>
          <c:dLbls>
            <c:delete val="1"/>
          </c:dLbls>
          <c:cat>
            <c:numRef>
              <c:f>'[最新溶剂油周报：山东地炼石脑油价格走势图4.27.xls]溶剂油周报-石脑油价格走势图表'!$A$179:$C$325</c:f>
              <c:numCache>
                <c:formatCode>yyyy/m/d</c:formatCode>
                <c:ptCount val="147"/>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pt idx="133" c:formatCode="yyyy/m/d">
                  <c:v>43217</c:v>
                </c:pt>
                <c:pt idx="134" c:formatCode="yyyy/m/d">
                  <c:v>43224</c:v>
                </c:pt>
              </c:numCache>
            </c:numRef>
          </c:cat>
          <c:val>
            <c:numRef>
              <c:f>'[最新溶剂油周报：山东地炼石脑油价格走势图4.27.xls]溶剂油周报-石脑油价格走势图表'!$F$179:$F$325</c:f>
              <c:numCache>
                <c:formatCode>@</c:formatCode>
                <c:ptCount val="147"/>
                <c:pt idx="0">
                  <c:v>4570</c:v>
                </c:pt>
                <c:pt idx="1">
                  <c:v>4570</c:v>
                </c:pt>
                <c:pt idx="2">
                  <c:v>4650</c:v>
                </c:pt>
                <c:pt idx="3">
                  <c:v>4700</c:v>
                </c:pt>
                <c:pt idx="4">
                  <c:v>4700</c:v>
                </c:pt>
                <c:pt idx="5">
                  <c:v>4700</c:v>
                </c:pt>
                <c:pt idx="6">
                  <c:v>4700</c:v>
                </c:pt>
                <c:pt idx="7">
                  <c:v>4530</c:v>
                </c:pt>
                <c:pt idx="8">
                  <c:v>4530</c:v>
                </c:pt>
                <c:pt idx="9">
                  <c:v>4530</c:v>
                </c:pt>
                <c:pt idx="10">
                  <c:v>4530</c:v>
                </c:pt>
                <c:pt idx="11">
                  <c:v>4530</c:v>
                </c:pt>
                <c:pt idx="12">
                  <c:v>4200</c:v>
                </c:pt>
                <c:pt idx="13">
                  <c:v>4200</c:v>
                </c:pt>
                <c:pt idx="14">
                  <c:v>4000</c:v>
                </c:pt>
                <c:pt idx="15">
                  <c:v>3900</c:v>
                </c:pt>
                <c:pt idx="16">
                  <c:v>3900</c:v>
                </c:pt>
                <c:pt idx="17">
                  <c:v>3800</c:v>
                </c:pt>
                <c:pt idx="18">
                  <c:v>3800</c:v>
                </c:pt>
                <c:pt idx="19">
                  <c:v>3500</c:v>
                </c:pt>
                <c:pt idx="20">
                  <c:v>3500</c:v>
                </c:pt>
                <c:pt idx="21">
                  <c:v>3500</c:v>
                </c:pt>
                <c:pt idx="22">
                  <c:v>3500</c:v>
                </c:pt>
                <c:pt idx="23">
                  <c:v>2800</c:v>
                </c:pt>
                <c:pt idx="24">
                  <c:v>3100</c:v>
                </c:pt>
                <c:pt idx="25">
                  <c:v>3600</c:v>
                </c:pt>
                <c:pt idx="26">
                  <c:v>3600</c:v>
                </c:pt>
                <c:pt idx="27">
                  <c:v>3500</c:v>
                </c:pt>
                <c:pt idx="28">
                  <c:v>3500</c:v>
                </c:pt>
                <c:pt idx="29">
                  <c:v>3250</c:v>
                </c:pt>
                <c:pt idx="30">
                  <c:v>3250</c:v>
                </c:pt>
                <c:pt idx="31">
                  <c:v>3200</c:v>
                </c:pt>
                <c:pt idx="32">
                  <c:v>3200</c:v>
                </c:pt>
                <c:pt idx="33">
                  <c:v>3350</c:v>
                </c:pt>
                <c:pt idx="34">
                  <c:v>3530</c:v>
                </c:pt>
                <c:pt idx="35">
                  <c:v>3530</c:v>
                </c:pt>
                <c:pt idx="36">
                  <c:v>3530</c:v>
                </c:pt>
                <c:pt idx="37">
                  <c:v>3400</c:v>
                </c:pt>
                <c:pt idx="38">
                  <c:v>3300</c:v>
                </c:pt>
                <c:pt idx="39">
                  <c:v>3300</c:v>
                </c:pt>
                <c:pt idx="40">
                  <c:v>3400</c:v>
                </c:pt>
                <c:pt idx="41">
                  <c:v>3300</c:v>
                </c:pt>
                <c:pt idx="42">
                  <c:v>3300</c:v>
                </c:pt>
                <c:pt idx="43">
                  <c:v>3300</c:v>
                </c:pt>
                <c:pt idx="44">
                  <c:v>3300</c:v>
                </c:pt>
                <c:pt idx="45">
                  <c:v>3300</c:v>
                </c:pt>
                <c:pt idx="46">
                  <c:v>3300</c:v>
                </c:pt>
                <c:pt idx="47" c:formatCode="General">
                  <c:v>3200</c:v>
                </c:pt>
                <c:pt idx="48" c:formatCode="General">
                  <c:v>3550</c:v>
                </c:pt>
                <c:pt idx="49" c:formatCode="General">
                  <c:v>3600</c:v>
                </c:pt>
                <c:pt idx="50" c:formatCode="General">
                  <c:v>3600</c:v>
                </c:pt>
                <c:pt idx="51" c:formatCode="General">
                  <c:v>3350</c:v>
                </c:pt>
                <c:pt idx="52" c:formatCode="General">
                  <c:v>3550</c:v>
                </c:pt>
                <c:pt idx="53" c:formatCode="General">
                  <c:v>3500</c:v>
                </c:pt>
                <c:pt idx="54" c:formatCode="General">
                  <c:v>3500</c:v>
                </c:pt>
                <c:pt idx="55" c:formatCode="General">
                  <c:v>3800</c:v>
                </c:pt>
                <c:pt idx="56" c:formatCode="General">
                  <c:v>4000</c:v>
                </c:pt>
                <c:pt idx="57" c:formatCode="General">
                  <c:v>4000</c:v>
                </c:pt>
                <c:pt idx="58" c:formatCode="General">
                  <c:v>3900</c:v>
                </c:pt>
                <c:pt idx="59" c:formatCode="General">
                  <c:v>3800</c:v>
                </c:pt>
                <c:pt idx="60" c:formatCode="General">
                  <c:v>3950</c:v>
                </c:pt>
                <c:pt idx="61" c:formatCode="General">
                  <c:v>4000</c:v>
                </c:pt>
                <c:pt idx="62" c:formatCode="General">
                  <c:v>4000</c:v>
                </c:pt>
                <c:pt idx="63" c:formatCode="General">
                  <c:v>4150</c:v>
                </c:pt>
                <c:pt idx="64" c:formatCode="General">
                  <c:v>4500</c:v>
                </c:pt>
                <c:pt idx="65" c:formatCode="General">
                  <c:v>4500</c:v>
                </c:pt>
                <c:pt idx="66" c:formatCode="General">
                  <c:v>4300</c:v>
                </c:pt>
                <c:pt idx="67" c:formatCode="General">
                  <c:v>4300</c:v>
                </c:pt>
                <c:pt idx="68" c:formatCode="General">
                  <c:v>4400</c:v>
                </c:pt>
                <c:pt idx="69" c:formatCode="General">
                  <c:v>4400</c:v>
                </c:pt>
                <c:pt idx="70" c:formatCode="General">
                  <c:v>4400</c:v>
                </c:pt>
                <c:pt idx="71" c:formatCode="General">
                  <c:v>4400</c:v>
                </c:pt>
                <c:pt idx="72" c:formatCode="General">
                  <c:v>4750</c:v>
                </c:pt>
                <c:pt idx="73" c:formatCode="General">
                  <c:v>4800</c:v>
                </c:pt>
                <c:pt idx="74" c:formatCode="General">
                  <c:v>4720</c:v>
                </c:pt>
                <c:pt idx="75" c:formatCode="General">
                  <c:v>4500</c:v>
                </c:pt>
                <c:pt idx="76" c:formatCode="General">
                  <c:v>4600</c:v>
                </c:pt>
                <c:pt idx="77" c:formatCode="General">
                  <c:v>4600</c:v>
                </c:pt>
                <c:pt idx="78" c:formatCode="General">
                  <c:v>4600</c:v>
                </c:pt>
                <c:pt idx="79" c:formatCode="General">
                  <c:v>4650</c:v>
                </c:pt>
                <c:pt idx="80" c:formatCode="General">
                  <c:v>4650</c:v>
                </c:pt>
                <c:pt idx="81" c:formatCode="General">
                  <c:v>4500</c:v>
                </c:pt>
                <c:pt idx="82" c:formatCode="General">
                  <c:v>4500</c:v>
                </c:pt>
                <c:pt idx="83" c:formatCode="General">
                  <c:v>4500</c:v>
                </c:pt>
                <c:pt idx="84" c:formatCode="General">
                  <c:v>4700</c:v>
                </c:pt>
                <c:pt idx="85" c:formatCode="General">
                  <c:v>4750</c:v>
                </c:pt>
                <c:pt idx="86" c:formatCode="General">
                  <c:v>4750</c:v>
                </c:pt>
                <c:pt idx="87" c:formatCode="General">
                  <c:v>4750</c:v>
                </c:pt>
                <c:pt idx="88" c:formatCode="General">
                  <c:v>4850</c:v>
                </c:pt>
                <c:pt idx="89" c:formatCode="General">
                  <c:v>4750</c:v>
                </c:pt>
                <c:pt idx="90" c:formatCode="General">
                  <c:v>4550</c:v>
                </c:pt>
                <c:pt idx="91" c:formatCode="General">
                  <c:v>4600</c:v>
                </c:pt>
                <c:pt idx="92" c:formatCode="General">
                  <c:v>4500</c:v>
                </c:pt>
                <c:pt idx="93" c:formatCode="General">
                  <c:v>4500</c:v>
                </c:pt>
                <c:pt idx="94" c:formatCode="General">
                  <c:v>4600</c:v>
                </c:pt>
                <c:pt idx="95" c:formatCode="General">
                  <c:v>4600</c:v>
                </c:pt>
                <c:pt idx="96" c:formatCode="General">
                  <c:v>4550</c:v>
                </c:pt>
                <c:pt idx="97" c:formatCode="General">
                  <c:v>4660</c:v>
                </c:pt>
                <c:pt idx="98" c:formatCode="General">
                  <c:v>4730</c:v>
                </c:pt>
                <c:pt idx="99" c:formatCode="General">
                  <c:v>4780</c:v>
                </c:pt>
                <c:pt idx="100" c:formatCode="General">
                  <c:v>4840</c:v>
                </c:pt>
                <c:pt idx="103" c:formatCode="General">
                  <c:v>0</c:v>
                </c:pt>
                <c:pt idx="104" c:formatCode="General">
                  <c:v>4900</c:v>
                </c:pt>
                <c:pt idx="105" c:formatCode="General">
                  <c:v>4980</c:v>
                </c:pt>
                <c:pt idx="106" c:formatCode="General">
                  <c:v>5050</c:v>
                </c:pt>
                <c:pt idx="107" c:formatCode="General">
                  <c:v>5160</c:v>
                </c:pt>
                <c:pt idx="108" c:formatCode="General">
                  <c:v>5240</c:v>
                </c:pt>
                <c:pt idx="109" c:formatCode="General">
                  <c:v>5300</c:v>
                </c:pt>
                <c:pt idx="110" c:formatCode="General">
                  <c:v>5530</c:v>
                </c:pt>
                <c:pt idx="111" c:formatCode="General">
                  <c:v>6200</c:v>
                </c:pt>
                <c:pt idx="112" c:formatCode="General">
                  <c:v>6050</c:v>
                </c:pt>
                <c:pt idx="113" c:formatCode="General">
                  <c:v>6150</c:v>
                </c:pt>
                <c:pt idx="114" c:formatCode="General">
                  <c:v>6180</c:v>
                </c:pt>
                <c:pt idx="115" c:formatCode="General">
                  <c:v>6180</c:v>
                </c:pt>
                <c:pt idx="116" c:formatCode="General">
                  <c:v>5900</c:v>
                </c:pt>
                <c:pt idx="117" c:formatCode="General">
                  <c:v>5830</c:v>
                </c:pt>
                <c:pt idx="118" c:formatCode="General">
                  <c:v>6000</c:v>
                </c:pt>
                <c:pt idx="119" c:formatCode="General">
                  <c:v>5960</c:v>
                </c:pt>
                <c:pt idx="120" c:formatCode="General">
                  <c:v>6400</c:v>
                </c:pt>
                <c:pt idx="121" c:formatCode="General">
                  <c:v>6250</c:v>
                </c:pt>
                <c:pt idx="122" c:formatCode="General">
                  <c:v>6200</c:v>
                </c:pt>
                <c:pt idx="123" c:formatCode="General">
                  <c:v>5990</c:v>
                </c:pt>
                <c:pt idx="124" c:formatCode="General">
                  <c:v>5840</c:v>
                </c:pt>
                <c:pt idx="125" c:formatCode="General">
                  <c:v>5950</c:v>
                </c:pt>
                <c:pt idx="126" c:formatCode="General">
                  <c:v>5950</c:v>
                </c:pt>
                <c:pt idx="127" c:formatCode="General">
                  <c:v>5900</c:v>
                </c:pt>
                <c:pt idx="128" c:formatCode="General">
                  <c:v>5920</c:v>
                </c:pt>
                <c:pt idx="129" c:formatCode="General">
                  <c:v>6000</c:v>
                </c:pt>
                <c:pt idx="130" c:formatCode="General">
                  <c:v>6080</c:v>
                </c:pt>
                <c:pt idx="131" c:formatCode="General">
                  <c:v>6130</c:v>
                </c:pt>
                <c:pt idx="132" c:formatCode="General">
                  <c:v>6150</c:v>
                </c:pt>
                <c:pt idx="133" c:formatCode="General">
                  <c:v>6250</c:v>
                </c:pt>
                <c:pt idx="134" c:formatCode="General">
                  <c:v>6150</c:v>
                </c:pt>
              </c:numCache>
            </c:numRef>
          </c:val>
          <c:smooth val="0"/>
        </c:ser>
        <c:ser>
          <c:idx val="5"/>
          <c:order val="3"/>
          <c:tx>
            <c:strRef>
              <c:f>'[最新溶剂油周报：山东地炼石脑油价格走势图4.27.xls]溶剂油周报-石脑油价格走势图表'!$G$178</c:f>
              <c:strCache>
                <c:ptCount val="1"/>
                <c:pt idx="0">
                  <c:v>富海石化</c:v>
                </c:pt>
              </c:strCache>
            </c:strRef>
          </c:tx>
          <c:spPr>
            <a:ln w="38100" cap="rnd" cmpd="sng" algn="ctr">
              <a:solidFill>
                <a:srgbClr val="800000">
                  <a:alpha val="100000"/>
                </a:srgbClr>
              </a:solidFill>
              <a:prstDash val="solid"/>
              <a:round/>
            </a:ln>
          </c:spPr>
          <c:marker>
            <c:symbol val="none"/>
          </c:marker>
          <c:dLbls>
            <c:delete val="1"/>
          </c:dLbls>
          <c:cat>
            <c:numRef>
              <c:f>'[最新溶剂油周报：山东地炼石脑油价格走势图4.27.xls]溶剂油周报-石脑油价格走势图表'!$A$179:$C$325</c:f>
              <c:numCache>
                <c:formatCode>yyyy/m/d</c:formatCode>
                <c:ptCount val="147"/>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pt idx="133" c:formatCode="yyyy/m/d">
                  <c:v>43217</c:v>
                </c:pt>
                <c:pt idx="134" c:formatCode="yyyy/m/d">
                  <c:v>43224</c:v>
                </c:pt>
              </c:numCache>
            </c:numRef>
          </c:cat>
          <c:val>
            <c:numRef>
              <c:f>'[最新溶剂油周报：山东地炼石脑油价格走势图4.27.xls]溶剂油周报-石脑油价格走势图表'!$G$179:$G$325</c:f>
              <c:numCache>
                <c:formatCode>@</c:formatCode>
                <c:ptCount val="147"/>
                <c:pt idx="0">
                  <c:v>4600</c:v>
                </c:pt>
                <c:pt idx="1">
                  <c:v>4600</c:v>
                </c:pt>
                <c:pt idx="2">
                  <c:v>4600</c:v>
                </c:pt>
                <c:pt idx="3">
                  <c:v>4600</c:v>
                </c:pt>
                <c:pt idx="4">
                  <c:v>4600</c:v>
                </c:pt>
                <c:pt idx="5">
                  <c:v>4600</c:v>
                </c:pt>
                <c:pt idx="6">
                  <c:v>4550</c:v>
                </c:pt>
                <c:pt idx="7">
                  <c:v>4550</c:v>
                </c:pt>
                <c:pt idx="8">
                  <c:v>4550</c:v>
                </c:pt>
                <c:pt idx="9">
                  <c:v>4650</c:v>
                </c:pt>
                <c:pt idx="10">
                  <c:v>4600</c:v>
                </c:pt>
                <c:pt idx="11">
                  <c:v>4370</c:v>
                </c:pt>
                <c:pt idx="12">
                  <c:v>4370</c:v>
                </c:pt>
                <c:pt idx="13">
                  <c:v>4220</c:v>
                </c:pt>
                <c:pt idx="14">
                  <c:v>3900</c:v>
                </c:pt>
                <c:pt idx="15">
                  <c:v>3800</c:v>
                </c:pt>
                <c:pt idx="16">
                  <c:v>3900</c:v>
                </c:pt>
                <c:pt idx="17">
                  <c:v>3930</c:v>
                </c:pt>
                <c:pt idx="18">
                  <c:v>3800</c:v>
                </c:pt>
                <c:pt idx="19">
                  <c:v>3300</c:v>
                </c:pt>
                <c:pt idx="20">
                  <c:v>3250</c:v>
                </c:pt>
                <c:pt idx="21">
                  <c:v>3200</c:v>
                </c:pt>
                <c:pt idx="22">
                  <c:v>3068</c:v>
                </c:pt>
                <c:pt idx="23">
                  <c:v>3068</c:v>
                </c:pt>
                <c:pt idx="24">
                  <c:v>3068</c:v>
                </c:pt>
                <c:pt idx="25">
                  <c:v>3870</c:v>
                </c:pt>
                <c:pt idx="26">
                  <c:v>3700</c:v>
                </c:pt>
                <c:pt idx="27">
                  <c:v>3700</c:v>
                </c:pt>
                <c:pt idx="28">
                  <c:v>3700</c:v>
                </c:pt>
                <c:pt idx="29">
                  <c:v>3700</c:v>
                </c:pt>
                <c:pt idx="30">
                  <c:v>3500</c:v>
                </c:pt>
                <c:pt idx="31">
                  <c:v>3550</c:v>
                </c:pt>
                <c:pt idx="32">
                  <c:v>3600</c:v>
                </c:pt>
                <c:pt idx="33">
                  <c:v>3600</c:v>
                </c:pt>
                <c:pt idx="34">
                  <c:v>3480</c:v>
                </c:pt>
                <c:pt idx="35">
                  <c:v>3520</c:v>
                </c:pt>
                <c:pt idx="36">
                  <c:v>3520</c:v>
                </c:pt>
                <c:pt idx="37">
                  <c:v>3520</c:v>
                </c:pt>
                <c:pt idx="38">
                  <c:v>3350</c:v>
                </c:pt>
                <c:pt idx="39">
                  <c:v>3350</c:v>
                </c:pt>
                <c:pt idx="40">
                  <c:v>3230</c:v>
                </c:pt>
                <c:pt idx="41">
                  <c:v>3230</c:v>
                </c:pt>
                <c:pt idx="42">
                  <c:v>3230</c:v>
                </c:pt>
                <c:pt idx="43">
                  <c:v>3230</c:v>
                </c:pt>
                <c:pt idx="44">
                  <c:v>3230</c:v>
                </c:pt>
                <c:pt idx="45">
                  <c:v>3230</c:v>
                </c:pt>
                <c:pt idx="46">
                  <c:v>3230</c:v>
                </c:pt>
                <c:pt idx="47">
                  <c:v>3230</c:v>
                </c:pt>
                <c:pt idx="48" c:formatCode="General">
                  <c:v>3430</c:v>
                </c:pt>
                <c:pt idx="49" c:formatCode="General">
                  <c:v>3460</c:v>
                </c:pt>
                <c:pt idx="50" c:formatCode="General">
                  <c:v>3350</c:v>
                </c:pt>
                <c:pt idx="51" c:formatCode="General">
                  <c:v>3520</c:v>
                </c:pt>
                <c:pt idx="52" c:formatCode="General">
                  <c:v>3520</c:v>
                </c:pt>
                <c:pt idx="53" c:formatCode="General">
                  <c:v>3500</c:v>
                </c:pt>
                <c:pt idx="54" c:formatCode="General">
                  <c:v>3500</c:v>
                </c:pt>
                <c:pt idx="55" c:formatCode="General">
                  <c:v>3850</c:v>
                </c:pt>
                <c:pt idx="56" c:formatCode="General">
                  <c:v>4080</c:v>
                </c:pt>
                <c:pt idx="57" c:formatCode="General">
                  <c:v>3930</c:v>
                </c:pt>
                <c:pt idx="58" c:formatCode="General">
                  <c:v>3900</c:v>
                </c:pt>
                <c:pt idx="59" c:formatCode="General">
                  <c:v>3750</c:v>
                </c:pt>
                <c:pt idx="60" c:formatCode="General">
                  <c:v>3900</c:v>
                </c:pt>
                <c:pt idx="61" c:formatCode="General">
                  <c:v>3930</c:v>
                </c:pt>
                <c:pt idx="62" c:formatCode="General">
                  <c:v>3900</c:v>
                </c:pt>
                <c:pt idx="63" c:formatCode="General">
                  <c:v>4100</c:v>
                </c:pt>
                <c:pt idx="64" c:formatCode="General">
                  <c:v>4500</c:v>
                </c:pt>
                <c:pt idx="65" c:formatCode="General">
                  <c:v>4500</c:v>
                </c:pt>
                <c:pt idx="66" c:formatCode="General">
                  <c:v>4250</c:v>
                </c:pt>
                <c:pt idx="67" c:formatCode="General">
                  <c:v>4180</c:v>
                </c:pt>
                <c:pt idx="68" c:formatCode="General">
                  <c:v>4260</c:v>
                </c:pt>
                <c:pt idx="69" c:formatCode="General">
                  <c:v>4280</c:v>
                </c:pt>
                <c:pt idx="70" c:formatCode="General">
                  <c:v>4280</c:v>
                </c:pt>
                <c:pt idx="71" c:formatCode="General">
                  <c:v>4300</c:v>
                </c:pt>
                <c:pt idx="72" c:formatCode="General">
                  <c:v>4520</c:v>
                </c:pt>
                <c:pt idx="73" c:formatCode="General">
                  <c:v>4520</c:v>
                </c:pt>
                <c:pt idx="74" c:formatCode="General">
                  <c:v>4370</c:v>
                </c:pt>
                <c:pt idx="75" c:formatCode="General">
                  <c:v>4150</c:v>
                </c:pt>
                <c:pt idx="76" c:formatCode="General">
                  <c:v>4330</c:v>
                </c:pt>
                <c:pt idx="77" c:formatCode="General">
                  <c:v>4280</c:v>
                </c:pt>
                <c:pt idx="78" c:formatCode="General">
                  <c:v>4250</c:v>
                </c:pt>
                <c:pt idx="79" c:formatCode="General">
                  <c:v>4480</c:v>
                </c:pt>
                <c:pt idx="80" c:formatCode="General">
                  <c:v>4500</c:v>
                </c:pt>
                <c:pt idx="81" c:formatCode="General">
                  <c:v>4350</c:v>
                </c:pt>
                <c:pt idx="82" c:formatCode="General">
                  <c:v>4250</c:v>
                </c:pt>
                <c:pt idx="83" c:formatCode="General">
                  <c:v>4250</c:v>
                </c:pt>
                <c:pt idx="84" c:formatCode="General">
                  <c:v>4250</c:v>
                </c:pt>
                <c:pt idx="85" c:formatCode="General">
                  <c:v>4250</c:v>
                </c:pt>
                <c:pt idx="86" c:formatCode="General">
                  <c:v>4250</c:v>
                </c:pt>
                <c:pt idx="87" c:formatCode="General">
                  <c:v>4250</c:v>
                </c:pt>
                <c:pt idx="88" c:formatCode="General">
                  <c:v>4250</c:v>
                </c:pt>
                <c:pt idx="89" c:formatCode="General">
                  <c:v>4180</c:v>
                </c:pt>
                <c:pt idx="90" c:formatCode="General">
                  <c:v>3970</c:v>
                </c:pt>
                <c:pt idx="91" c:formatCode="General">
                  <c:v>3970</c:v>
                </c:pt>
                <c:pt idx="92" c:formatCode="General">
                  <c:v>4000</c:v>
                </c:pt>
                <c:pt idx="93" c:formatCode="General">
                  <c:v>4030</c:v>
                </c:pt>
                <c:pt idx="94" c:formatCode="General">
                  <c:v>4100</c:v>
                </c:pt>
                <c:pt idx="95" c:formatCode="General">
                  <c:v>4100</c:v>
                </c:pt>
                <c:pt idx="96" c:formatCode="General">
                  <c:v>4230</c:v>
                </c:pt>
                <c:pt idx="97" c:formatCode="General">
                  <c:v>4370</c:v>
                </c:pt>
                <c:pt idx="98" c:formatCode="General">
                  <c:v>4370</c:v>
                </c:pt>
                <c:pt idx="99" c:formatCode="General">
                  <c:v>4310</c:v>
                </c:pt>
                <c:pt idx="100" c:formatCode="General">
                  <c:v>4310</c:v>
                </c:pt>
                <c:pt idx="103" c:formatCode="General">
                  <c:v>0</c:v>
                </c:pt>
                <c:pt idx="104" c:formatCode="General">
                  <c:v>4310</c:v>
                </c:pt>
                <c:pt idx="105" c:formatCode="General">
                  <c:v>4400</c:v>
                </c:pt>
                <c:pt idx="106" c:formatCode="General">
                  <c:v>4550</c:v>
                </c:pt>
                <c:pt idx="107" c:formatCode="General">
                  <c:v>4520</c:v>
                </c:pt>
                <c:pt idx="108" c:formatCode="General">
                  <c:v>4480</c:v>
                </c:pt>
                <c:pt idx="109" c:formatCode="General">
                  <c:v>4480</c:v>
                </c:pt>
                <c:pt idx="110" c:formatCode="General">
                  <c:v>4690</c:v>
                </c:pt>
                <c:pt idx="111" c:formatCode="General">
                  <c:v>5750</c:v>
                </c:pt>
                <c:pt idx="112" c:formatCode="General">
                  <c:v>5420</c:v>
                </c:pt>
                <c:pt idx="113" c:formatCode="General">
                  <c:v>5400</c:v>
                </c:pt>
                <c:pt idx="114" c:formatCode="General">
                  <c:v>5430</c:v>
                </c:pt>
                <c:pt idx="115" c:formatCode="General">
                  <c:v>5430</c:v>
                </c:pt>
                <c:pt idx="116" c:formatCode="General">
                  <c:v>5210</c:v>
                </c:pt>
                <c:pt idx="117" c:formatCode="General">
                  <c:v>5090</c:v>
                </c:pt>
                <c:pt idx="118" c:formatCode="General">
                  <c:v>5190</c:v>
                </c:pt>
                <c:pt idx="119" c:formatCode="General">
                  <c:v>5210</c:v>
                </c:pt>
                <c:pt idx="120" c:formatCode="General">
                  <c:v>5210</c:v>
                </c:pt>
                <c:pt idx="121" c:formatCode="General">
                  <c:v>5670</c:v>
                </c:pt>
                <c:pt idx="122" c:formatCode="General">
                  <c:v>5500</c:v>
                </c:pt>
                <c:pt idx="123" c:formatCode="General">
                  <c:v>5200</c:v>
                </c:pt>
                <c:pt idx="124" c:formatCode="General">
                  <c:v>5200</c:v>
                </c:pt>
                <c:pt idx="125" c:formatCode="General">
                  <c:v>5290</c:v>
                </c:pt>
                <c:pt idx="126" c:formatCode="General">
                  <c:v>5310</c:v>
                </c:pt>
                <c:pt idx="127" c:formatCode="General">
                  <c:v>5210</c:v>
                </c:pt>
                <c:pt idx="128" c:formatCode="General">
                  <c:v>5080</c:v>
                </c:pt>
                <c:pt idx="129" c:formatCode="General">
                  <c:v>4800</c:v>
                </c:pt>
                <c:pt idx="130" c:formatCode="General">
                  <c:v>4800</c:v>
                </c:pt>
                <c:pt idx="131" c:formatCode="General">
                  <c:v>4800</c:v>
                </c:pt>
                <c:pt idx="132" c:formatCode="General">
                  <c:v>4860</c:v>
                </c:pt>
                <c:pt idx="133" c:formatCode="General">
                  <c:v>4840</c:v>
                </c:pt>
                <c:pt idx="134" c:formatCode="General">
                  <c:v>4760</c:v>
                </c:pt>
              </c:numCache>
            </c:numRef>
          </c:val>
          <c:smooth val="0"/>
        </c:ser>
        <c:ser>
          <c:idx val="6"/>
          <c:order val="4"/>
          <c:tx>
            <c:strRef>
              <c:f>'[最新溶剂油周报：山东地炼石脑油价格走势图4.27.xls]溶剂油周报-石脑油价格走势图表'!$H$178</c:f>
              <c:strCache>
                <c:ptCount val="1"/>
                <c:pt idx="0">
                  <c:v>寿光石化</c:v>
                </c:pt>
              </c:strCache>
            </c:strRef>
          </c:tx>
          <c:spPr>
            <a:ln w="38100" cap="rnd" cmpd="sng" algn="ctr">
              <a:solidFill>
                <a:srgbClr val="0000FF">
                  <a:alpha val="100000"/>
                </a:srgbClr>
              </a:solidFill>
              <a:prstDash val="solid"/>
              <a:round/>
            </a:ln>
          </c:spPr>
          <c:marker>
            <c:symbol val="none"/>
          </c:marker>
          <c:dLbls>
            <c:delete val="1"/>
          </c:dLbls>
          <c:cat>
            <c:numRef>
              <c:f>'[最新溶剂油周报：山东地炼石脑油价格走势图4.27.xls]溶剂油周报-石脑油价格走势图表'!$A$179:$C$325</c:f>
              <c:numCache>
                <c:formatCode>yyyy/m/d</c:formatCode>
                <c:ptCount val="147"/>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pt idx="133" c:formatCode="yyyy/m/d">
                  <c:v>43217</c:v>
                </c:pt>
                <c:pt idx="134" c:formatCode="yyyy/m/d">
                  <c:v>43224</c:v>
                </c:pt>
              </c:numCache>
            </c:numRef>
          </c:cat>
          <c:val>
            <c:numRef>
              <c:f>'[最新溶剂油周报：山东地炼石脑油价格走势图4.27.xls]溶剂油周报-石脑油价格走势图表'!$H$179:$H$325</c:f>
              <c:numCache>
                <c:formatCode>General</c:formatCode>
                <c:ptCount val="147"/>
                <c:pt idx="17" c:formatCode="@">
                  <c:v>3650</c:v>
                </c:pt>
                <c:pt idx="18" c:formatCode="@">
                  <c:v>3650</c:v>
                </c:pt>
                <c:pt idx="19" c:formatCode="@">
                  <c:v>3650</c:v>
                </c:pt>
                <c:pt idx="20" c:formatCode="@">
                  <c:v>3650</c:v>
                </c:pt>
                <c:pt idx="21" c:formatCode="@">
                  <c:v>3650</c:v>
                </c:pt>
                <c:pt idx="22" c:formatCode="@">
                  <c:v>3650</c:v>
                </c:pt>
                <c:pt idx="23" c:formatCode="@">
                  <c:v>3650</c:v>
                </c:pt>
                <c:pt idx="24" c:formatCode="@">
                  <c:v>3650</c:v>
                </c:pt>
                <c:pt idx="25" c:formatCode="@">
                  <c:v>3650</c:v>
                </c:pt>
                <c:pt idx="26" c:formatCode="@">
                  <c:v>3650</c:v>
                </c:pt>
                <c:pt idx="27" c:formatCode="@">
                  <c:v>4000</c:v>
                </c:pt>
                <c:pt idx="28" c:formatCode="@">
                  <c:v>4000</c:v>
                </c:pt>
                <c:pt idx="29" c:formatCode="@">
                  <c:v>4000</c:v>
                </c:pt>
                <c:pt idx="30" c:formatCode="@">
                  <c:v>4000</c:v>
                </c:pt>
                <c:pt idx="31" c:formatCode="@">
                  <c:v>4000</c:v>
                </c:pt>
                <c:pt idx="32" c:formatCode="@">
                  <c:v>4000</c:v>
                </c:pt>
                <c:pt idx="33" c:formatCode="@">
                  <c:v>4000</c:v>
                </c:pt>
                <c:pt idx="34" c:formatCode="@">
                  <c:v>4000</c:v>
                </c:pt>
                <c:pt idx="35" c:formatCode="@">
                  <c:v>4000</c:v>
                </c:pt>
                <c:pt idx="36" c:formatCode="@">
                  <c:v>4000</c:v>
                </c:pt>
                <c:pt idx="37" c:formatCode="@">
                  <c:v>4000</c:v>
                </c:pt>
                <c:pt idx="38" c:formatCode="@">
                  <c:v>4000</c:v>
                </c:pt>
                <c:pt idx="39" c:formatCode="@">
                  <c:v>4000</c:v>
                </c:pt>
                <c:pt idx="40" c:formatCode="@">
                  <c:v>4000</c:v>
                </c:pt>
                <c:pt idx="41" c:formatCode="@">
                  <c:v>4000</c:v>
                </c:pt>
                <c:pt idx="42" c:formatCode="@">
                  <c:v>4000</c:v>
                </c:pt>
                <c:pt idx="43" c:formatCode="@">
                  <c:v>4000</c:v>
                </c:pt>
                <c:pt idx="44" c:formatCode="@">
                  <c:v>4000</c:v>
                </c:pt>
                <c:pt idx="45" c:formatCode="@">
                  <c:v>4000</c:v>
                </c:pt>
                <c:pt idx="46" c:formatCode="@">
                  <c:v>4000</c:v>
                </c:pt>
                <c:pt idx="47" c:formatCode="@">
                  <c:v>4000</c:v>
                </c:pt>
                <c:pt idx="48" c:formatCode="@">
                  <c:v>4000</c:v>
                </c:pt>
                <c:pt idx="49" c:formatCode="@">
                  <c:v>4000</c:v>
                </c:pt>
                <c:pt idx="50" c:formatCode="@">
                  <c:v>4000</c:v>
                </c:pt>
                <c:pt idx="51" c:formatCode="@">
                  <c:v>4000</c:v>
                </c:pt>
                <c:pt idx="52" c:formatCode="@">
                  <c:v>4000</c:v>
                </c:pt>
                <c:pt idx="53" c:formatCode="@">
                  <c:v>4000</c:v>
                </c:pt>
                <c:pt idx="54" c:formatCode="@">
                  <c:v>4000</c:v>
                </c:pt>
                <c:pt idx="55" c:formatCode="@">
                  <c:v>4000</c:v>
                </c:pt>
                <c:pt idx="56" c:formatCode="@">
                  <c:v>4000</c:v>
                </c:pt>
                <c:pt idx="57" c:formatCode="@">
                  <c:v>4000</c:v>
                </c:pt>
                <c:pt idx="58" c:formatCode="@">
                  <c:v>4000</c:v>
                </c:pt>
                <c:pt idx="59" c:formatCode="@">
                  <c:v>4000</c:v>
                </c:pt>
                <c:pt idx="60" c:formatCode="@">
                  <c:v>4000</c:v>
                </c:pt>
                <c:pt idx="61" c:formatCode="@">
                  <c:v>4000</c:v>
                </c:pt>
                <c:pt idx="62" c:formatCode="@">
                  <c:v>4000</c:v>
                </c:pt>
                <c:pt idx="63" c:formatCode="@">
                  <c:v>4000</c:v>
                </c:pt>
                <c:pt idx="64" c:formatCode="@">
                  <c:v>4000</c:v>
                </c:pt>
                <c:pt idx="65" c:formatCode="@">
                  <c:v>4000</c:v>
                </c:pt>
                <c:pt idx="66" c:formatCode="@">
                  <c:v>4000</c:v>
                </c:pt>
                <c:pt idx="67" c:formatCode="@">
                  <c:v>4000</c:v>
                </c:pt>
                <c:pt idx="68" c:formatCode="@">
                  <c:v>4000</c:v>
                </c:pt>
                <c:pt idx="69" c:formatCode="@">
                  <c:v>4000</c:v>
                </c:pt>
                <c:pt idx="70" c:formatCode="@">
                  <c:v>4000</c:v>
                </c:pt>
                <c:pt idx="71">
                  <c:v>4000</c:v>
                </c:pt>
                <c:pt idx="72">
                  <c:v>4000</c:v>
                </c:pt>
                <c:pt idx="73">
                  <c:v>4000</c:v>
                </c:pt>
                <c:pt idx="74">
                  <c:v>4000</c:v>
                </c:pt>
                <c:pt idx="75">
                  <c:v>4000</c:v>
                </c:pt>
                <c:pt idx="76">
                  <c:v>4000</c:v>
                </c:pt>
                <c:pt idx="77">
                  <c:v>4000</c:v>
                </c:pt>
                <c:pt idx="78">
                  <c:v>4000</c:v>
                </c:pt>
                <c:pt idx="79">
                  <c:v>4000</c:v>
                </c:pt>
                <c:pt idx="80">
                  <c:v>4000</c:v>
                </c:pt>
                <c:pt idx="81">
                  <c:v>4000</c:v>
                </c:pt>
                <c:pt idx="82">
                  <c:v>4000</c:v>
                </c:pt>
                <c:pt idx="83">
                  <c:v>4000</c:v>
                </c:pt>
                <c:pt idx="84">
                  <c:v>4000</c:v>
                </c:pt>
                <c:pt idx="85">
                  <c:v>4000</c:v>
                </c:pt>
                <c:pt idx="86">
                  <c:v>4000</c:v>
                </c:pt>
                <c:pt idx="87">
                  <c:v>4000</c:v>
                </c:pt>
                <c:pt idx="88">
                  <c:v>4000</c:v>
                </c:pt>
                <c:pt idx="89">
                  <c:v>4000</c:v>
                </c:pt>
                <c:pt idx="90">
                  <c:v>4000</c:v>
                </c:pt>
                <c:pt idx="91">
                  <c:v>4000</c:v>
                </c:pt>
                <c:pt idx="92">
                  <c:v>4000</c:v>
                </c:pt>
                <c:pt idx="93">
                  <c:v>4000</c:v>
                </c:pt>
                <c:pt idx="94">
                  <c:v>4000</c:v>
                </c:pt>
                <c:pt idx="95">
                  <c:v>4000</c:v>
                </c:pt>
                <c:pt idx="96">
                  <c:v>4000</c:v>
                </c:pt>
                <c:pt idx="97">
                  <c:v>4000</c:v>
                </c:pt>
                <c:pt idx="98">
                  <c:v>4000</c:v>
                </c:pt>
                <c:pt idx="99">
                  <c:v>4000</c:v>
                </c:pt>
                <c:pt idx="100">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numCache>
            </c:numRef>
          </c:val>
          <c:smooth val="0"/>
        </c:ser>
        <c:dLbls>
          <c:showLegendKey val="0"/>
          <c:showVal val="0"/>
          <c:showCatName val="0"/>
          <c:showSerName val="0"/>
          <c:showPercent val="0"/>
          <c:showBubbleSize val="0"/>
        </c:dLbls>
        <c:marker val="0"/>
        <c:smooth val="0"/>
        <c:axId val="394690909"/>
        <c:axId val="576734052"/>
      </c:lineChart>
      <c:dateAx>
        <c:axId val="394690909"/>
        <c:scaling>
          <c:orientation val="minMax"/>
          <c:max val="43224"/>
          <c:min val="42859"/>
        </c:scaling>
        <c:delete val="0"/>
        <c:axPos val="b"/>
        <c:title>
          <c:tx>
            <c:rich>
              <a:bodyPr rot="0" spcFirstLastPara="0" vertOverflow="ellipsis" vert="horz" wrap="square" anchor="ctr" anchorCtr="1"/>
              <a:lstStyle/>
              <a:p>
                <a:pPr defTabSz="914400">
                  <a:defRPr lang="zh-CN" sz="11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sz="1000" b="0" i="0" u="none" strike="noStrike" baseline="0">
                    <a:solidFill>
                      <a:srgbClr val="000000"/>
                    </a:solidFill>
                    <a:latin typeface="宋体" panose="02010600030101010101" charset="-122"/>
                    <a:ea typeface="宋体" panose="02010600030101010101" charset="-122"/>
                    <a:cs typeface="宋体" panose="02010600030101010101" charset="-122"/>
                  </a:rPr>
                  <a:t>元/吨</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0314024540035944"/>
              <c:y val="0.0750266572680796"/>
            </c:manualLayout>
          </c:layout>
          <c:overlay val="0"/>
        </c:title>
        <c:numFmt formatCode="yyyy/m/d;@" sourceLinked="0"/>
        <c:majorTickMark val="in"/>
        <c:minorTickMark val="none"/>
        <c:tickLblPos val="nextTo"/>
        <c:spPr>
          <a:ln w="3175" cap="flat" cmpd="sng" algn="ctr">
            <a:solidFill>
              <a:srgbClr val="000000">
                <a:alpha val="100000"/>
              </a:srgbClr>
            </a:solidFill>
            <a:prstDash val="solid"/>
            <a:round/>
          </a:ln>
        </c:spPr>
        <c:txPr>
          <a:bodyPr rot="-540000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576734052"/>
        <c:crossesAt val="2000"/>
        <c:auto val="1"/>
        <c:lblOffset val="100"/>
        <c:baseTimeUnit val="days"/>
        <c:majorUnit val="1"/>
        <c:majorTimeUnit val="months"/>
        <c:minorUnit val="1"/>
        <c:minorTimeUnit val="months"/>
      </c:dateAx>
      <c:valAx>
        <c:axId val="576734052"/>
        <c:scaling>
          <c:orientation val="minMax"/>
          <c:max val="7000"/>
          <c:min val="2000"/>
        </c:scaling>
        <c:delete val="0"/>
        <c:axPos val="l"/>
        <c:majorGridlines>
          <c:spPr>
            <a:ln w="3175" cap="flat" cmpd="sng" algn="ctr">
              <a:solidFill>
                <a:srgbClr val="000000">
                  <a:alpha val="100000"/>
                </a:srgbClr>
              </a:solidFill>
              <a:prstDash val="solid"/>
              <a:round/>
            </a:ln>
          </c:spPr>
        </c:majorGridlines>
        <c:numFmt formatCode="@" sourceLinked="1"/>
        <c:majorTickMark val="in"/>
        <c:minorTickMark val="none"/>
        <c:tickLblPos val="nextTo"/>
        <c:spPr>
          <a:ln w="3175" cap="flat" cmpd="sng" algn="ctr">
            <a:solidFill>
              <a:srgbClr val="000000">
                <a:alpha val="100000"/>
              </a:srgbClr>
            </a:solidFill>
            <a:prstDash val="solid"/>
            <a:round/>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394690909"/>
        <c:crossesAt val="42241"/>
        <c:crossBetween val="between"/>
        <c:majorUnit val="500"/>
        <c:minorUnit val="100"/>
      </c:valAx>
      <c:spPr>
        <a:solidFill>
          <a:srgbClr val="FFFFFF">
            <a:alpha val="100000"/>
          </a:srgbClr>
        </a:solidFill>
        <a:ln w="3175">
          <a:noFill/>
        </a:ln>
      </c:spPr>
    </c:plotArea>
    <c:legend>
      <c:legendPos val="r"/>
      <c:layout>
        <c:manualLayout>
          <c:xMode val="edge"/>
          <c:yMode val="edge"/>
          <c:x val="0.0719999655215512"/>
          <c:y val="0.867679191107823"/>
          <c:w val="0.85175"/>
          <c:h val="0.087"/>
        </c:manualLayout>
      </c:layout>
      <c:overlay val="0"/>
      <c:spPr>
        <a:solidFill>
          <a:srgbClr val="FFFFFF">
            <a:alpha val="100000"/>
          </a:srgbClr>
        </a:solidFill>
        <a:ln w="3175">
          <a:noFill/>
        </a:ln>
      </c:spPr>
      <c:txPr>
        <a:bodyPr rot="0" spcFirstLastPara="0" vertOverflow="ellipsis" vert="horz" wrap="square" anchor="ctr" anchorCtr="1"/>
        <a:lstStyle/>
        <a:p>
          <a:pPr>
            <a:defRPr lang="zh-CN" sz="7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noFill/>
      <a:prstDash val="solid"/>
      <a:round/>
    </a:ln>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CEF522-4F2A-46DF-8F19-079103E00AD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3995</Words>
  <Characters>22778</Characters>
  <Lines>189</Lines>
  <Paragraphs>53</Paragraphs>
  <TotalTime>5</TotalTime>
  <ScaleCrop>false</ScaleCrop>
  <LinksUpToDate>false</LinksUpToDate>
  <CharactersWithSpaces>26720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2018-03-02T07:41:00Z</dcterms:created>
  <dc:creator>AutoBVT</dc:creator>
  <cp:lastModifiedBy>梦蝶</cp:lastModifiedBy>
  <dcterms:modified xsi:type="dcterms:W3CDTF">2018-05-11T01:20:29Z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