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6"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pPr>
        <w:outlineLvl w:val="0"/>
        <w:rPr>
          <w:b/>
          <w:sz w:val="32"/>
          <w:szCs w:val="32"/>
        </w:rPr>
      </w:pPr>
      <w: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7429500</wp:posOffset>
                </wp:positionV>
                <wp:extent cx="5322570" cy="1405890"/>
                <wp:effectExtent l="0" t="0" r="0" b="0"/>
                <wp:wrapNone/>
                <wp:docPr id="4" name="文本框 2"/>
                <wp:cNvGraphicFramePr/>
                <a:graphic xmlns:a="http://schemas.openxmlformats.org/drawingml/2006/main">
                  <a:graphicData uri="http://schemas.microsoft.com/office/word/2010/wordprocessingShape">
                    <wps:wsp>
                      <wps:cNvSpPr txBox="1"/>
                      <wps:spPr>
                        <a:xfrm>
                          <a:off x="0" y="0"/>
                          <a:ext cx="5322570" cy="1405890"/>
                        </a:xfrm>
                        <a:prstGeom prst="rect">
                          <a:avLst/>
                        </a:prstGeom>
                        <a:noFill/>
                        <a:ln w="9525">
                          <a:noFill/>
                        </a:ln>
                        <a:effectLst/>
                      </wps:spPr>
                      <wps:txb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2"/>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wps:txbx>
                      <wps:bodyPr upright="1"/>
                    </wps:wsp>
                  </a:graphicData>
                </a:graphic>
              </wp:anchor>
            </w:drawing>
          </mc:Choice>
          <mc:Fallback>
            <w:pict>
              <v:shape id="文本框 2" o:spid="_x0000_s1026" o:spt="202" type="#_x0000_t202" style="position:absolute;left:0pt;margin-left:36.75pt;margin-top:585pt;height:110.7pt;width:419.1pt;z-index:251657216;mso-width-relative:page;mso-height-relative:page;" filled="f" stroked="f" coordsize="21600,21600"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v:fill on="f" focussize="0,0"/>
                <v:stroke on="f"/>
                <v:imagedata o:title=""/>
                <o:lock v:ext="edit" aspectratio="f"/>
                <v:textbo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2"/>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2228215</wp:posOffset>
                </wp:positionH>
                <wp:positionV relativeFrom="paragraph">
                  <wp:posOffset>6231890</wp:posOffset>
                </wp:positionV>
                <wp:extent cx="1607820" cy="68707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607820" cy="687070"/>
                        </a:xfrm>
                        <a:prstGeom prst="rect">
                          <a:avLst/>
                        </a:prstGeom>
                        <a:noFill/>
                        <a:ln w="9525">
                          <a:noFill/>
                        </a:ln>
                        <a:effectLst/>
                      </wps:spPr>
                      <wps:txbx>
                        <w:txbxContent>
                          <w:p>
                            <w:pPr>
                              <w:pStyle w:val="2"/>
                              <w:jc w:val="center"/>
                              <w:rPr>
                                <w:kern w:val="2"/>
                                <w:lang w:val="en-US"/>
                              </w:rPr>
                            </w:pPr>
                            <w:bookmarkStart w:id="78" w:name="_Toc485828984"/>
                            <w:bookmarkStart w:id="79" w:name="_Toc505349996"/>
                            <w:r>
                              <w:rPr>
                                <w:rFonts w:hint="eastAsia"/>
                                <w:kern w:val="2"/>
                              </w:rPr>
                              <w:t>2018.</w:t>
                            </w:r>
                            <w:r>
                              <w:rPr>
                                <w:rFonts w:hint="eastAsia"/>
                                <w:kern w:val="2"/>
                                <w:lang w:val="en-US" w:eastAsia="zh-CN"/>
                              </w:rPr>
                              <w:t>4</w:t>
                            </w:r>
                            <w:r>
                              <w:rPr>
                                <w:rFonts w:hint="eastAsia"/>
                                <w:kern w:val="2"/>
                              </w:rPr>
                              <w:t>.</w:t>
                            </w:r>
                            <w:bookmarkEnd w:id="78"/>
                            <w:bookmarkEnd w:id="79"/>
                            <w:r>
                              <w:rPr>
                                <w:rFonts w:hint="eastAsia"/>
                                <w:kern w:val="2"/>
                                <w:lang w:val="en-US" w:eastAsia="zh-CN"/>
                              </w:rPr>
                              <w:t>20</w:t>
                            </w:r>
                          </w:p>
                          <w:p/>
                        </w:txbxContent>
                      </wps:txbx>
                      <wps:bodyPr upright="1"/>
                    </wps:wsp>
                  </a:graphicData>
                </a:graphic>
              </wp:anchor>
            </w:drawing>
          </mc:Choice>
          <mc:Fallback>
            <w:pict>
              <v:shape id="文本框 3" o:spid="_x0000_s1026" o:spt="202" type="#_x0000_t202" style="position:absolute;left:0pt;margin-left:175.45pt;margin-top:490.7pt;height:54.1pt;width:126.6pt;z-index:251658240;mso-width-relative:page;mso-height-relative:page;" filled="f" stroked="f" coordsize="21600,2160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FTbF9gAAAAMAQAADwAAAAAAAAAB&#10;ACAAAAAiAAAAZHJzL2Rvd25yZXYueG1sUEsBAhQAFAAAAAgAh07iQDEF1GWeAQAAFwMAAA4AAAAA&#10;AAAAAQAgAAAAJwEAAGRycy9lMm9Eb2MueG1sUEsFBgAAAAAGAAYAWQEAADcFAAAAAA==&#10;">
                <v:fill on="f" focussize="0,0"/>
                <v:stroke on="f"/>
                <v:imagedata o:title=""/>
                <o:lock v:ext="edit" aspectratio="f"/>
                <v:textbox>
                  <w:txbxContent>
                    <w:p>
                      <w:pPr>
                        <w:pStyle w:val="2"/>
                        <w:jc w:val="center"/>
                        <w:rPr>
                          <w:kern w:val="2"/>
                          <w:lang w:val="en-US"/>
                        </w:rPr>
                      </w:pPr>
                      <w:bookmarkStart w:id="78" w:name="_Toc485828984"/>
                      <w:bookmarkStart w:id="79" w:name="_Toc505349996"/>
                      <w:r>
                        <w:rPr>
                          <w:rFonts w:hint="eastAsia"/>
                          <w:kern w:val="2"/>
                        </w:rPr>
                        <w:t>2018.</w:t>
                      </w:r>
                      <w:r>
                        <w:rPr>
                          <w:rFonts w:hint="eastAsia"/>
                          <w:kern w:val="2"/>
                          <w:lang w:val="en-US" w:eastAsia="zh-CN"/>
                        </w:rPr>
                        <w:t>4</w:t>
                      </w:r>
                      <w:r>
                        <w:rPr>
                          <w:rFonts w:hint="eastAsia"/>
                          <w:kern w:val="2"/>
                        </w:rPr>
                        <w:t>.</w:t>
                      </w:r>
                      <w:bookmarkEnd w:id="78"/>
                      <w:bookmarkEnd w:id="79"/>
                      <w:r>
                        <w:rPr>
                          <w:rFonts w:hint="eastAsia"/>
                          <w:kern w:val="2"/>
                          <w:lang w:val="en-US" w:eastAsia="zh-CN"/>
                        </w:rPr>
                        <w:t>20</w:t>
                      </w:r>
                    </w:p>
                    <w:p/>
                  </w:txbxContent>
                </v:textbox>
              </v:shape>
            </w:pict>
          </mc:Fallback>
        </mc:AlternateContent>
      </w:r>
      <w:r>
        <w:br w:type="page"/>
      </w:r>
      <w:bookmarkStart w:id="0" w:name="_Toc485828985"/>
      <w:r>
        <w:rPr>
          <w:b/>
          <w:sz w:val="32"/>
          <w:szCs w:val="4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440690</wp:posOffset>
                </wp:positionV>
                <wp:extent cx="6212205" cy="8162290"/>
                <wp:effectExtent l="0" t="0" r="0" b="0"/>
                <wp:wrapNone/>
                <wp:docPr id="6" name="文本框 4"/>
                <wp:cNvGraphicFramePr/>
                <a:graphic xmlns:a="http://schemas.openxmlformats.org/drawingml/2006/main">
                  <a:graphicData uri="http://schemas.microsoft.com/office/word/2010/wordprocessingShape">
                    <wps:wsp>
                      <wps:cNvSpPr txBox="1"/>
                      <wps:spPr>
                        <a:xfrm>
                          <a:off x="0" y="0"/>
                          <a:ext cx="6212205" cy="8162290"/>
                        </a:xfrm>
                        <a:prstGeom prst="rect">
                          <a:avLst/>
                        </a:prstGeom>
                        <a:noFill/>
                        <a:ln w="9525">
                          <a:noFill/>
                        </a:ln>
                        <a:effectLst/>
                      </wps:spPr>
                      <wps:txbx>
                        <w:txbxContent>
                          <w:p>
                            <w:pPr>
                              <w:pStyle w:val="55"/>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w:t>
                            </w:r>
                            <w:r>
                              <w:rPr>
                                <w:rStyle w:val="24"/>
                                <w:rFonts w:hint="eastAsia" w:cs="Arial"/>
                                <w:bCs/>
                                <w:kern w:val="0"/>
                                <w:lang w:val="en-US" w:eastAsia="zh-CN"/>
                              </w:rPr>
                              <w:t>8</w:t>
                            </w:r>
                            <w:r>
                              <w:rPr>
                                <w:rStyle w:val="24"/>
                                <w:rFonts w:hint="eastAsia" w:cs="Arial"/>
                                <w:bCs/>
                                <w:kern w:val="0"/>
                              </w:rPr>
                              <w:t>年</w:t>
                            </w:r>
                            <w:r>
                              <w:rPr>
                                <w:rStyle w:val="24"/>
                                <w:rFonts w:hint="eastAsia" w:cs="Arial"/>
                                <w:bCs/>
                                <w:kern w:val="0"/>
                                <w:lang w:val="en-US" w:eastAsia="zh-CN"/>
                              </w:rPr>
                              <w:t>2</w:t>
                            </w:r>
                            <w:r>
                              <w:rPr>
                                <w:rStyle w:val="24"/>
                                <w:rFonts w:hint="eastAsia" w:cs="Arial"/>
                                <w:bCs/>
                                <w:kern w:val="0"/>
                              </w:rPr>
                              <w:t>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ind w:firstLine="241" w:firstLineChars="100"/>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lang w:val="en-US" w:eastAsia="zh-CN"/>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w:t>
                            </w:r>
                            <w:r>
                              <w:rPr>
                                <w:rStyle w:val="24"/>
                                <w:rFonts w:hint="eastAsia" w:ascii="黑体"/>
                                <w:lang w:val="en-US" w:eastAsia="zh-CN"/>
                              </w:rPr>
                              <w:t>8</w:t>
                            </w:r>
                            <w:r>
                              <w:rPr>
                                <w:rStyle w:val="24"/>
                                <w:rFonts w:hint="eastAsia" w:ascii="黑体"/>
                              </w:rPr>
                              <w:t>年</w:t>
                            </w:r>
                            <w:r>
                              <w:rPr>
                                <w:rStyle w:val="24"/>
                                <w:rFonts w:ascii="黑体"/>
                              </w:rPr>
                              <w:t>1</w:t>
                            </w:r>
                            <w:r>
                              <w:rPr>
                                <w:rStyle w:val="24"/>
                                <w:rFonts w:hint="eastAsia" w:ascii="黑体"/>
                              </w:rPr>
                              <w:t>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wps:txbx>
                      <wps:bodyPr upright="1"/>
                    </wps:wsp>
                  </a:graphicData>
                </a:graphic>
              </wp:anchor>
            </w:drawing>
          </mc:Choice>
          <mc:Fallback>
            <w:pict>
              <v:shape id="文本框 4" o:spid="_x0000_s1026" o:spt="202" type="#_x0000_t202" style="position:absolute;left:0pt;margin-left:-0.9pt;margin-top:34.7pt;height:642.7pt;width:489.15pt;z-index:251659264;mso-width-relative:page;mso-height-relative:page;" filled="f" stroked="f" coordsize="21600,21600"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gbKUrYAAAACgEAAA8AAAAAAAAA&#10;AQAgAAAAIgAAAGRycy9kb3ducmV2LnhtbFBLAQIUABQAAAAIAIdO4kD5X7+InwEAABgDAAAOAAAA&#10;AAAAAAEAIAAAACcBAABkcnMvZTJvRG9jLnhtbFBLBQYAAAAABgAGAFkBAAA4BQAAAAA=&#10;">
                <v:fill on="f" focussize="0,0"/>
                <v:stroke on="f"/>
                <v:imagedata o:title=""/>
                <o:lock v:ext="edit" aspectratio="f"/>
                <v:textbox>
                  <w:txbxContent>
                    <w:p>
                      <w:pPr>
                        <w:pStyle w:val="55"/>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w:t>
                      </w:r>
                      <w:r>
                        <w:rPr>
                          <w:rStyle w:val="24"/>
                          <w:rFonts w:hint="eastAsia" w:cs="Arial"/>
                          <w:bCs/>
                          <w:kern w:val="0"/>
                          <w:lang w:val="en-US" w:eastAsia="zh-CN"/>
                        </w:rPr>
                        <w:t>8</w:t>
                      </w:r>
                      <w:r>
                        <w:rPr>
                          <w:rStyle w:val="24"/>
                          <w:rFonts w:hint="eastAsia" w:cs="Arial"/>
                          <w:bCs/>
                          <w:kern w:val="0"/>
                        </w:rPr>
                        <w:t>年</w:t>
                      </w:r>
                      <w:r>
                        <w:rPr>
                          <w:rStyle w:val="24"/>
                          <w:rFonts w:hint="eastAsia" w:cs="Arial"/>
                          <w:bCs/>
                          <w:kern w:val="0"/>
                          <w:lang w:val="en-US" w:eastAsia="zh-CN"/>
                        </w:rPr>
                        <w:t>2</w:t>
                      </w:r>
                      <w:r>
                        <w:rPr>
                          <w:rStyle w:val="24"/>
                          <w:rFonts w:hint="eastAsia" w:cs="Arial"/>
                          <w:bCs/>
                          <w:kern w:val="0"/>
                        </w:rPr>
                        <w:t>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ind w:firstLine="241" w:firstLineChars="100"/>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lang w:val="en-US" w:eastAsia="zh-CN"/>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w:t>
                      </w:r>
                      <w:r>
                        <w:rPr>
                          <w:rStyle w:val="24"/>
                          <w:rFonts w:hint="eastAsia" w:ascii="黑体"/>
                          <w:lang w:val="en-US" w:eastAsia="zh-CN"/>
                        </w:rPr>
                        <w:t>8</w:t>
                      </w:r>
                      <w:r>
                        <w:rPr>
                          <w:rStyle w:val="24"/>
                          <w:rFonts w:hint="eastAsia" w:ascii="黑体"/>
                        </w:rPr>
                        <w:t>年</w:t>
                      </w:r>
                      <w:r>
                        <w:rPr>
                          <w:rStyle w:val="24"/>
                          <w:rFonts w:ascii="黑体"/>
                        </w:rPr>
                        <w:t>1</w:t>
                      </w:r>
                      <w:r>
                        <w:rPr>
                          <w:rStyle w:val="24"/>
                          <w:rFonts w:hint="eastAsia" w:ascii="黑体"/>
                        </w:rPr>
                        <w:t>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v:textbox>
              </v:shape>
            </w:pict>
          </mc:Fallback>
        </mc:AlternateContent>
      </w:r>
      <w:r>
        <w:br w:type="page"/>
      </w:r>
      <w:bookmarkEnd w:id="0"/>
      <w:bookmarkStart w:id="1" w:name="_Toc460250399"/>
      <w:bookmarkStart w:id="2" w:name="_Toc505349997"/>
      <w:r>
        <w:rPr>
          <w:rFonts w:hint="eastAsia" w:ascii="黑体" w:hAnsi="宋体"/>
          <w:b/>
          <w:sz w:val="32"/>
          <w:szCs w:val="32"/>
        </w:rPr>
        <w:t>一、国际原油</w:t>
      </w:r>
      <w:bookmarkEnd w:id="1"/>
      <w:bookmarkEnd w:id="2"/>
    </w:p>
    <w:p>
      <w:pPr>
        <w:outlineLvl w:val="1"/>
        <w:rPr>
          <w:b/>
          <w:sz w:val="32"/>
          <w:szCs w:val="32"/>
        </w:rPr>
      </w:pPr>
      <w:bookmarkStart w:id="3" w:name="_Toc505349998"/>
      <w:r>
        <w:rPr>
          <w:rFonts w:hint="eastAsia" w:ascii="黑体" w:hAnsi="宋体" w:eastAsia="黑体" w:cs="Arial"/>
          <w:b/>
          <w:bCs/>
          <w:kern w:val="0"/>
          <w:sz w:val="30"/>
          <w:szCs w:val="30"/>
        </w:rPr>
        <w:t>（一）、国际原油市场回顾</w:t>
      </w:r>
      <w:bookmarkEnd w:id="3"/>
    </w:p>
    <w:p>
      <w:pPr>
        <w:pStyle w:val="3"/>
        <w:spacing w:line="240" w:lineRule="auto"/>
        <w:ind w:firstLine="298" w:firstLineChars="99"/>
        <w:rPr>
          <w:rFonts w:hint="eastAsia" w:ascii="黑体" w:hAnsi="宋体" w:eastAsia="黑体" w:cs="Arial"/>
          <w:b w:val="0"/>
          <w:kern w:val="0"/>
          <w:sz w:val="30"/>
          <w:szCs w:val="30"/>
        </w:rPr>
      </w:pPr>
      <w:bookmarkStart w:id="4" w:name="_Toc281568195"/>
      <w:bookmarkStart w:id="5" w:name="_Toc296600805"/>
      <w:bookmarkStart w:id="6" w:name="_Toc460250400"/>
      <w:bookmarkStart w:id="7" w:name="_Toc505349999"/>
      <w:r>
        <w:rPr>
          <w:rFonts w:hint="eastAsia" w:ascii="黑体" w:hAnsi="宋体" w:eastAsia="黑体"/>
          <w:kern w:val="0"/>
          <w:sz w:val="30"/>
          <w:szCs w:val="30"/>
        </w:rPr>
        <w:t xml:space="preserve">1. 1  </w:t>
      </w:r>
      <w:bookmarkEnd w:id="4"/>
      <w:bookmarkEnd w:id="5"/>
      <w:bookmarkEnd w:id="6"/>
      <w:r>
        <w:rPr>
          <w:rFonts w:hint="eastAsia" w:ascii="黑体" w:hAnsi="宋体" w:eastAsia="黑体" w:cs="Arial"/>
          <w:b w:val="0"/>
          <w:kern w:val="0"/>
          <w:sz w:val="30"/>
          <w:szCs w:val="30"/>
        </w:rPr>
        <w:t>国际原油收盘价涨跌情况（单位：美元/桶）</w:t>
      </w:r>
      <w:bookmarkEnd w:id="7"/>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21"/>
        <w:gridCol w:w="910"/>
        <w:gridCol w:w="908"/>
        <w:gridCol w:w="6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21"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日期</w:t>
            </w:r>
          </w:p>
        </w:tc>
        <w:tc>
          <w:tcPr>
            <w:tcW w:w="91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纽交所</w:t>
            </w:r>
          </w:p>
        </w:tc>
        <w:tc>
          <w:tcPr>
            <w:tcW w:w="90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伦交所</w:t>
            </w:r>
          </w:p>
        </w:tc>
        <w:tc>
          <w:tcPr>
            <w:tcW w:w="663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影响因素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2018-4-18</w:t>
            </w:r>
          </w:p>
        </w:tc>
        <w:tc>
          <w:tcPr>
            <w:tcW w:w="91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68.47</w:t>
            </w:r>
          </w:p>
        </w:tc>
        <w:tc>
          <w:tcPr>
            <w:tcW w:w="908"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73.48</w:t>
            </w:r>
          </w:p>
        </w:tc>
        <w:tc>
          <w:tcPr>
            <w:tcW w:w="6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上周美国全国商业原油库存减少110万桶至4.276亿桶。这为国际油价上涨提供了支撑。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2018-4-17</w:t>
            </w:r>
          </w:p>
        </w:tc>
        <w:tc>
          <w:tcPr>
            <w:tcW w:w="91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66.52</w:t>
            </w:r>
          </w:p>
        </w:tc>
        <w:tc>
          <w:tcPr>
            <w:tcW w:w="908"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71.58</w:t>
            </w:r>
          </w:p>
        </w:tc>
        <w:tc>
          <w:tcPr>
            <w:tcW w:w="6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投资者对叙利亚局势的担忧当天助推油价上涨。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2018-4-16</w:t>
            </w:r>
          </w:p>
        </w:tc>
        <w:tc>
          <w:tcPr>
            <w:tcW w:w="91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66.22</w:t>
            </w:r>
          </w:p>
        </w:tc>
        <w:tc>
          <w:tcPr>
            <w:tcW w:w="908"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71.42</w:t>
            </w:r>
          </w:p>
        </w:tc>
        <w:tc>
          <w:tcPr>
            <w:tcW w:w="6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在美英法于美国东部时间１３日晚对叙利亚发动军事打击前，投资者避险意识加强，推高原油价格。但由于打击目标有限，市场此前的过度紧张情绪缓解，当天油价下行。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2018-4-13</w:t>
            </w:r>
          </w:p>
        </w:tc>
        <w:tc>
          <w:tcPr>
            <w:tcW w:w="91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67.39</w:t>
            </w:r>
          </w:p>
        </w:tc>
        <w:tc>
          <w:tcPr>
            <w:tcW w:w="908"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72.58</w:t>
            </w:r>
          </w:p>
        </w:tc>
        <w:tc>
          <w:tcPr>
            <w:tcW w:w="6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欧佩克12日发布的报告预测全球原油市场供过于求状况将得到进一步缓解，该预期在13日继续支撑油价上涨。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4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2018-4-12</w:t>
            </w:r>
          </w:p>
        </w:tc>
        <w:tc>
          <w:tcPr>
            <w:tcW w:w="91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67.07</w:t>
            </w:r>
          </w:p>
        </w:tc>
        <w:tc>
          <w:tcPr>
            <w:tcW w:w="908"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72.02</w:t>
            </w:r>
          </w:p>
        </w:tc>
        <w:tc>
          <w:tcPr>
            <w:tcW w:w="6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欧佩克当天发布的报告预测今年全球日均原油需求将增加。分析人士表示，欧佩克报告显示原油市场供过于求状况有所缓解，预期将在未来一段时间支撑油价上涨。</w:t>
            </w:r>
          </w:p>
        </w:tc>
      </w:tr>
    </w:tbl>
    <w:p/>
    <w:p>
      <w:pPr>
        <w:ind w:firstLine="400" w:firstLineChars="200"/>
        <w:rPr>
          <w:rFonts w:ascii="宋体" w:hAnsi="宋体" w:cs="宋体"/>
          <w:kern w:val="0"/>
          <w:sz w:val="20"/>
          <w:szCs w:val="20"/>
        </w:rPr>
      </w:pPr>
      <w:r>
        <w:rPr>
          <w:rFonts w:hint="eastAsia" w:ascii="宋体" w:hAnsi="宋体" w:cs="宋体"/>
          <w:kern w:val="0"/>
          <w:sz w:val="20"/>
          <w:szCs w:val="20"/>
        </w:rPr>
        <w:t>单位：美元/桶</w:t>
      </w:r>
    </w:p>
    <w:p>
      <w:pPr>
        <w:rPr>
          <w:rFonts w:ascii="宋体" w:hAnsi="宋体" w:cs="宋体"/>
          <w:kern w:val="0"/>
          <w:sz w:val="20"/>
          <w:szCs w:val="20"/>
        </w:rPr>
      </w:pPr>
    </w:p>
    <w:p>
      <w:pPr>
        <w:spacing w:line="360" w:lineRule="auto"/>
        <w:ind w:firstLine="300" w:firstLineChars="100"/>
        <w:outlineLvl w:val="1"/>
        <w:rPr>
          <w:rFonts w:ascii="黑体" w:eastAsia="黑体"/>
          <w:sz w:val="30"/>
          <w:szCs w:val="30"/>
        </w:rPr>
      </w:pPr>
      <w:bookmarkStart w:id="8" w:name="_Toc505350000"/>
      <w:r>
        <w:rPr>
          <w:rFonts w:hint="eastAsia" w:ascii="黑体" w:eastAsia="黑体"/>
          <w:sz w:val="30"/>
          <w:szCs w:val="30"/>
        </w:rPr>
        <w:t>1. 2  国际原油市场价格走势图</w:t>
      </w:r>
      <w:bookmarkEnd w:id="8"/>
    </w:p>
    <w:p>
      <w:pPr>
        <w:spacing w:line="360" w:lineRule="auto"/>
        <w:jc w:val="center"/>
        <w:rPr>
          <w:sz w:val="20"/>
          <w:szCs w:val="20"/>
        </w:rPr>
      </w:pPr>
      <w:r>
        <w:drawing>
          <wp:inline distT="0" distB="0" distL="114300" distR="114300">
            <wp:extent cx="5775325" cy="5019040"/>
            <wp:effectExtent l="0" t="0" r="1587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775325" cy="5019040"/>
                    </a:xfrm>
                    <a:prstGeom prst="rect">
                      <a:avLst/>
                    </a:prstGeom>
                    <a:noFill/>
                    <a:ln w="9525">
                      <a:noFill/>
                    </a:ln>
                  </pic:spPr>
                </pic:pic>
              </a:graphicData>
            </a:graphic>
          </wp:inline>
        </w:drawing>
      </w:r>
    </w:p>
    <w:p>
      <w:pPr>
        <w:spacing w:line="360" w:lineRule="auto"/>
        <w:rPr>
          <w:sz w:val="20"/>
          <w:szCs w:val="20"/>
        </w:rPr>
      </w:pPr>
    </w:p>
    <w:p>
      <w:pPr>
        <w:numPr>
          <w:ilvl w:val="0"/>
          <w:numId w:val="1"/>
        </w:numPr>
        <w:ind w:firstLine="298" w:firstLineChars="99"/>
        <w:outlineLvl w:val="1"/>
        <w:rPr>
          <w:rFonts w:ascii="黑体" w:hAnsi="宋体" w:eastAsia="黑体"/>
          <w:b/>
          <w:sz w:val="30"/>
          <w:szCs w:val="30"/>
        </w:rPr>
      </w:pPr>
      <w:bookmarkStart w:id="9" w:name="_Toc460250402"/>
      <w:bookmarkStart w:id="10" w:name="_Toc505350001"/>
      <w:bookmarkStart w:id="11" w:name="_Toc281568199"/>
      <w:bookmarkStart w:id="12" w:name="_Toc296600809"/>
      <w:bookmarkStart w:id="13" w:name="_Toc158203127"/>
      <w:bookmarkStart w:id="14" w:name="_Toc239847712"/>
      <w:r>
        <w:rPr>
          <w:rFonts w:hint="eastAsia" w:ascii="黑体" w:hAnsi="宋体" w:eastAsia="黑体"/>
          <w:b/>
          <w:sz w:val="30"/>
          <w:szCs w:val="30"/>
        </w:rPr>
        <w:t>.近期影响国际原油市场的主要因素</w:t>
      </w:r>
      <w:bookmarkEnd w:id="9"/>
      <w:bookmarkEnd w:id="10"/>
    </w:p>
    <w:p>
      <w:pPr>
        <w:numPr>
          <w:ilvl w:val="0"/>
          <w:numId w:val="2"/>
        </w:numPr>
        <w:outlineLvl w:val="1"/>
        <w:rPr>
          <w:rFonts w:ascii="黑体" w:hAnsi="宋体" w:eastAsia="黑体"/>
          <w:b/>
          <w:sz w:val="28"/>
          <w:szCs w:val="28"/>
        </w:rPr>
      </w:pPr>
      <w:bookmarkStart w:id="15" w:name="_Toc504051939"/>
      <w:r>
        <w:rPr>
          <w:rFonts w:hint="eastAsia" w:ascii="黑体" w:hAnsi="宋体" w:eastAsia="黑体"/>
          <w:b/>
          <w:sz w:val="28"/>
          <w:szCs w:val="28"/>
        </w:rPr>
        <w:t>美国原油库存情况</w:t>
      </w:r>
      <w:bookmarkEnd w:id="15"/>
    </w:p>
    <w:p>
      <w:pPr>
        <w:pStyle w:val="19"/>
        <w:keepNext w:val="0"/>
        <w:keepLines w:val="0"/>
        <w:widowControl/>
        <w:suppressLineNumbers w:val="0"/>
        <w:ind w:firstLine="560" w:firstLineChars="200"/>
        <w:rPr>
          <w:rFonts w:ascii="华文仿宋" w:hAnsi="华文仿宋" w:eastAsia="华文仿宋"/>
          <w:sz w:val="28"/>
          <w:szCs w:val="28"/>
        </w:rPr>
      </w:pPr>
      <w:r>
        <w:rPr>
          <w:rFonts w:ascii="华文仿宋" w:hAnsi="华文仿宋" w:eastAsia="华文仿宋"/>
          <w:sz w:val="28"/>
          <w:szCs w:val="28"/>
        </w:rPr>
        <w:t>美国能源信息署(EIA)数据显示，上周美国原油产量连续第八周增加，原油进口量减少、出口量增加，原油净进口量大幅减少。截至4月13日当周，美国原油产量增加1.5万桶/日，至1054万桶/日，本周为连续第八周增加。截至4月13日当周，美国原油进口量减少72万桶/日，至793万桶/日;原油出口量增加54.4万桶/日，至174.9万桶/日;原油净进口量减少126.4万桶/日，至,618.1万桶。美国石油协会(API)数据显示，上周美国原油、汽油和馏分油库存均下降，主要因为进口减少。截至4月13日当周，美国原油库存减少100万桶，至4.58019亿桶，分析师预计为减少140万桶。库欣原油库存下滑100万桶。截至4月13日当周，美国汽油库存减少250万桶，分析师预估减少22.7万桶;馏分油库存减少85.4万桶，分析师预估减少26.8万桶。上周美国原油进口下降64.4万桶，至790万桶/日。炼厂每日原油加工量下降3.5万桶。</w:t>
      </w:r>
    </w:p>
    <w:p>
      <w:pPr>
        <w:numPr>
          <w:ilvl w:val="0"/>
          <w:numId w:val="0"/>
        </w:numPr>
        <w:outlineLvl w:val="1"/>
        <w:rPr>
          <w:rFonts w:hint="eastAsia" w:ascii="黑体" w:hAnsi="宋体" w:eastAsia="黑体"/>
          <w:b/>
          <w:sz w:val="28"/>
          <w:szCs w:val="28"/>
        </w:rPr>
      </w:pPr>
    </w:p>
    <w:p>
      <w:pPr>
        <w:outlineLvl w:val="1"/>
        <w:rPr>
          <w:rFonts w:hint="eastAsia" w:ascii="黑体" w:hAnsi="宋体" w:eastAsia="黑体"/>
          <w:b/>
          <w:sz w:val="28"/>
          <w:szCs w:val="28"/>
        </w:rPr>
      </w:pPr>
      <w:bookmarkStart w:id="16" w:name="_Toc504051940"/>
      <w:r>
        <w:rPr>
          <w:rFonts w:hint="eastAsia" w:ascii="黑体" w:hAnsi="宋体" w:eastAsia="黑体"/>
          <w:b/>
          <w:sz w:val="28"/>
          <w:szCs w:val="28"/>
        </w:rPr>
        <w:t>2、美国经济形势</w:t>
      </w:r>
      <w:bookmarkEnd w:id="16"/>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北京时间18日凌晨，美股周二午盘继续上扬。高盛(254,0.37, 0.15%)与Netflix(334.52, -1.54, -0.46%)等企业巨头业绩超出预期，提振了投资者对第一财季财报的信心。今天投资者还将留意美联储官员讲话，重点关注其中有关加息路径的暗示。</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美东时间4月17日12：02(北京时间4月18日00：02)，道指涨263.72点，或1.07%，报24，836.76点;标普500指数涨28.71点，或1.07%，报2，706.55点;纳指涨119.44点，或1.67%，报7，275.73点。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主要股指表现如何?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美股周二高开，道指今年转为上涨。2017年底，道指收报24，719.22点;标普500指数收报2，673.61点;纳指收报6，903.39点。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周二盘中，道指一度上涨超过280点，最高触及24，858.97点。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Netflix成为涨幅最大的标普500成份股，此前该公司宣布付费用户数量增幅超出预期。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Globalt公司高级投资组合经理Tom Martin表示：“Netflix股价表现这么好，推动了市场上涨。Netflix是家指标性的公司。”</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周一美股收高，道指收高212.90点，或0.9%，收于24，573.04点。标普500指数收高0.8%，使其在今年录得涨幅。纳指收高0.7%。推动美股周一上涨的原因是企业财报强劲，帮助市场克服了对中东紧张局势的担忧。</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市场驱动力量是什么?</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周二美股继续得到投资者对第一财季财报的乐观态度的推动。据估计，标普500指数成份股第一财季的盈利增幅将达17.3%，它将是2011年以来的最大增幅。高盛(GS)在周二盘前公布的财报备受市场关注。</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中美贸易摩擦没有升级，同样鼓舞了投资者信心。但在中国采取措施限制美国科技企业进入中国市场后，有关美国正在研究报复措施的消息可能使投资者信心受到打击。</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中国周二宣布第一季度经济增长率为6.8%，超出预期。数据显示中国出口意外强劲增长，推动了整体经济的增长，同时还表明中美贸易关系紧张并未对中国经济造成影响。</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此外，美国与英国官员周二警告称，俄罗斯已经扩大了针对美英企业及政府机构的网络攻击。自从美英法三国对俄罗斯支持的叙利亚政府的化武设施发起攻击后，美英俄三国的关系就日趋紧张。</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焦点关注股</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盛集团(GS)周二盘前宣布：盈利与营收均高于去年同期水平。与其他银行一样，美国最近实行的减税措施以及金融市场的活跃，使高盛等的季度盈利大幅攀升。该公司营收从去年同期的80.3亿美元攀升至100.4亿美元，盈利28.3亿美元，合每股收益6.95美元。</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据汤森路透调查，分析师平均预期高盛盈利22.1亿美元、每股收益5.58美元、营收87.4亿美元。</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IBM(148.79, -12.12, -7.53%)与联合大陆控股(UAL)等均将在周二收盘后公布财报。</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流媒体企业Netflix(NFLX)股价大涨，该公司在周一收盘后宣布第一财季盈利超出市场预期。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电动汽车生产商特斯拉(293.35, 5.66, 1.97%)(TSLA)股价走低，该公司证实Model 3车型的生产出现第二次暂停。</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市场人士如何说?</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券商公司FBN Securities首席市场策略师Jeremy Klein表示：“第一财季伊始，企业盈利增长势头稳健。企业高管们不仅轻易达到或超过已经很激进的盈利与营收目标，并且还发表了对未来业绩前景极为乐观的看法。对于美股维持健康上涨来说，没有什么比企业继续保持盈利的能力更重要的了。”</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Robeco Global Allocation投资组合经理Jeroen Blokland指出，推动周二美股上涨的因素很多，这些因素包括“中美贸易摩擦并未立即升级(虽然目前状况不稳定);企业财报大多达到了目标，鉴于预期普遍很高，达到目标的财报皆是难能可贵;尽管中国的信贷增长正在放缓，但其经济表现仍然很好。”</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经济数据与美联储官员讲话</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周二发表讲话的美联储官员包括旧金山联储行长约翰-威廉姆斯(25.77, 0.04, 0.16%)(John Williams)、负责金融监管的美联储副主席朗道-卡尔斯(Randal Quarles)、费城联储行长帕特里克-哈克(Patrick Harker)、达拉斯联储行长罗伯-卡普兰(Rob Kaplan)、芝加哥联储行长查尔斯-埃文斯(Charles Evans)等。</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哈克、卡普兰以及埃文斯三人均非美联储今年的投票委员。</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美国商务部宣布，美国3月新屋开工年化数字为131.9万幢，预期为126.6万户，前值123.6万户。</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其他市场表现如何?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周二亚洲市场大体收跌，中国台湾股市领跌。欧洲股市方面，欧洲泛欧绩优300指数收高0.91%;英国富时100指数收高0.43%;德国DAX指数收高1.55%;法国CAC指数收高0.76%;西班牙IBEX指数收高0.4%。</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黄金期货价格走低。ICE美元指数基本持平。美国原油期货价格基本持平。</w:t>
      </w:r>
    </w:p>
    <w:p>
      <w:pPr>
        <w:pStyle w:val="19"/>
        <w:ind w:firstLine="560" w:firstLineChars="200"/>
        <w:rPr>
          <w:rFonts w:hint="eastAsia" w:ascii="华文仿宋" w:hAnsi="华文仿宋" w:eastAsia="华文仿宋"/>
          <w:sz w:val="28"/>
          <w:szCs w:val="28"/>
        </w:rPr>
      </w:pPr>
    </w:p>
    <w:p>
      <w:pPr>
        <w:pStyle w:val="19"/>
        <w:numPr>
          <w:ilvl w:val="0"/>
          <w:numId w:val="0"/>
        </w:numPr>
        <w:ind w:leftChars="0"/>
        <w:outlineLvl w:val="1"/>
        <w:rPr>
          <w:rFonts w:hint="eastAsia" w:ascii="黑体" w:eastAsia="黑体"/>
          <w:b/>
          <w:sz w:val="28"/>
          <w:szCs w:val="28"/>
        </w:rPr>
      </w:pPr>
      <w:bookmarkStart w:id="17" w:name="_Toc504051941"/>
      <w:r>
        <w:rPr>
          <w:rFonts w:hint="eastAsia" w:ascii="黑体" w:eastAsia="黑体"/>
          <w:b/>
          <w:sz w:val="28"/>
          <w:szCs w:val="28"/>
          <w:lang w:val="en-US" w:eastAsia="zh-CN"/>
        </w:rPr>
        <w:t>3、</w:t>
      </w:r>
      <w:r>
        <w:rPr>
          <w:rFonts w:hint="eastAsia" w:ascii="黑体" w:eastAsia="黑体"/>
          <w:b/>
          <w:sz w:val="28"/>
          <w:szCs w:val="28"/>
        </w:rPr>
        <w:t>世界经济形势</w:t>
      </w:r>
      <w:bookmarkEnd w:id="17"/>
    </w:p>
    <w:p>
      <w:pPr>
        <w:pStyle w:val="19"/>
        <w:ind w:firstLine="560" w:firstLineChars="200"/>
        <w:rPr>
          <w:rFonts w:ascii="华文仿宋" w:hAnsi="华文仿宋" w:eastAsia="华文仿宋"/>
          <w:sz w:val="28"/>
          <w:szCs w:val="28"/>
        </w:rPr>
      </w:pPr>
      <w:r>
        <w:rPr>
          <w:rFonts w:ascii="华文仿宋" w:hAnsi="华文仿宋" w:eastAsia="华文仿宋"/>
          <w:sz w:val="28"/>
          <w:szCs w:val="28"/>
        </w:rPr>
        <w:t>IMF副总裁张涛：全球经济“阳光伴随乌云”，贸易保护主义没有赢家</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4月16日~22日，2018年国际货币基金组织(IMF)与世界银行春季年会在美国华盛顿举行。与往年一样，今年的春季年会聚集了全球中央银行家、财政部长、金融业决策者和顶尖学者，共同讨论世界经济、全球金融体系、国际发展、消除贫困等重要议题。</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IMF副总裁张涛在年会期间介绍了当前的全球经济金融现状和中长期面临的潜在问题。在4月17日发布的《世界经济展望》(WEO)中，IMF维持全球经济2018年和2019年分别增长3.9%的预测。</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张涛在讲话中表示，“全球经济增长处在阳光期”，IMF依旧对全球经济前景感到乐观。但他也坦言，“阳光期也并不会永远持续下去”，中长期来看，金融环境收紧、地缘政治冲突、贸易争端等给全球经济增长带来更多不确定性，令“阳光期伴随朵朵乌云”。</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基于此，张涛称，IMF呼吁各国未雨绸缪，开展急需的政策行动和改革，以获得更好的应对下一次经济下行周期的能力。</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张涛还分享了IMF认为的全球未来面临的三大任务：远离和消除贸易保护主义;进一步防范财政和金融风险;增强经济增长包容性。</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“阳光期”宜未雨绸缪</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对于目前全球经济基本判断，张涛表示，IMF依旧对全球前景感到乐观。</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他解释道，如同最新的WEO所显示的，2017年全球经济增长达到了3.8%的新高，是2011年以来全球录得的增长最快的一年。IMF预计，2018年、2019年全球经济增长率将进一步上升至3.9%。</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他称，经济增长的主要动力来自投资、贸易和金融等领域的活动。“其中，亚洲贡献了2/3的全球经济增长，依然保持了世界经济增长火车头的地位。本次增长是全球范围内的增长，也是2008年金融危机以来首次比较广泛而强劲的增长。”</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区分发达经济体和新兴经济体来看，IMF预计，发达经济体将在2018年、2019年继续以超过潜在增长率的速度扩张。中期来看，扩张会逐步减弱，后续经济增长将减速。而新兴经济体的增长在未来几年中将进一步加速，随后趋于稳定。</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在整体乐观的判断下，张涛也提出，“整体而言，全球经济增长处在阳光期，但阳光期也并不会永远持续下去。”他对此给予了进一步分析，</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中长期而言，包括美国、中国在内的一些国家的财政刺激将会进一步消退，全球主要央行将继续货币政策正常化进程，利率水平会不断回升。</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就金融市场而言，金融条件将会进一步缩紧，加之地缘政治和贸易争端所引起的不确定性，都会使得“未来一段时间，阳光期会伴随朵朵乌云”。</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“我们也注意到，还有40多个新兴和发展中国家的人均增长率与发达国家的增长率进一步扩大。”他称。</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基于以上分析，张涛表示，IMF在对经济增长的前景保持乐观的同时，也呼吁成员国未雨绸缪“修缮屋顶”，利用当前的势头，开展急需的政策行动和改革，尤其是劳动力市场和服务业部门的改革，从而使得经济增长更加具有可持续性，以便拥有应对下一次经济下行周期的能力。</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贸易保护主义没有赢家</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张涛在圆桌讲话中还分享了IMF认为的未来全球面临的三大当务之急。</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首先，要远离和消除贸易保护主义。“基于规则的多边贸易体系是在‘二战’后发展起来的，在促进世界经济增长方面取得了前所未有的成就。过去70多年中，多边贸易体系极大地改变了我们的世界。全球极端贫困人口减半，降低了所有人的生活成本，使得技术能够更快速和广泛的传播，也创造了成千上万的就业岗位。目前，多边体系受到了严重的挑战，存在引起多边体系分崩离析的风险，如果风险成为现实，将会成为一个难以原谅的集体政策失败，需要引起高度重视。”张涛称。</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他并指出，贸易保护主义没有赢家，最大的输家则是全球经济。贸易保护主义会损及所有人，尤其是低收入人群。</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他称，2006年，IMF曾估算过贸易限制对全球产出的损失。根据估算，假设全球进口关税和非关税在未来3年上涨10%，则从第5年开始，全球GDP和全球消费水平每一年就会下降相当于全球GDP的1.5%。</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“即在上述假设下，从第5年开始，全球经济每一年将损失相当于一个澳大利亚的GDP，长期损失可能更高。”张涛表示。</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因此，张涛称，IMF敦促所有国家继续支持国际多边贸易体系，通过对话与合作，与贸易伙伴国建立建设性的伙伴关系来解决分歧。</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他并称，IMF成员国自身应在促进全球贸易中扮演建设性角色，解决好各自国内尚存的影响贸易和跨境投资的问题，并采取共同行动，鼓励市场主体的公平竞争，加强对知识产权的保护等。</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“在这些领域，IMF将继续通过分析和建议，并提供对话的平台，对成员国给予支持。”他称。</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其次，张涛指出，要进一步防范财政和金融风险。</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他给出了一系列数据：在经历了过去10年宽松的金融环境后，全球的公共和私人债务上升到了164万亿美元的历史新高，相当于全球GDP的225%，比2007年上升了42%。其中，主要的债务来自于私人部门，占总债务的2/3;公共债务也持续攀升，发达经济体公共债务达到了第二次世界大战以来的最高水平，较之2007上升了20%，发达经济体私人部门债务加公共债务占全球债务总水平的73%。</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而对新兴经济体而言，债务水平虽不及发达经济体，但增长速度超过发达经济体，值得关注。“与2008年相比，新兴经济体的整体债务上升了1.8倍，其中，中国在过去10年中债务上升了5倍。”他称，低收入国家的债务也上升迅速，一旦目前的经济、金融环境发生转变，这些国家的债务负担将不可持续。</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事实上，目前，全球主要发达国家经济体的央行都正在推行货币政策正常化，多个发达经济体已经达到了充分就业的状态，对进一步工资上涨和通胀率上涨的预期也在升高。在此背景下，目前宽松的金融市场条件一旦反转，利率的上升就会带来政府、公司、家庭部门的债务可持续问题。</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鉴于此，张涛表示，IMF呼吁各成员国要根据自己的情况，尽早采取措施，建立政策缓冲。</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新服务业提升劳动生产率</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最后一个任务，张涛表示，是使经济增长更加具有包容性，使得经济增长的福利能够惠及所有人群。</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我们面临着人口老龄化和增长回升乏力的情况，在许多国家，中产阶级收入下降，收入的不平等性也在凸显。而这一情况又同时伴随着技术进步，技术进步会导致一些就业岗位的消失。此外，跨境贸易也导致就业岗位的跨境转移增多，受到影响的人群会越来越多。”</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因此，他建议，需要进一步提高劳动生产率，并采取相应的结构性政策措施来弥补岗位错位。</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在提高劳动生产率方面，张涛强调了发展服务业的重要性和必要性。“服务业如果处理得当，也能达到像制造业一样的高生产率。这需要我们追求新服务业，例如运输、通讯和电子商务为代表的服务业，在释放劳动力方面有很大的潜力。”</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但他也坦言，释放这些潜力并非易事，意味着这些服务部门要进一步开放，引入更多竞争。</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此外，技术进步，在张涛看来，也能助推生产率提升。“我们还是要借助技术进步，特别要抓住机遇，发挥好数字经济的优势和潜能，提高包括公共服务在内的数字化转型，加强在数字化经济领域的教育、科研和投资。谁能跑在前面，谁就能引领这个领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张涛也警示了数字经济化带来的两个挑战：机器人代替了某些传统岗位，如何为被代替的人群寻找新的就业岗位，弥补他们的福利损失是一项挑战;另一项挑战是新的技术带来新的风险，例如数字领域的违法活动、洗钱、恐怖融资等。</w:t>
      </w:r>
    </w:p>
    <w:p>
      <w:pPr>
        <w:outlineLvl w:val="1"/>
        <w:rPr>
          <w:rFonts w:ascii="黑体" w:hAnsi="宋体" w:eastAsia="黑体"/>
          <w:b/>
          <w:sz w:val="30"/>
          <w:szCs w:val="30"/>
        </w:rPr>
      </w:pPr>
    </w:p>
    <w:p>
      <w:pPr>
        <w:outlineLvl w:val="1"/>
        <w:rPr>
          <w:rFonts w:ascii="宋体" w:hAnsi="宋体" w:cs="Arial"/>
          <w:b/>
          <w:bCs/>
          <w:kern w:val="0"/>
          <w:sz w:val="32"/>
          <w:szCs w:val="32"/>
        </w:rPr>
      </w:pPr>
      <w:bookmarkStart w:id="18" w:name="_Toc505350005"/>
      <w:r>
        <w:rPr>
          <w:rFonts w:hint="eastAsia" w:ascii="仿宋_GB2312" w:eastAsia="仿宋_GB2312"/>
          <w:b/>
          <w:sz w:val="28"/>
          <w:szCs w:val="28"/>
        </w:rPr>
        <w:t>（三）</w:t>
      </w:r>
      <w:r>
        <w:rPr>
          <w:rFonts w:hint="eastAsia" w:ascii="宋体" w:hAnsi="宋体" w:cs="Arial"/>
          <w:b/>
          <w:bCs/>
          <w:kern w:val="0"/>
          <w:sz w:val="32"/>
          <w:szCs w:val="32"/>
        </w:rPr>
        <w:t>、201</w:t>
      </w:r>
      <w:r>
        <w:rPr>
          <w:rFonts w:hint="eastAsia" w:ascii="宋体" w:hAnsi="宋体" w:cs="Arial"/>
          <w:b/>
          <w:bCs/>
          <w:kern w:val="0"/>
          <w:sz w:val="32"/>
          <w:szCs w:val="32"/>
          <w:lang w:val="en-US" w:eastAsia="zh-CN"/>
        </w:rPr>
        <w:t>8</w:t>
      </w:r>
      <w:r>
        <w:rPr>
          <w:rFonts w:hint="eastAsia" w:ascii="宋体" w:hAnsi="宋体" w:cs="Arial"/>
          <w:b/>
          <w:bCs/>
          <w:kern w:val="0"/>
          <w:sz w:val="32"/>
          <w:szCs w:val="32"/>
        </w:rPr>
        <w:t>年</w:t>
      </w:r>
      <w:r>
        <w:rPr>
          <w:rFonts w:hint="eastAsia" w:ascii="宋体" w:hAnsi="宋体" w:cs="Arial"/>
          <w:b/>
          <w:bCs/>
          <w:kern w:val="0"/>
          <w:sz w:val="32"/>
          <w:szCs w:val="32"/>
          <w:lang w:val="en-US" w:eastAsia="zh-CN"/>
        </w:rPr>
        <w:t>2</w:t>
      </w:r>
      <w:r>
        <w:rPr>
          <w:rFonts w:hint="eastAsia" w:ascii="宋体" w:hAnsi="宋体" w:cs="Arial"/>
          <w:b/>
          <w:bCs/>
          <w:kern w:val="0"/>
          <w:sz w:val="32"/>
          <w:szCs w:val="32"/>
        </w:rPr>
        <w:t>月份全国原油进出口统计数据</w:t>
      </w:r>
      <w:bookmarkEnd w:id="18"/>
    </w:p>
    <w:p>
      <w:pPr>
        <w:widowControl/>
        <w:spacing w:line="260" w:lineRule="atLeast"/>
        <w:jc w:val="center"/>
        <w:rPr>
          <w:rFonts w:hint="eastAsia" w:ascii="宋体" w:hAnsi="宋体" w:cs="宋体"/>
          <w:b/>
          <w:bCs/>
          <w:kern w:val="0"/>
          <w:szCs w:val="21"/>
        </w:rPr>
      </w:pPr>
      <w:r>
        <w:rPr>
          <w:rFonts w:hint="eastAsia" w:ascii="宋体" w:hAnsi="宋体" w:cs="宋体"/>
          <w:b/>
          <w:bCs/>
          <w:kern w:val="0"/>
          <w:szCs w:val="21"/>
        </w:rPr>
        <w:t xml:space="preserve">                                                      单位：千克，美元</w:t>
      </w: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83"/>
        <w:gridCol w:w="1895"/>
        <w:gridCol w:w="1730"/>
        <w:gridCol w:w="1684"/>
        <w:gridCol w:w="1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89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730"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684"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684"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伊拉克</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103985042</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49080278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伊朗</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262530000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126910562</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99797112</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48102208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刚果</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62026763</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24823539</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利比亚</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139894630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75489002</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加拿大</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35161511</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16339869</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加纳</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126689610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68112419</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加蓬</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126767030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67238582</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南苏丹共和国</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57566705</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27298543</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南非</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89000000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34488752</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卡塔尔</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55779032</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33777653</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印度尼西亚</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40390480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20997316</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厄瓜多尔</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98282834</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47135011</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哈萨克斯坦</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144626330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68742684</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哥伦比亚</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142594637</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63213621</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喀麦隆</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130441900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66664805</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埃及</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51273067</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27591558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墨西哥</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73348441</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28533516</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委内瑞拉</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668741393</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258693806</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安哥拉</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137271890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54972168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巴西</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274719637</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126761765</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沙特阿拉伯</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351380185</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172545996</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泰国</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31661120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14002080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澳大利亚</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95935483</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43613604</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科威特</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198745112</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96240060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392838080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214756998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英国</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79695789</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38754488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蒙古</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3499190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1566992</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赤道几内亚</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130328900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67561068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越南</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122717684</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69168675</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阿拉伯联合酋长国</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187867900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91726502</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阿曼</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129837548</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62576943</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36615347</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14888283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马来西亚</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458768032</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244332839</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spacing w:line="260" w:lineRule="atLeast"/>
        <w:jc w:val="center"/>
        <w:rPr>
          <w:rFonts w:hint="eastAsia" w:ascii="宋体" w:hAnsi="宋体" w:cs="宋体"/>
          <w:b/>
          <w:bCs/>
          <w:kern w:val="0"/>
          <w:szCs w:val="21"/>
        </w:rPr>
      </w:pPr>
    </w:p>
    <w:p>
      <w:pPr>
        <w:widowControl/>
        <w:spacing w:line="260" w:lineRule="atLeast"/>
        <w:jc w:val="center"/>
        <w:rPr>
          <w:rFonts w:hint="eastAsia" w:ascii="宋体" w:hAnsi="宋体" w:cs="宋体"/>
          <w:b/>
          <w:bCs/>
          <w:kern w:val="0"/>
          <w:szCs w:val="21"/>
        </w:rPr>
      </w:pPr>
    </w:p>
    <w:p>
      <w:pPr>
        <w:numPr>
          <w:ilvl w:val="0"/>
          <w:numId w:val="0"/>
        </w:numPr>
        <w:tabs>
          <w:tab w:val="left" w:pos="798"/>
        </w:tabs>
        <w:outlineLvl w:val="1"/>
        <w:rPr>
          <w:rFonts w:hint="eastAsia" w:ascii="仿宋_GB2312" w:hAnsi="宋体" w:eastAsia="仿宋_GB2312" w:cs="Arial"/>
          <w:b/>
          <w:bCs/>
          <w:kern w:val="0"/>
          <w:sz w:val="30"/>
          <w:szCs w:val="30"/>
          <w:lang w:eastAsia="zh-CN"/>
        </w:rPr>
      </w:pPr>
      <w:bookmarkStart w:id="19" w:name="_Toc505350006"/>
    </w:p>
    <w:p>
      <w:pPr>
        <w:numPr>
          <w:ilvl w:val="0"/>
          <w:numId w:val="0"/>
        </w:numPr>
        <w:tabs>
          <w:tab w:val="left" w:pos="798"/>
        </w:tabs>
        <w:outlineLvl w:val="1"/>
        <w:rPr>
          <w:rFonts w:hint="eastAsia" w:ascii="仿宋_GB2312" w:hAnsi="宋体" w:eastAsia="仿宋_GB2312" w:cs="Arial"/>
          <w:b/>
          <w:bCs/>
          <w:kern w:val="0"/>
          <w:sz w:val="30"/>
          <w:szCs w:val="30"/>
        </w:rPr>
      </w:pPr>
      <w:r>
        <w:rPr>
          <w:rFonts w:hint="eastAsia" w:ascii="仿宋_GB2312" w:hAnsi="宋体" w:eastAsia="仿宋_GB2312" w:cs="Arial"/>
          <w:b/>
          <w:bCs/>
          <w:kern w:val="0"/>
          <w:sz w:val="30"/>
          <w:szCs w:val="30"/>
          <w:lang w:eastAsia="zh-CN"/>
        </w:rPr>
        <w:t>（四）</w:t>
      </w:r>
      <w:r>
        <w:rPr>
          <w:rFonts w:hint="eastAsia" w:ascii="仿宋_GB2312" w:hAnsi="宋体" w:eastAsia="仿宋_GB2312" w:cs="Arial"/>
          <w:b/>
          <w:bCs/>
          <w:kern w:val="0"/>
          <w:sz w:val="30"/>
          <w:szCs w:val="30"/>
        </w:rPr>
        <w:t>、后市预测</w:t>
      </w:r>
      <w:bookmarkEnd w:id="19"/>
    </w:p>
    <w:p>
      <w:pPr>
        <w:pStyle w:val="19"/>
        <w:keepNext w:val="0"/>
        <w:keepLines w:val="0"/>
        <w:widowControl/>
        <w:suppressLineNumbers w:val="0"/>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本周WTI原油价格在6</w:t>
      </w:r>
      <w:r>
        <w:rPr>
          <w:rFonts w:hint="eastAsia" w:ascii="华文仿宋" w:hAnsi="华文仿宋" w:eastAsia="华文仿宋"/>
          <w:sz w:val="28"/>
          <w:szCs w:val="28"/>
          <w:lang w:val="en-US" w:eastAsia="zh-CN"/>
        </w:rPr>
        <w:t>6.22</w:t>
      </w:r>
      <w:r>
        <w:rPr>
          <w:rFonts w:hint="eastAsia" w:ascii="华文仿宋" w:hAnsi="华文仿宋" w:eastAsia="华文仿宋"/>
          <w:sz w:val="28"/>
          <w:szCs w:val="28"/>
        </w:rPr>
        <w:t>-6</w:t>
      </w:r>
      <w:r>
        <w:rPr>
          <w:rFonts w:hint="eastAsia" w:ascii="华文仿宋" w:hAnsi="华文仿宋" w:eastAsia="华文仿宋"/>
          <w:sz w:val="28"/>
          <w:szCs w:val="28"/>
          <w:lang w:val="en-US" w:eastAsia="zh-CN"/>
        </w:rPr>
        <w:t>8.47</w:t>
      </w:r>
      <w:r>
        <w:rPr>
          <w:rFonts w:hint="eastAsia" w:ascii="华文仿宋" w:hAnsi="华文仿宋" w:eastAsia="华文仿宋"/>
          <w:sz w:val="28"/>
          <w:szCs w:val="28"/>
        </w:rPr>
        <w:t>美元/桶，布伦特原油价格在</w:t>
      </w:r>
      <w:r>
        <w:rPr>
          <w:rFonts w:hint="eastAsia" w:ascii="华文仿宋" w:hAnsi="华文仿宋" w:eastAsia="华文仿宋"/>
          <w:sz w:val="28"/>
          <w:szCs w:val="28"/>
          <w:lang w:val="en-US" w:eastAsia="zh-CN"/>
        </w:rPr>
        <w:t>71.42</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73.48</w:t>
      </w:r>
      <w:r>
        <w:rPr>
          <w:rFonts w:hint="eastAsia" w:ascii="华文仿宋" w:hAnsi="华文仿宋" w:eastAsia="华文仿宋"/>
          <w:sz w:val="28"/>
          <w:szCs w:val="28"/>
        </w:rPr>
        <w:t>美元/桶震荡。周</w:t>
      </w:r>
      <w:r>
        <w:rPr>
          <w:rFonts w:hint="eastAsia" w:ascii="华文仿宋" w:hAnsi="华文仿宋" w:eastAsia="华文仿宋"/>
          <w:sz w:val="28"/>
          <w:szCs w:val="28"/>
          <w:lang w:eastAsia="zh-CN"/>
        </w:rPr>
        <w:t>内</w:t>
      </w:r>
      <w:r>
        <w:rPr>
          <w:rFonts w:hint="eastAsia" w:ascii="华文仿宋" w:hAnsi="华文仿宋" w:eastAsia="华文仿宋"/>
          <w:sz w:val="28"/>
          <w:szCs w:val="28"/>
        </w:rPr>
        <w:t>国际原油价格整体呈现“V”字型走势。周内前期，OPEC月报好坏参半令市场犹豫不决，但国际能源署(IEA)公布最新月报显示3月全球原油供应量下降，同时叙利亚局势依然紧张也增加了油价的风险溢价，这令原油多头信心受到鼓舞，国际油价小幅推涨，之后由于叙利亚局势略有缓解，同时美国原油产量继续走高令投资者担忧情绪依然严重，市场锁定获利，令油价回调;周内后期，虽然美指上涨在一定程度上限制了油价上行空间，但美国可能对俄罗斯增加制裁力度以及伊朗核协议的不确定性依然为油市带来支撑，世界贸易组织建议中美贸易摩擦用谈判方式解决缓解紧张情绪，加之美国石油协会及EIA接续发布利好原油库存数据，积累的多头动能得以爆发，油价开启强势暴涨模式。此外，美国油服公司贝克休斯(Baker Hughes)周五(4月13日)公布数据显示，截至4月13日当周，美国石油活跃钻井数增加7座至815座，过去12周内有10周录得增长，再创2015年3月来新高。去年同期美国钻井总数为847座。整体看来，周内国际原油市场受利好消息主导，油市上方短时偏好消息充足，支撑油价强势走高。其中WTI期货本周均价67.13美元/桶，较上周上涨4.46%，较上月上涨6.95%;本周布伦特期货均价72.22美元/桶，较上周上涨4.00%，较上月上涨8.24%。后市预测：近期中东局势的发酵帮助油价强势突破上涨，但后期叙利亚局势并没有蔓延，市场聚焦EIA库存，随后EIA协同API录得库存大降，市场信心多头利好提振，此外，世贸组织昨日发布文件建议中美贸易争端通过谈判解决，中美贸易摩擦降温也助力油价。综合来看，近期油利好充足，但高油价情况下很可能会出现一波获利了结操作，油价或将出现短线跳水。在66～68美元/桶之间浮动，布伦特原油期货均价在68～70美元/桶之间浮动。</w:t>
      </w:r>
    </w:p>
    <w:p>
      <w:pPr>
        <w:numPr>
          <w:ilvl w:val="0"/>
          <w:numId w:val="0"/>
        </w:numPr>
        <w:ind w:leftChars="99"/>
        <w:outlineLvl w:val="1"/>
        <w:rPr>
          <w:rFonts w:hint="eastAsia" w:ascii="仿宋_GB2312" w:hAnsi="宋体" w:eastAsia="仿宋_GB2312" w:cs="Arial"/>
          <w:b/>
          <w:bCs/>
          <w:kern w:val="0"/>
          <w:sz w:val="30"/>
          <w:szCs w:val="30"/>
        </w:rPr>
      </w:pPr>
    </w:p>
    <w:p>
      <w:pPr>
        <w:spacing w:line="360" w:lineRule="auto"/>
        <w:outlineLvl w:val="0"/>
        <w:rPr>
          <w:rFonts w:hint="eastAsia" w:ascii="黑体" w:hAnsi="宋体" w:eastAsia="黑体"/>
          <w:b/>
          <w:sz w:val="28"/>
          <w:szCs w:val="28"/>
        </w:rPr>
      </w:pPr>
      <w:bookmarkStart w:id="20" w:name="_Toc505350007"/>
      <w:r>
        <w:rPr>
          <w:rFonts w:hint="eastAsia" w:ascii="黑体" w:hAnsi="宋体" w:eastAsia="黑体"/>
          <w:b/>
          <w:sz w:val="28"/>
          <w:szCs w:val="28"/>
        </w:rPr>
        <w:t>二、 石脑油</w:t>
      </w:r>
      <w:bookmarkEnd w:id="20"/>
    </w:p>
    <w:p>
      <w:pPr>
        <w:spacing w:line="360" w:lineRule="auto"/>
        <w:outlineLvl w:val="0"/>
        <w:rPr>
          <w:rFonts w:hint="eastAsia" w:ascii="黑体" w:hAnsi="宋体" w:eastAsia="黑体"/>
          <w:b/>
          <w:sz w:val="28"/>
          <w:szCs w:val="28"/>
        </w:rPr>
      </w:pPr>
    </w:p>
    <w:p>
      <w:pPr>
        <w:pStyle w:val="3"/>
        <w:spacing w:line="240" w:lineRule="auto"/>
        <w:rPr>
          <w:rFonts w:ascii="宋体" w:hAnsi="宋体" w:cs="Arial"/>
          <w:b w:val="0"/>
          <w:bCs w:val="0"/>
          <w:kern w:val="0"/>
          <w:szCs w:val="28"/>
        </w:rPr>
      </w:pPr>
      <w:bookmarkStart w:id="21" w:name="_Toc460250404"/>
      <w:bookmarkStart w:id="22" w:name="_Toc505350008"/>
      <w:r>
        <w:rPr>
          <w:rFonts w:hint="eastAsia"/>
        </w:rPr>
        <w:t>2. 1</w:t>
      </w:r>
      <w:r>
        <w:rPr>
          <w:rFonts w:hint="eastAsia"/>
          <w:kern w:val="0"/>
        </w:rPr>
        <w:t>国际石脑油市场价格</w:t>
      </w:r>
      <w:bookmarkEnd w:id="11"/>
      <w:bookmarkEnd w:id="12"/>
      <w:bookmarkEnd w:id="21"/>
      <w:bookmarkEnd w:id="22"/>
    </w:p>
    <w:p>
      <w:pPr>
        <w:widowControl/>
        <w:jc w:val="center"/>
        <w:rPr>
          <w:rFonts w:ascii="宋体" w:hAnsi="宋体" w:cs="宋体"/>
          <w:sz w:val="20"/>
          <w:szCs w:val="20"/>
        </w:rPr>
      </w:pPr>
      <w:r>
        <w:rPr>
          <w:rFonts w:hint="eastAsia" w:ascii="宋体" w:hAnsi="宋体" w:cs="宋体"/>
          <w:sz w:val="20"/>
          <w:szCs w:val="20"/>
        </w:rPr>
        <w:t xml:space="preserve">                                                                 单位：美元/吨  ①单位：美元/桶</w:t>
      </w:r>
    </w:p>
    <w:p>
      <w:pPr>
        <w:widowControl/>
        <w:rPr>
          <w:rFonts w:ascii="宋体" w:hAnsi="宋体" w:cs="宋体"/>
          <w:sz w:val="20"/>
          <w:szCs w:val="20"/>
        </w:rPr>
      </w:pPr>
    </w:p>
    <w:tbl>
      <w:tblPr>
        <w:tblStyle w:val="25"/>
        <w:tblW w:w="9962" w:type="dxa"/>
        <w:tblInd w:w="0" w:type="dxa"/>
        <w:shd w:val="clear"/>
        <w:tblLayout w:type="fixed"/>
        <w:tblCellMar>
          <w:top w:w="0" w:type="dxa"/>
          <w:left w:w="108" w:type="dxa"/>
          <w:bottom w:w="0" w:type="dxa"/>
          <w:right w:w="108" w:type="dxa"/>
        </w:tblCellMar>
      </w:tblPr>
      <w:tblGrid>
        <w:gridCol w:w="1842"/>
        <w:gridCol w:w="2168"/>
        <w:gridCol w:w="1631"/>
        <w:gridCol w:w="2006"/>
        <w:gridCol w:w="2315"/>
      </w:tblGrid>
      <w:tr>
        <w:tblPrEx>
          <w:shd w:val="clear"/>
          <w:tblLayout w:type="fixed"/>
          <w:tblCellMar>
            <w:top w:w="0" w:type="dxa"/>
            <w:left w:w="108" w:type="dxa"/>
            <w:bottom w:w="0" w:type="dxa"/>
            <w:right w:w="108" w:type="dxa"/>
          </w:tblCellMar>
        </w:tblPrEx>
        <w:trPr>
          <w:trHeight w:val="675" w:hRule="atLeast"/>
        </w:trPr>
        <w:tc>
          <w:tcPr>
            <w:tcW w:w="1842" w:type="dxa"/>
            <w:tcBorders>
              <w:top w:val="single" w:color="000000" w:sz="8" w:space="0"/>
              <w:left w:val="single" w:color="000000" w:sz="8" w:space="0"/>
              <w:bottom w:val="single" w:color="000000" w:sz="8" w:space="0"/>
              <w:right w:val="single" w:color="000000" w:sz="8" w:space="0"/>
            </w:tcBorders>
            <w:shd w:val="clear" w:color="auto" w:fill="00B0F0"/>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bookmarkStart w:id="23" w:name="_Toc505350009"/>
            <w:bookmarkStart w:id="24" w:name="_Toc239847715"/>
            <w:bookmarkStart w:id="25" w:name="_Toc281568202"/>
            <w:bookmarkStart w:id="26" w:name="_Toc296600812"/>
            <w:bookmarkStart w:id="27" w:name="_Toc460250405"/>
            <w:r>
              <w:rPr>
                <w:rFonts w:hint="eastAsia" w:ascii="华文仿宋" w:hAnsi="华文仿宋" w:eastAsia="华文仿宋" w:cs="华文仿宋"/>
                <w:color w:val="000000"/>
                <w:kern w:val="0"/>
                <w:sz w:val="28"/>
                <w:szCs w:val="28"/>
                <w:bdr w:val="none" w:color="auto" w:sz="0" w:space="0"/>
                <w:lang w:val="en-US" w:eastAsia="zh-CN" w:bidi="ar"/>
              </w:rPr>
              <w:t>4月19日</w:t>
            </w:r>
          </w:p>
        </w:tc>
        <w:tc>
          <w:tcPr>
            <w:tcW w:w="2168" w:type="dxa"/>
            <w:tcBorders>
              <w:top w:val="single" w:color="000000" w:sz="8" w:space="0"/>
              <w:left w:val="single" w:color="000000" w:sz="8" w:space="0"/>
              <w:bottom w:val="single" w:color="000000" w:sz="8" w:space="0"/>
              <w:right w:val="single" w:color="000000" w:sz="8" w:space="0"/>
            </w:tcBorders>
            <w:shd w:val="clear" w:color="auto" w:fill="00B0F0"/>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低端价（美元/吨）</w:t>
            </w:r>
          </w:p>
        </w:tc>
        <w:tc>
          <w:tcPr>
            <w:tcW w:w="1631" w:type="dxa"/>
            <w:tcBorders>
              <w:top w:val="single" w:color="000000" w:sz="8" w:space="0"/>
              <w:left w:val="single" w:color="000000" w:sz="8" w:space="0"/>
              <w:bottom w:val="single" w:color="000000" w:sz="8" w:space="0"/>
              <w:right w:val="single" w:color="000000" w:sz="8" w:space="0"/>
            </w:tcBorders>
            <w:shd w:val="clear" w:color="auto" w:fill="00B0F0"/>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高端价（美元/吨）</w:t>
            </w:r>
          </w:p>
        </w:tc>
        <w:tc>
          <w:tcPr>
            <w:tcW w:w="2006" w:type="dxa"/>
            <w:tcBorders>
              <w:top w:val="single" w:color="000000" w:sz="8" w:space="0"/>
              <w:left w:val="single" w:color="000000" w:sz="8" w:space="0"/>
              <w:bottom w:val="single" w:color="000000" w:sz="8" w:space="0"/>
              <w:right w:val="single" w:color="000000" w:sz="8" w:space="0"/>
            </w:tcBorders>
            <w:shd w:val="clear" w:color="auto" w:fill="00B0F0"/>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均价涨跌幅</w:t>
            </w:r>
          </w:p>
        </w:tc>
        <w:tc>
          <w:tcPr>
            <w:tcW w:w="2315" w:type="dxa"/>
            <w:tcBorders>
              <w:top w:val="single" w:color="000000" w:sz="8" w:space="0"/>
              <w:left w:val="single" w:color="000000" w:sz="8" w:space="0"/>
              <w:bottom w:val="single" w:color="000000" w:sz="8" w:space="0"/>
              <w:right w:val="single" w:color="000000" w:sz="8" w:space="0"/>
            </w:tcBorders>
            <w:shd w:val="clear" w:color="auto" w:fill="00B0F0"/>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美分/加仑</w:t>
            </w:r>
          </w:p>
        </w:tc>
      </w:tr>
      <w:tr>
        <w:tblPrEx>
          <w:tblLayout w:type="fixed"/>
          <w:tblCellMar>
            <w:top w:w="0" w:type="dxa"/>
            <w:left w:w="108" w:type="dxa"/>
            <w:bottom w:w="0" w:type="dxa"/>
            <w:right w:w="108" w:type="dxa"/>
          </w:tblCellMar>
        </w:tblPrEx>
        <w:trPr>
          <w:trHeight w:val="285" w:hRule="atLeast"/>
        </w:trPr>
        <w:tc>
          <w:tcPr>
            <w:tcW w:w="184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新加坡</w:t>
            </w:r>
          </w:p>
        </w:tc>
        <w:tc>
          <w:tcPr>
            <w:tcW w:w="216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67.98美元/桶</w:t>
            </w:r>
          </w:p>
        </w:tc>
        <w:tc>
          <w:tcPr>
            <w:tcW w:w="1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68.02美元/桶</w:t>
            </w:r>
          </w:p>
        </w:tc>
        <w:tc>
          <w:tcPr>
            <w:tcW w:w="200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1.36美元/桶</w:t>
            </w:r>
          </w:p>
        </w:tc>
        <w:tc>
          <w:tcPr>
            <w:tcW w:w="231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161.857-161.952</w:t>
            </w:r>
          </w:p>
        </w:tc>
      </w:tr>
      <w:tr>
        <w:tblPrEx>
          <w:tblLayout w:type="fixed"/>
          <w:tblCellMar>
            <w:top w:w="0" w:type="dxa"/>
            <w:left w:w="108" w:type="dxa"/>
            <w:bottom w:w="0" w:type="dxa"/>
            <w:right w:w="108" w:type="dxa"/>
          </w:tblCellMar>
        </w:tblPrEx>
        <w:trPr>
          <w:trHeight w:val="285" w:hRule="atLeast"/>
        </w:trPr>
        <w:tc>
          <w:tcPr>
            <w:tcW w:w="184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日本</w:t>
            </w:r>
          </w:p>
        </w:tc>
        <w:tc>
          <w:tcPr>
            <w:tcW w:w="216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615.25</w:t>
            </w:r>
          </w:p>
        </w:tc>
        <w:tc>
          <w:tcPr>
            <w:tcW w:w="1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619.75</w:t>
            </w:r>
          </w:p>
        </w:tc>
        <w:tc>
          <w:tcPr>
            <w:tcW w:w="200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12.75</w:t>
            </w:r>
          </w:p>
        </w:tc>
        <w:tc>
          <w:tcPr>
            <w:tcW w:w="231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162.765-163.955</w:t>
            </w:r>
          </w:p>
        </w:tc>
      </w:tr>
      <w:tr>
        <w:tblPrEx>
          <w:tblLayout w:type="fixed"/>
          <w:tblCellMar>
            <w:top w:w="0" w:type="dxa"/>
            <w:left w:w="108" w:type="dxa"/>
            <w:bottom w:w="0" w:type="dxa"/>
            <w:right w:w="108" w:type="dxa"/>
          </w:tblCellMar>
        </w:tblPrEx>
        <w:trPr>
          <w:trHeight w:val="285" w:hRule="atLeast"/>
        </w:trPr>
        <w:tc>
          <w:tcPr>
            <w:tcW w:w="184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阿拉伯海湾</w:t>
            </w:r>
          </w:p>
        </w:tc>
        <w:tc>
          <w:tcPr>
            <w:tcW w:w="216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591.99</w:t>
            </w:r>
          </w:p>
        </w:tc>
        <w:tc>
          <w:tcPr>
            <w:tcW w:w="1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591.99</w:t>
            </w:r>
          </w:p>
        </w:tc>
        <w:tc>
          <w:tcPr>
            <w:tcW w:w="200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12.75</w:t>
            </w:r>
          </w:p>
        </w:tc>
        <w:tc>
          <w:tcPr>
            <w:tcW w:w="231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90" w:lineRule="atLeast"/>
              <w:ind w:left="0" w:right="0"/>
              <w:jc w:val="left"/>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 156.611-157.802</w:t>
            </w:r>
          </w:p>
        </w:tc>
      </w:tr>
      <w:tr>
        <w:tblPrEx>
          <w:tblLayout w:type="fixed"/>
          <w:tblCellMar>
            <w:top w:w="0" w:type="dxa"/>
            <w:left w:w="108" w:type="dxa"/>
            <w:bottom w:w="0" w:type="dxa"/>
            <w:right w:w="108" w:type="dxa"/>
          </w:tblCellMar>
        </w:tblPrEx>
        <w:trPr>
          <w:trHeight w:val="675" w:hRule="atLeast"/>
        </w:trPr>
        <w:tc>
          <w:tcPr>
            <w:tcW w:w="184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阿姆斯特丹、鹿特丹、安特卫普到岸价</w:t>
            </w:r>
          </w:p>
        </w:tc>
        <w:tc>
          <w:tcPr>
            <w:tcW w:w="216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619.75</w:t>
            </w:r>
          </w:p>
        </w:tc>
        <w:tc>
          <w:tcPr>
            <w:tcW w:w="1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619.75</w:t>
            </w:r>
          </w:p>
        </w:tc>
        <w:tc>
          <w:tcPr>
            <w:tcW w:w="200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11.75</w:t>
            </w:r>
          </w:p>
        </w:tc>
        <w:tc>
          <w:tcPr>
            <w:tcW w:w="231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165.709-165.842</w:t>
            </w:r>
          </w:p>
        </w:tc>
      </w:tr>
      <w:tr>
        <w:tblPrEx>
          <w:tblLayout w:type="fixed"/>
          <w:tblCellMar>
            <w:top w:w="0" w:type="dxa"/>
            <w:left w:w="108" w:type="dxa"/>
            <w:bottom w:w="0" w:type="dxa"/>
            <w:right w:w="108" w:type="dxa"/>
          </w:tblCellMar>
        </w:tblPrEx>
        <w:trPr>
          <w:trHeight w:val="285" w:hRule="atLeast"/>
        </w:trPr>
        <w:tc>
          <w:tcPr>
            <w:tcW w:w="184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鹿特丹船货价</w:t>
            </w:r>
          </w:p>
        </w:tc>
        <w:tc>
          <w:tcPr>
            <w:tcW w:w="216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619.75</w:t>
            </w:r>
          </w:p>
        </w:tc>
        <w:tc>
          <w:tcPr>
            <w:tcW w:w="1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616.25</w:t>
            </w:r>
          </w:p>
        </w:tc>
        <w:tc>
          <w:tcPr>
            <w:tcW w:w="200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11.75</w:t>
            </w:r>
          </w:p>
        </w:tc>
        <w:tc>
          <w:tcPr>
            <w:tcW w:w="231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164.639-164.773</w:t>
            </w:r>
          </w:p>
        </w:tc>
      </w:tr>
      <w:tr>
        <w:tblPrEx>
          <w:tblLayout w:type="fixed"/>
          <w:tblCellMar>
            <w:top w:w="0" w:type="dxa"/>
            <w:left w:w="108" w:type="dxa"/>
            <w:bottom w:w="0" w:type="dxa"/>
            <w:right w:w="108" w:type="dxa"/>
          </w:tblCellMar>
        </w:tblPrEx>
        <w:trPr>
          <w:trHeight w:val="285" w:hRule="atLeast"/>
        </w:trPr>
        <w:tc>
          <w:tcPr>
            <w:tcW w:w="184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地中海离岸价</w:t>
            </w:r>
          </w:p>
        </w:tc>
        <w:tc>
          <w:tcPr>
            <w:tcW w:w="216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602.5</w:t>
            </w:r>
          </w:p>
        </w:tc>
        <w:tc>
          <w:tcPr>
            <w:tcW w:w="1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602.5</w:t>
            </w:r>
          </w:p>
        </w:tc>
        <w:tc>
          <w:tcPr>
            <w:tcW w:w="200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11.75</w:t>
            </w:r>
          </w:p>
        </w:tc>
        <w:tc>
          <w:tcPr>
            <w:tcW w:w="231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161.096-161.230</w:t>
            </w:r>
          </w:p>
        </w:tc>
      </w:tr>
      <w:tr>
        <w:tblPrEx>
          <w:tblLayout w:type="fixed"/>
          <w:tblCellMar>
            <w:top w:w="0" w:type="dxa"/>
            <w:left w:w="108" w:type="dxa"/>
            <w:bottom w:w="0" w:type="dxa"/>
            <w:right w:w="108" w:type="dxa"/>
          </w:tblCellMar>
        </w:tblPrEx>
        <w:trPr>
          <w:trHeight w:val="285" w:hRule="atLeast"/>
        </w:trPr>
        <w:tc>
          <w:tcPr>
            <w:tcW w:w="184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热那亚到岸价</w:t>
            </w:r>
          </w:p>
        </w:tc>
        <w:tc>
          <w:tcPr>
            <w:tcW w:w="216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612.5</w:t>
            </w:r>
          </w:p>
        </w:tc>
        <w:tc>
          <w:tcPr>
            <w:tcW w:w="1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612.5</w:t>
            </w:r>
          </w:p>
        </w:tc>
        <w:tc>
          <w:tcPr>
            <w:tcW w:w="200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11.75</w:t>
            </w:r>
          </w:p>
        </w:tc>
        <w:tc>
          <w:tcPr>
            <w:tcW w:w="231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163.770-163.904</w:t>
            </w:r>
          </w:p>
        </w:tc>
      </w:tr>
      <w:tr>
        <w:tblPrEx>
          <w:tblLayout w:type="fixed"/>
          <w:tblCellMar>
            <w:top w:w="0" w:type="dxa"/>
            <w:left w:w="108" w:type="dxa"/>
            <w:bottom w:w="0" w:type="dxa"/>
            <w:right w:w="108" w:type="dxa"/>
          </w:tblCellMar>
        </w:tblPrEx>
        <w:trPr>
          <w:trHeight w:val="285" w:hRule="atLeast"/>
        </w:trPr>
        <w:tc>
          <w:tcPr>
            <w:tcW w:w="184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美国墨西哥湾</w:t>
            </w:r>
          </w:p>
        </w:tc>
        <w:tc>
          <w:tcPr>
            <w:tcW w:w="216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608.95</w:t>
            </w:r>
          </w:p>
        </w:tc>
        <w:tc>
          <w:tcPr>
            <w:tcW w:w="1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608.95</w:t>
            </w:r>
          </w:p>
        </w:tc>
        <w:tc>
          <w:tcPr>
            <w:tcW w:w="200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5.81</w:t>
            </w:r>
            <w:r>
              <w:rPr>
                <w:rFonts w:hint="eastAsia" w:ascii="华文仿宋" w:hAnsi="华文仿宋" w:eastAsia="华文仿宋" w:cs="华文仿宋"/>
                <w:color w:val="000000"/>
                <w:kern w:val="0"/>
                <w:sz w:val="28"/>
                <w:szCs w:val="28"/>
                <w:bdr w:val="none" w:color="auto" w:sz="0" w:space="0"/>
                <w:shd w:val="clear" w:fill="FFFFFF"/>
                <w:lang w:val="en-US" w:eastAsia="zh-CN" w:bidi="ar"/>
              </w:rPr>
              <w:t>美分/加仑</w:t>
            </w:r>
          </w:p>
        </w:tc>
        <w:tc>
          <w:tcPr>
            <w:tcW w:w="231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173.940-174.040</w:t>
            </w:r>
          </w:p>
        </w:tc>
      </w:tr>
      <w:tr>
        <w:tblPrEx>
          <w:tblLayout w:type="fixed"/>
          <w:tblCellMar>
            <w:top w:w="0" w:type="dxa"/>
            <w:left w:w="108" w:type="dxa"/>
            <w:bottom w:w="0" w:type="dxa"/>
            <w:right w:w="108" w:type="dxa"/>
          </w:tblCellMar>
        </w:tblPrEx>
        <w:trPr>
          <w:trHeight w:val="285" w:hRule="atLeast"/>
        </w:trPr>
        <w:tc>
          <w:tcPr>
            <w:tcW w:w="1842"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加勒比海</w:t>
            </w:r>
          </w:p>
        </w:tc>
        <w:tc>
          <w:tcPr>
            <w:tcW w:w="216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w:t>
            </w:r>
          </w:p>
        </w:tc>
        <w:tc>
          <w:tcPr>
            <w:tcW w:w="1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w:t>
            </w:r>
          </w:p>
        </w:tc>
        <w:tc>
          <w:tcPr>
            <w:tcW w:w="2006"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w:t>
            </w:r>
          </w:p>
        </w:tc>
        <w:tc>
          <w:tcPr>
            <w:tcW w:w="2315"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widowControl/>
              <w:suppressLineNumbers w:val="0"/>
              <w:spacing w:before="0" w:beforeAutospacing="0" w:after="0" w:afterAutospacing="0" w:line="360" w:lineRule="atLeast"/>
              <w:ind w:left="0" w:right="0"/>
              <w:jc w:val="center"/>
              <w:rPr>
                <w:rFonts w:hint="eastAsia" w:ascii="华文仿宋" w:hAnsi="华文仿宋" w:eastAsia="华文仿宋" w:cs="华文仿宋"/>
                <w:color w:val="000000"/>
                <w:kern w:val="0"/>
                <w:sz w:val="28"/>
                <w:szCs w:val="28"/>
                <w:bdr w:val="none" w:color="auto" w:sz="0" w:space="0"/>
                <w:lang w:val="en-US"/>
              </w:rPr>
            </w:pPr>
            <w:r>
              <w:rPr>
                <w:rFonts w:hint="eastAsia" w:ascii="华文仿宋" w:hAnsi="华文仿宋" w:eastAsia="华文仿宋" w:cs="华文仿宋"/>
                <w:color w:val="000000"/>
                <w:kern w:val="0"/>
                <w:sz w:val="28"/>
                <w:szCs w:val="28"/>
                <w:bdr w:val="none" w:color="auto" w:sz="0" w:space="0"/>
                <w:lang w:val="en-US" w:eastAsia="zh-CN" w:bidi="ar"/>
              </w:rPr>
              <w:t>-</w:t>
            </w:r>
          </w:p>
        </w:tc>
      </w:tr>
    </w:tbl>
    <w:p>
      <w:pPr>
        <w:pStyle w:val="3"/>
        <w:spacing w:line="240" w:lineRule="auto"/>
        <w:rPr>
          <w:rFonts w:ascii="华文仿宋" w:hAnsi="华文仿宋" w:eastAsia="华文仿宋" w:cs="宋体"/>
          <w:b w:val="0"/>
          <w:bCs w:val="0"/>
          <w:kern w:val="0"/>
          <w:szCs w:val="28"/>
        </w:rPr>
      </w:pPr>
    </w:p>
    <w:p>
      <w:pPr>
        <w:pStyle w:val="3"/>
        <w:spacing w:line="240" w:lineRule="auto"/>
        <w:rPr>
          <w:rFonts w:hint="eastAsia" w:cs="Times New Roman" w:asciiTheme="minorEastAsia" w:hAnsiTheme="minorEastAsia" w:eastAsiaTheme="minorEastAsia"/>
          <w:b/>
          <w:bCs w:val="0"/>
          <w:kern w:val="2"/>
          <w:sz w:val="28"/>
          <w:szCs w:val="28"/>
          <w:lang w:val="en-US" w:eastAsia="zh-CN" w:bidi="ar-SA"/>
        </w:rPr>
      </w:pPr>
      <w:r>
        <w:rPr>
          <w:rFonts w:hint="eastAsia" w:cs="Times New Roman" w:asciiTheme="minorEastAsia" w:hAnsiTheme="minorEastAsia" w:eastAsiaTheme="minorEastAsia"/>
          <w:b/>
          <w:bCs w:val="0"/>
          <w:kern w:val="2"/>
          <w:sz w:val="28"/>
          <w:szCs w:val="28"/>
          <w:lang w:val="en-US" w:eastAsia="zh-CN" w:bidi="ar-SA"/>
        </w:rPr>
        <w:t>2.2地炼石脑油市场</w:t>
      </w:r>
      <w:bookmarkEnd w:id="13"/>
      <w:bookmarkEnd w:id="14"/>
      <w:bookmarkEnd w:id="23"/>
      <w:bookmarkEnd w:id="24"/>
      <w:bookmarkEnd w:id="25"/>
      <w:bookmarkEnd w:id="26"/>
      <w:bookmarkEnd w:id="27"/>
      <w:r>
        <w:rPr>
          <w:rFonts w:hint="eastAsia" w:cs="Times New Roman" w:asciiTheme="minorEastAsia" w:hAnsiTheme="minorEastAsia" w:eastAsiaTheme="minorEastAsia"/>
          <w:b/>
          <w:bCs w:val="0"/>
          <w:kern w:val="2"/>
          <w:sz w:val="28"/>
          <w:szCs w:val="28"/>
          <w:lang w:val="en-US" w:eastAsia="zh-CN" w:bidi="ar-SA"/>
        </w:rPr>
        <w:t xml:space="preserve"> </w:t>
      </w:r>
    </w:p>
    <w:p>
      <w:pPr>
        <w:pStyle w:val="19"/>
        <w:keepNext w:val="0"/>
        <w:keepLines w:val="0"/>
        <w:widowControl/>
        <w:suppressLineNumbers w:val="0"/>
        <w:rPr>
          <w:rFonts w:hint="eastAsia" w:ascii="华文仿宋" w:hAnsi="华文仿宋" w:eastAsia="华文仿宋"/>
          <w:sz w:val="28"/>
          <w:szCs w:val="28"/>
        </w:rPr>
      </w:pPr>
      <w:r>
        <w:rPr>
          <w:sz w:val="21"/>
          <w:szCs w:val="21"/>
        </w:rPr>
        <w:t>　</w:t>
      </w:r>
      <w:r>
        <w:rPr>
          <w:rFonts w:hint="eastAsia"/>
          <w:sz w:val="21"/>
          <w:szCs w:val="21"/>
          <w:lang w:val="en-US" w:eastAsia="zh-CN"/>
        </w:rPr>
        <w:t xml:space="preserve"> </w:t>
      </w:r>
      <w:r>
        <w:rPr>
          <w:rFonts w:hint="eastAsia" w:ascii="华文仿宋" w:hAnsi="华文仿宋" w:eastAsia="华文仿宋" w:cs="华文仿宋"/>
          <w:sz w:val="28"/>
          <w:szCs w:val="28"/>
        </w:rPr>
        <w:t>　本周国内地炼石脑油市场整体盘稳，场内交投积极性仍然较强。国际原油走势震荡，石脑油市场油价多守稳为主，山东方面涨跌互现，幅度在50元/吨左右。因沙特官员表态期望看到油价继续走高，投资者对延长减产协议的预期继续升温，盘中油价持续上涨、触及逾三年半高位，不过美元反弹限制着油价的上行空间，国际油价冲高后回落。市场交投依旧火热，目前国际原油走势偏向利好，市场推涨心态较强，石脑油价格已处高位，炼厂方面稳价出货意愿强，加之需求方面并不是十分良好，预计后期石脑油价格回稳可能较大，伴随个别窄幅调整出现。</w:t>
      </w:r>
    </w:p>
    <w:p/>
    <w:p>
      <w:pPr>
        <w:outlineLvl w:val="1"/>
        <w:rPr>
          <w:rFonts w:asciiTheme="minorEastAsia" w:hAnsiTheme="minorEastAsia" w:eastAsiaTheme="minorEastAsia"/>
          <w:b/>
          <w:sz w:val="28"/>
          <w:szCs w:val="28"/>
        </w:rPr>
      </w:pPr>
      <w:bookmarkStart w:id="28" w:name="_Toc505350010"/>
      <w:bookmarkStart w:id="29" w:name="_Toc460250406"/>
      <w:bookmarkStart w:id="30" w:name="_Toc296600813"/>
      <w:bookmarkStart w:id="31" w:name="_Toc281568203"/>
      <w:r>
        <w:rPr>
          <w:rFonts w:hint="eastAsia" w:asciiTheme="minorEastAsia" w:hAnsiTheme="minorEastAsia" w:eastAsiaTheme="minorEastAsia"/>
          <w:b/>
          <w:sz w:val="28"/>
          <w:szCs w:val="28"/>
        </w:rPr>
        <w:t>2.3本周国内石脑油价格汇总</w:t>
      </w:r>
      <w:bookmarkEnd w:id="28"/>
      <w:bookmarkEnd w:id="29"/>
      <w:bookmarkEnd w:id="30"/>
      <w:bookmarkEnd w:id="31"/>
      <w:r>
        <w:rPr>
          <w:rFonts w:hint="eastAsia" w:asciiTheme="minorEastAsia" w:hAnsiTheme="minorEastAsia" w:eastAsiaTheme="minorEastAsia"/>
          <w:b/>
          <w:sz w:val="28"/>
          <w:szCs w:val="28"/>
        </w:rPr>
        <w:t xml:space="preserve"> </w:t>
      </w:r>
    </w:p>
    <w:p>
      <w:pPr>
        <w:rPr>
          <w:rFonts w:ascii="宋体" w:hAnsi="宋体" w:cs="Arial"/>
          <w:kern w:val="0"/>
          <w:sz w:val="20"/>
          <w:szCs w:val="20"/>
        </w:rPr>
      </w:pPr>
    </w:p>
    <w:p>
      <w:pPr>
        <w:tabs>
          <w:tab w:val="left" w:pos="810"/>
          <w:tab w:val="center" w:pos="4851"/>
        </w:tabs>
        <w:autoSpaceDE w:val="0"/>
        <w:autoSpaceDN w:val="0"/>
        <w:adjustRightInd w:val="0"/>
        <w:rPr>
          <w:rFonts w:ascii="黑体" w:hAnsi="宋体" w:eastAsia="黑体" w:cs="Arial"/>
          <w:kern w:val="0"/>
          <w:sz w:val="24"/>
          <w:szCs w:val="24"/>
        </w:rPr>
      </w:pPr>
      <w:r>
        <w:rPr>
          <w:rFonts w:hint="eastAsia" w:ascii="黑体" w:hAnsi="宋体" w:eastAsia="黑体" w:cs="Arial"/>
          <w:kern w:val="0"/>
          <w:sz w:val="24"/>
          <w:szCs w:val="24"/>
        </w:rPr>
        <w:t>山东地炼石脑油价格汇总</w:t>
      </w:r>
    </w:p>
    <w:p>
      <w:pPr>
        <w:tabs>
          <w:tab w:val="left" w:pos="810"/>
          <w:tab w:val="center" w:pos="4851"/>
        </w:tabs>
        <w:autoSpaceDE w:val="0"/>
        <w:autoSpaceDN w:val="0"/>
        <w:adjustRightInd w:val="0"/>
        <w:ind w:firstLine="520" w:firstLineChars="260"/>
        <w:jc w:val="center"/>
        <w:rPr>
          <w:rFonts w:ascii="宋体" w:hAnsi="宋体" w:cs="Arial"/>
          <w:kern w:val="0"/>
          <w:sz w:val="20"/>
          <w:szCs w:val="20"/>
        </w:rPr>
      </w:pPr>
    </w:p>
    <w:p>
      <w:pPr>
        <w:rPr>
          <w:rFonts w:ascii="宋体" w:hAnsi="宋体" w:cs="Arial"/>
          <w:kern w:val="0"/>
          <w:sz w:val="20"/>
          <w:szCs w:val="20"/>
        </w:rPr>
      </w:pPr>
      <w:r>
        <w:rPr>
          <w:rFonts w:hint="eastAsia" w:ascii="宋体" w:hAnsi="宋体" w:cs="Arial"/>
          <w:kern w:val="0"/>
          <w:sz w:val="20"/>
          <w:szCs w:val="20"/>
        </w:rPr>
        <w:t xml:space="preserve"> 单位：元/吨</w:t>
      </w: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69"/>
        <w:gridCol w:w="1370"/>
        <w:gridCol w:w="1369"/>
        <w:gridCol w:w="1370"/>
        <w:gridCol w:w="1369"/>
        <w:gridCol w:w="1560"/>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56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2018-4-20</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恒源石化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4650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中海石化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弘润石化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华星石化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海科石化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广饶石化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5020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鑫泰石化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利津石化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安邦石化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日照源丰</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富海石化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4860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4860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京博石化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6204</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昌邑石化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6130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垦利石化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寿光石化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神驰石化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-5950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汇丰石化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5730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宝塔石化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滨化石化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高青宏远石化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河口实业</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rPr>
          <w:rFonts w:hint="eastAsia" w:ascii="宋体" w:hAnsi="宋体" w:cs="Arial"/>
          <w:kern w:val="0"/>
          <w:sz w:val="20"/>
          <w:szCs w:val="20"/>
        </w:rPr>
      </w:pPr>
    </w:p>
    <w:p>
      <w:pPr>
        <w:pStyle w:val="3"/>
        <w:spacing w:line="240" w:lineRule="auto"/>
        <w:jc w:val="left"/>
        <w:rPr>
          <w:rFonts w:ascii="宋体" w:hAnsi="宋体"/>
          <w:b w:val="0"/>
          <w:szCs w:val="28"/>
        </w:rPr>
      </w:pPr>
      <w:bookmarkStart w:id="32" w:name="_Toc460250407"/>
      <w:bookmarkStart w:id="33" w:name="_Toc296600814"/>
      <w:bookmarkStart w:id="34" w:name="_Toc281568204"/>
      <w:bookmarkStart w:id="35" w:name="_Toc158203132"/>
      <w:bookmarkStart w:id="36" w:name="_Toc239847719"/>
    </w:p>
    <w:p>
      <w:pPr>
        <w:pStyle w:val="3"/>
        <w:spacing w:line="240" w:lineRule="auto"/>
        <w:jc w:val="left"/>
        <w:rPr>
          <w:rFonts w:asciiTheme="minorEastAsia" w:hAnsiTheme="minorEastAsia" w:eastAsiaTheme="minorEastAsia"/>
        </w:rPr>
      </w:pPr>
      <w:bookmarkStart w:id="37" w:name="_Toc505350011"/>
      <w:r>
        <w:rPr>
          <w:rFonts w:hint="eastAsia" w:asciiTheme="minorEastAsia" w:hAnsiTheme="minorEastAsia" w:eastAsiaTheme="minorEastAsia"/>
          <w:szCs w:val="28"/>
        </w:rPr>
        <w:t>2.</w:t>
      </w:r>
      <w:r>
        <w:rPr>
          <w:rFonts w:hint="eastAsia" w:asciiTheme="minorEastAsia" w:hAnsiTheme="minorEastAsia" w:eastAsiaTheme="minorEastAsia"/>
          <w:bCs w:val="0"/>
          <w:szCs w:val="28"/>
        </w:rPr>
        <w:t xml:space="preserve"> </w:t>
      </w:r>
      <w:r>
        <w:rPr>
          <w:rFonts w:hint="eastAsia" w:asciiTheme="minorEastAsia" w:hAnsiTheme="minorEastAsia" w:eastAsiaTheme="minorEastAsia"/>
          <w:szCs w:val="28"/>
        </w:rPr>
        <w:t>4山东地炼石脑油价格走势图</w:t>
      </w:r>
      <w:bookmarkEnd w:id="32"/>
      <w:bookmarkEnd w:id="33"/>
      <w:bookmarkEnd w:id="34"/>
      <w:bookmarkEnd w:id="37"/>
    </w:p>
    <w:p>
      <w:pPr>
        <w:widowControl/>
        <w:jc w:val="left"/>
        <w:rPr>
          <w:rFonts w:ascii="宋体" w:hAnsi="宋体" w:cs="宋体"/>
          <w:kern w:val="0"/>
          <w:sz w:val="24"/>
          <w:szCs w:val="24"/>
        </w:rPr>
      </w:pPr>
    </w:p>
    <w:p>
      <w:pPr>
        <w:rPr>
          <w:sz w:val="20"/>
          <w:szCs w:val="20"/>
        </w:rPr>
      </w:pPr>
      <w:r>
        <w:drawing>
          <wp:inline distT="0" distB="0" distL="114300" distR="114300">
            <wp:extent cx="5800725" cy="5928360"/>
            <wp:effectExtent l="0" t="0" r="9525" b="15240"/>
            <wp:docPr id="624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sz w:val="20"/>
          <w:szCs w:val="20"/>
        </w:rPr>
      </w:pPr>
    </w:p>
    <w:bookmarkEnd w:id="35"/>
    <w:bookmarkEnd w:id="36"/>
    <w:p>
      <w:pPr>
        <w:outlineLvl w:val="0"/>
        <w:rPr>
          <w:rFonts w:ascii="黑体" w:eastAsia="黑体"/>
          <w:b/>
          <w:sz w:val="28"/>
          <w:szCs w:val="28"/>
        </w:rPr>
      </w:pPr>
      <w:bookmarkStart w:id="38" w:name="_Toc460250408"/>
      <w:bookmarkStart w:id="39" w:name="_Toc296600816"/>
      <w:bookmarkStart w:id="40" w:name="_Toc505350012"/>
      <w:bookmarkStart w:id="41" w:name="_Toc281568206"/>
      <w:bookmarkStart w:id="42" w:name="_Toc237428455"/>
      <w:r>
        <w:rPr>
          <w:rFonts w:hint="eastAsia" w:ascii="黑体" w:eastAsia="黑体"/>
          <w:b/>
          <w:sz w:val="28"/>
          <w:szCs w:val="28"/>
        </w:rPr>
        <w:t>三、本周国内油品市场分析及预测</w:t>
      </w:r>
      <w:bookmarkEnd w:id="38"/>
      <w:bookmarkEnd w:id="39"/>
      <w:bookmarkEnd w:id="40"/>
      <w:bookmarkEnd w:id="41"/>
      <w:bookmarkEnd w:id="42"/>
      <w:bookmarkStart w:id="43" w:name="_Toc296600817"/>
      <w:bookmarkStart w:id="44" w:name="_Toc281568207"/>
      <w:bookmarkStart w:id="45" w:name="_Toc460250409"/>
      <w:bookmarkStart w:id="46" w:name="_Toc176571903"/>
      <w:bookmarkStart w:id="47" w:name="_Toc237428456"/>
    </w:p>
    <w:p>
      <w:pPr>
        <w:pStyle w:val="2"/>
        <w:spacing w:line="360" w:lineRule="auto"/>
        <w:rPr>
          <w:rFonts w:hint="eastAsia" w:ascii="黑体" w:hAnsi="黑体"/>
          <w:b w:val="0"/>
          <w:kern w:val="2"/>
          <w:sz w:val="28"/>
          <w:szCs w:val="28"/>
        </w:rPr>
      </w:pPr>
      <w:bookmarkStart w:id="48" w:name="_Toc505350013"/>
      <w:r>
        <w:rPr>
          <w:rFonts w:hint="eastAsia" w:ascii="黑体" w:hAnsi="黑体"/>
          <w:b w:val="0"/>
          <w:kern w:val="2"/>
          <w:sz w:val="28"/>
          <w:szCs w:val="28"/>
        </w:rPr>
        <w:t>3．1  成品油市场动态</w:t>
      </w:r>
      <w:bookmarkEnd w:id="43"/>
      <w:bookmarkEnd w:id="44"/>
      <w:bookmarkEnd w:id="45"/>
      <w:bookmarkEnd w:id="48"/>
    </w:p>
    <w:p>
      <w:pPr>
        <w:pStyle w:val="19"/>
        <w:keepNext w:val="0"/>
        <w:keepLines w:val="0"/>
        <w:widowControl/>
        <w:suppressLineNumbers w:val="0"/>
        <w:rPr>
          <w:rFonts w:hint="eastAsia" w:ascii="华文仿宋" w:hAnsi="华文仿宋" w:eastAsia="华文仿宋" w:cs="华文仿宋"/>
          <w:sz w:val="28"/>
          <w:szCs w:val="28"/>
          <w:lang w:val="en-US" w:eastAsia="zh-CN"/>
        </w:rPr>
      </w:pPr>
      <w:r>
        <w:rPr>
          <w:sz w:val="21"/>
          <w:szCs w:val="21"/>
        </w:rPr>
        <w:t>　</w:t>
      </w:r>
      <w:r>
        <w:rPr>
          <w:rFonts w:hint="eastAsia"/>
          <w:sz w:val="21"/>
          <w:szCs w:val="21"/>
          <w:lang w:val="en-US" w:eastAsia="zh-CN"/>
        </w:rPr>
        <w:t>　</w:t>
      </w:r>
      <w:r>
        <w:rPr>
          <w:rFonts w:hint="eastAsia" w:ascii="华文仿宋" w:hAnsi="华文仿宋" w:eastAsia="华文仿宋" w:cs="华文仿宋"/>
          <w:sz w:val="28"/>
          <w:szCs w:val="28"/>
          <w:lang w:val="en-US" w:eastAsia="zh-CN"/>
        </w:rPr>
        <w:t>本周，国际原油期价震荡走高，受此影响，国内成品油市场购销氛围清淡，各地主营单位汽柴油销售执行优惠政策。与此同时，山东地区汽柴油行情先抑后扬，各炼厂实际成交保持100元/吨优惠。具体来看出货方面：周初，受需求不足影响，买卖双方操作谨慎，区内油市观望气氛浓厚。临近周末，外盘油价大涨提振业者心态，下游买家入市采购积极性提升，市场交投气氛好转。后市前瞻：进入下周，国际原油期货将继续保持高位震荡的格局，在消息面利好提振下，山东地区成品油行情有望延续上涨态势，买卖双方操作积极，市场交投气氛温和。综上所述，预计下周山东地炼汽柴油价格稳中上涨。</w:t>
      </w:r>
    </w:p>
    <w:p>
      <w:pPr>
        <w:pStyle w:val="19"/>
        <w:keepNext w:val="0"/>
        <w:keepLines w:val="0"/>
        <w:widowControl/>
        <w:suppressLineNumbers w:val="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华北地区成品油行情先稳后涨，整体成交气氛平淡。具体来看，周内国际原油期价呈现先抑后扬走势，消息面指引由弱转强。受此影响，周初业者多消化前期库存为主，入市采购意愿低迷，区内成品油行情弱势整理，个别区域为促成交降价或放宽优惠。之后随着原油反弹，主营纷纷推高成品油价格，涨幅集中在50元/吨左右，业者谨慎情绪有所缓和，部分适度入市补货，交投气氛较周初小幅升温。后市来看，国际原油或维持偏强震荡，下周四零售价将兑现宽幅上调，消息面仍存支撑，加之五一小长假临近，市场存在补货需求，故预计下周华北地区成品油行情有望续涨。</w:t>
      </w:r>
    </w:p>
    <w:p>
      <w:pPr>
        <w:pStyle w:val="19"/>
        <w:keepNext w:val="0"/>
        <w:keepLines w:val="0"/>
        <w:widowControl/>
        <w:suppressLineNumbers w:val="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华南地区成品油行情继续上行，市场交投气氛不甚理想。具体来看，国际原油期货震荡走高，变化率正向区间运行，本轮零售价上调预期不减，消息方面提振犹存。其中，前半周原油期货一度止涨回落，区内主营单位价格柴涨汽跌，市场观望气氛浓郁。周末附近，原油期货再度大涨，消息方面利好加深，主营单位趁机推涨汽柴油价格，然而业者心态较为谨慎，入市操作意向淡薄，市场交投气氛依然偏淡。后市来看，国际原油期货高位震荡为主，零售价将兑现上调，消息方面仍有支撑。受此影响，预计下周华南地区汽柴油行情仍不乏走高可能，部分业者或有少量补货，市场交投气氛提升有限。</w:t>
      </w:r>
    </w:p>
    <w:p>
      <w:pPr>
        <w:pStyle w:val="19"/>
        <w:keepNext w:val="0"/>
        <w:keepLines w:val="0"/>
        <w:widowControl/>
        <w:suppressLineNumbers w:val="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华中地区成品油行情稳中有涨，市场交投渐有好转。具体来看，周初，国际原油弱势震荡为主，变化率正向宽幅运行，消息面指引有限，且受上周消息面利好影响，业者多已补货到位，基本处于消库阶段，市场交投气氛一度低迷，主营成品油守稳为主，出货维持宽松优惠。随着原油大涨，变化率正向拉宽运行，本轮零售价兑现上调预期强烈，部分主营借机大幅推涨汽柴价格或取消优惠政策，业者入市心态有所改善，适量择低购进，市场成交气氛略有好转。后市来看，国际原油或维持高位震荡，下周零售价或将兑现上调且涨幅较大，消息面仍存向好指引，但进入月下旬，部分主营销售压力有所增加，股销售政策相对灵活。故华中地区主营成品油价格有望延续涨势，实际出货维持较大商谈空间。</w:t>
      </w:r>
    </w:p>
    <w:p>
      <w:pPr>
        <w:pStyle w:val="19"/>
        <w:keepNext w:val="0"/>
        <w:keepLines w:val="0"/>
        <w:widowControl/>
        <w:suppressLineNumbers w:val="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华东地区成品油行情震荡走高，市场交投气氛一般。具体来看，国际油价周内震荡走高，变化率正向发展，零售价上调预期强烈，对市场有所支撑。不过，由于下游用户本周消化库存为主，入市采购有限，区内主营出货量清淡，多地汽柴价格稳中下滑，成交优惠有所加大。临近周末，国际油价大涨提振，区内主营汽柴价格顺势上涨，下游用户心态较为抵触，部分单位暗中仍低价出货，部分业者逢低采购，市场交投行情有所好转，但整体来看购销氛围仍显一般。后市而言，国际油价或仍维持高位区间震荡，消息面对市场支撑尚存。不过下游将再度退市消库，部分主营销售压力难有缓解，后期汽柴行情上涨将再度受阻。</w:t>
      </w:r>
    </w:p>
    <w:p>
      <w:pPr>
        <w:pStyle w:val="19"/>
        <w:keepNext w:val="0"/>
        <w:keepLines w:val="0"/>
        <w:widowControl/>
        <w:suppressLineNumbers w:val="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西南地区汽柴行情有所走高，市场成交气氛平平。分析来看：上周四成品油零售价擦边上调，进入新一轮计价周期，变化率转为正向较大幅度运行，区内主营单位多有推涨。进入本周，国际油价维持震荡上行，变化率正向区间延伸，上调预期表现强烈，消息面对市场仍有支撑，部分地区主营单位价格仍继续推涨。汽柴价格涨至高位，且社会库存消耗缓慢，业者操作意向持低，大单采购稀少，市场成交气氛清淡。部分单位销售压力增加，成交优惠有所放松。进入下周，国际原油仍将维持高位运行，本轮零售价上调仍为大概率事件，消息面仍有支撑，预计西南地区汽柴行情仍有上行空间。但业者操作心态谨慎，消库之余按需适量补货为主，市场成交难有明显提升。</w:t>
      </w:r>
    </w:p>
    <w:p>
      <w:pPr>
        <w:pStyle w:val="19"/>
        <w:keepNext w:val="0"/>
        <w:keepLines w:val="0"/>
        <w:widowControl/>
        <w:suppressLineNumbers w:val="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西北地炼汽油行情跌后趋稳，柴油行情有所走高。分析来看：上周四成品油零售价小幅上调，区内柴油价格有所上涨，但汽油价格小幅松动。新一轮变化率正向宽幅拉伸，上调预期指向清晰。不过，本周初期国际原油跌后震荡，消息面对市场影响减弱。加之，业者前期备货充足，周内多消耗库存为主，入市操作稀少，市场成交气氛寡淡。后期，国际油价大幅走高，上调预期增强，消息面对市场支撑力度加大。另外，柴油基本面乐观，价格再度小幅推涨。而汽油市场缺乏明显利好支撑，价格保持稳定。后市而言，国际原油期价高位震荡，上调预期对市场仍有支撑，预计下周西北地炼汽柴行情将维持坚挺。业者按需适量补货为主，市场成交难见活跃。</w:t>
      </w:r>
    </w:p>
    <w:p>
      <w:pPr>
        <w:pStyle w:val="19"/>
        <w:keepNext w:val="0"/>
        <w:keepLines w:val="0"/>
        <w:widowControl/>
        <w:suppressLineNumbers w:val="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进入下周，国际原油或延续高位震荡走势，变化率维持正向宽幅运行，下周四零售价兑现上调的预期强烈，消息面向好指引明显。不过目前市场库存仍处于高位，下游消耗有限，且进入月下旬部分主营销售压力有所增加，故销售政策或较为灵活。综合来看，消息面与需求面双重利好提振下，预计下周国内成品油行情或维持涨势，部分主营出货保持宽松优惠。</w:t>
      </w:r>
    </w:p>
    <w:p>
      <w:pPr>
        <w:pStyle w:val="19"/>
        <w:keepNext w:val="0"/>
        <w:keepLines w:val="0"/>
        <w:widowControl/>
        <w:suppressLineNumbers w:val="0"/>
        <w:ind w:firstLine="560" w:firstLineChars="200"/>
        <w:rPr>
          <w:rFonts w:hint="eastAsia" w:ascii="华文仿宋" w:hAnsi="华文仿宋" w:eastAsia="华文仿宋" w:cs="华文仿宋"/>
          <w:kern w:val="0"/>
          <w:sz w:val="28"/>
          <w:szCs w:val="28"/>
          <w:lang w:val="en-US" w:eastAsia="zh-CN" w:bidi="ar-SA"/>
        </w:rPr>
      </w:pPr>
    </w:p>
    <w:p>
      <w:pPr>
        <w:pStyle w:val="19"/>
        <w:keepNext w:val="0"/>
        <w:keepLines w:val="0"/>
        <w:widowControl/>
        <w:suppressLineNumbers w:val="0"/>
        <w:ind w:firstLine="560" w:firstLineChars="200"/>
        <w:rPr>
          <w:rFonts w:hint="eastAsia" w:ascii="华文仿宋" w:hAnsi="华文仿宋" w:eastAsia="华文仿宋" w:cs="华文仿宋"/>
          <w:kern w:val="0"/>
          <w:sz w:val="28"/>
          <w:szCs w:val="28"/>
          <w:lang w:val="en-US" w:eastAsia="zh-CN" w:bidi="ar-SA"/>
        </w:rPr>
      </w:pPr>
    </w:p>
    <w:bookmarkEnd w:id="46"/>
    <w:bookmarkEnd w:id="47"/>
    <w:p>
      <w:pPr>
        <w:numPr>
          <w:ilvl w:val="0"/>
          <w:numId w:val="0"/>
        </w:numPr>
        <w:outlineLvl w:val="0"/>
        <w:rPr>
          <w:rFonts w:ascii="黑体"/>
          <w:b/>
          <w:bCs/>
          <w:sz w:val="28"/>
          <w:szCs w:val="28"/>
        </w:rPr>
      </w:pPr>
      <w:bookmarkStart w:id="49" w:name="_Toc505350014"/>
      <w:bookmarkStart w:id="50" w:name="_Toc369858747"/>
      <w:bookmarkStart w:id="51" w:name="_Toc281568208"/>
      <w:bookmarkStart w:id="52" w:name="_Toc180485827"/>
      <w:bookmarkStart w:id="53" w:name="_Toc460250410"/>
      <w:bookmarkStart w:id="54" w:name="_Toc296600818"/>
      <w:bookmarkStart w:id="55" w:name="_Toc296600819"/>
      <w:bookmarkStart w:id="56" w:name="_Toc281568211"/>
      <w:r>
        <w:rPr>
          <w:rFonts w:hint="eastAsia" w:ascii="黑体"/>
          <w:b/>
          <w:bCs/>
          <w:sz w:val="28"/>
          <w:szCs w:val="28"/>
          <w:lang w:eastAsia="zh-CN"/>
        </w:rPr>
        <w:t>四、</w:t>
      </w:r>
      <w:r>
        <w:rPr>
          <w:rFonts w:hint="eastAsia" w:ascii="黑体"/>
          <w:b/>
          <w:bCs/>
          <w:sz w:val="28"/>
          <w:szCs w:val="28"/>
        </w:rPr>
        <w:t>国内溶剂油市场综述</w:t>
      </w:r>
      <w:bookmarkEnd w:id="49"/>
    </w:p>
    <w:p>
      <w:pPr>
        <w:pStyle w:val="19"/>
        <w:keepNext w:val="0"/>
        <w:keepLines w:val="0"/>
        <w:widowControl/>
        <w:suppressLineNumbers w:val="0"/>
        <w:rPr>
          <w:rFonts w:hint="eastAsia" w:ascii="华文仿宋" w:hAnsi="华文仿宋" w:eastAsia="华文仿宋" w:cs="华文仿宋"/>
          <w:sz w:val="28"/>
          <w:szCs w:val="28"/>
        </w:rPr>
      </w:pPr>
      <w:r>
        <w:rPr>
          <w:sz w:val="21"/>
          <w:szCs w:val="21"/>
        </w:rPr>
        <w:t>　　</w:t>
      </w:r>
      <w:r>
        <w:rPr>
          <w:rFonts w:hint="eastAsia"/>
          <w:sz w:val="21"/>
          <w:szCs w:val="21"/>
          <w:lang w:val="en-US" w:eastAsia="zh-CN"/>
        </w:rPr>
        <w:t xml:space="preserve">  </w:t>
      </w:r>
      <w:bookmarkStart w:id="80" w:name="_GoBack"/>
      <w:bookmarkEnd w:id="80"/>
      <w:r>
        <w:rPr>
          <w:rFonts w:hint="eastAsia" w:ascii="华文仿宋" w:hAnsi="华文仿宋" w:eastAsia="华文仿宋" w:cs="华文仿宋"/>
          <w:sz w:val="28"/>
          <w:szCs w:val="28"/>
        </w:rPr>
        <w:t>本周溶剂油淡稳运行，市场有价无市，整体需求较弱，溶剂油市场价格平均指数维持在5518元/吨左右，成交气氛清淡。周初，溶剂油市场中稳运行，价格小幅回升，交投气氛清淡。中期，溶剂油市场淡稳调整，价格小幅下跌，华北地区和山东地区个别炼厂价格下跌，业者操作心态谨慎，大单采购有限，市场成交难有好转。临近周末，溶剂油市场淡稳运行，价格无明显变动。山东地方炼厂市场价格小幅下跌，需求难改低迷，整体成交气氛清淡。本周国际原油整体呈震荡趋势，整体为正向变动。临近周末国际油价收盘小幅上涨，虽然叙利亚局势有所缓解，但美国可能对俄罗斯增加制裁力度以及伊朗核协议的不确定性依然为油价带来支撑，加之API公布报告显示，上周美国原油及燃油库存全线下滑，美布两油获得提振收盘小幅上涨。消息面利好市场，但对溶剂油市场支撑有限难以提振，指引作用偏弱。溶剂油市场小幅走跌，观望氛围浓厚。整体而言，溶剂油市场淡稳整理，有价无市状态明显，交投气氛清淡。进入四月下旬，国际原油市场价格整体呈正区间变动趋势，虽然叙利亚局势有所缓解，但美国可能对俄罗斯增加制裁力度以及伊朗核协议的不确定性依然为油价带来支撑，加之API公布报告显示，上周美国原油及燃油库存全线下滑，美布两油获得提振收盘小幅上涨。国际原油小幅上涨，对成品油价格支撑有限，主营汽柴价格普遍稳定，华南华东地区汽柴油行情维稳，整体市场购销气氛温和，交投氛围活跃。消息面利好市场，但消息面支撑有限无法提振溶剂油价格走高，且在需求低迷难改的情况下，部分商家根据自身的库存情况多小幅适量调整自身报盘以促走量，然成交难有好转，因此场内观望氛围较为浓厚，实单成交多刚需支撑，市场整体交投气氛清淡。厂商购进操作谨慎，炼厂出货压力较大，整体购销气氛延续清淡。因此预计溶剂油市场行情持稳或将淡稳延续概率较大，市场交投气氛清淡。</w:t>
      </w:r>
    </w:p>
    <w:p>
      <w:pPr>
        <w:pStyle w:val="19"/>
        <w:keepNext w:val="0"/>
        <w:keepLines w:val="0"/>
        <w:widowControl/>
        <w:suppressLineNumbers w:val="0"/>
        <w:rPr>
          <w:rFonts w:hint="eastAsia" w:ascii="华文仿宋" w:hAnsi="华文仿宋" w:eastAsia="华文仿宋" w:cs="华文仿宋"/>
          <w:kern w:val="0"/>
          <w:sz w:val="28"/>
          <w:szCs w:val="28"/>
          <w:lang w:val="en-US" w:eastAsia="zh-CN" w:bidi="ar-SA"/>
        </w:rPr>
      </w:pPr>
    </w:p>
    <w:bookmarkEnd w:id="50"/>
    <w:bookmarkEnd w:id="51"/>
    <w:bookmarkEnd w:id="52"/>
    <w:bookmarkEnd w:id="53"/>
    <w:bookmarkEnd w:id="54"/>
    <w:p>
      <w:pPr>
        <w:pStyle w:val="2"/>
        <w:spacing w:line="360" w:lineRule="auto"/>
        <w:rPr>
          <w:rFonts w:hint="eastAsia" w:ascii="Microsoft YaHei" w:hAnsi="Microsoft YaHei" w:cs="宋体"/>
          <w:kern w:val="0"/>
          <w:sz w:val="23"/>
          <w:szCs w:val="23"/>
        </w:rPr>
      </w:pPr>
      <w:bookmarkStart w:id="57" w:name="_Toc505350015"/>
      <w:bookmarkStart w:id="58" w:name="_Toc460250411"/>
      <w:r>
        <w:rPr>
          <w:rFonts w:hint="eastAsia" w:ascii="黑体" w:hAnsi="宋体"/>
          <w:sz w:val="28"/>
          <w:szCs w:val="28"/>
        </w:rPr>
        <w:t>五、本周国内炼厂溶剂油产品价格对比</w:t>
      </w:r>
      <w:bookmarkEnd w:id="55"/>
      <w:bookmarkEnd w:id="56"/>
      <w:bookmarkEnd w:id="57"/>
      <w:bookmarkEnd w:id="58"/>
    </w:p>
    <w:p>
      <w:pPr>
        <w:rPr>
          <w:rFonts w:ascii="宋体" w:hAnsi="宋体"/>
          <w:sz w:val="20"/>
          <w:szCs w:val="20"/>
        </w:rPr>
      </w:pPr>
      <w:r>
        <w:rPr>
          <w:rFonts w:hint="eastAsia" w:ascii="宋体" w:hAnsi="宋体"/>
          <w:sz w:val="20"/>
          <w:szCs w:val="20"/>
        </w:rPr>
        <w:t>单位：元/吨</w:t>
      </w:r>
    </w:p>
    <w:tbl>
      <w:tblPr>
        <w:tblStyle w:val="25"/>
        <w:tblpPr w:leftFromText="180" w:rightFromText="180" w:vertAnchor="text" w:horzAnchor="page" w:tblpX="1057" w:tblpY="309"/>
        <w:tblOverlap w:val="never"/>
        <w:tblW w:w="9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90"/>
        <w:gridCol w:w="1951"/>
        <w:gridCol w:w="1090"/>
        <w:gridCol w:w="1091"/>
        <w:gridCol w:w="1090"/>
        <w:gridCol w:w="1091"/>
        <w:gridCol w:w="1245"/>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951"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090"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091"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090"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091"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245"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2018-4-20</w:t>
            </w:r>
          </w:p>
        </w:tc>
        <w:tc>
          <w:tcPr>
            <w:tcW w:w="1126"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山东集兴化工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山东集兴化工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青岛石化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济南炼厂</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东明石化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扬子石化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扬子石化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镇海炼化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镇海炼化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高桥石化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高桥石化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杭州炼厂</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泰州石化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金陵烷基苯厂</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扬州石化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广州赫尔普公司</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广州赫尔普公司</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南海志德</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南海志德</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南方石油</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南方石油</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茂名华粤</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茂名华粤</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福建联合</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巴陵石化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巴陵石化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南阳石化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武汉石化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武汉石化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独山子石化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独山子石化</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新疆康佳投资(集团)</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新疆康佳投资(集团)</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南充炼厂</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rPr>
          <w:rFonts w:ascii="宋体" w:hAnsi="宋体"/>
          <w:sz w:val="20"/>
          <w:szCs w:val="20"/>
        </w:rPr>
      </w:pPr>
    </w:p>
    <w:p>
      <w:pPr>
        <w:widowControl/>
        <w:jc w:val="center"/>
        <w:rPr>
          <w:rFonts w:hint="eastAsia"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59" w:name="_Toc505350016"/>
      <w:bookmarkStart w:id="60" w:name="_Toc281568213"/>
      <w:bookmarkStart w:id="61" w:name="_Toc296600821"/>
      <w:bookmarkStart w:id="62" w:name="_Toc460250412"/>
      <w:r>
        <w:rPr>
          <w:rFonts w:hint="eastAsia" w:ascii="黑体" w:hAnsi="宋体"/>
          <w:sz w:val="28"/>
          <w:szCs w:val="28"/>
        </w:rPr>
        <w:t>六、D系列特种溶剂油</w:t>
      </w:r>
      <w:bookmarkEnd w:id="59"/>
      <w:bookmarkEnd w:id="60"/>
      <w:bookmarkEnd w:id="61"/>
      <w:bookmarkEnd w:id="6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本周国内D系列溶剂油价格汇总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单位：元/吨</w:t>
      </w: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09"/>
        <w:gridCol w:w="1232"/>
        <w:gridCol w:w="1233"/>
        <w:gridCol w:w="1233"/>
        <w:gridCol w:w="1232"/>
        <w:gridCol w:w="1404"/>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23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2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2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23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40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2018-4-20</w:t>
            </w:r>
          </w:p>
        </w:tc>
        <w:tc>
          <w:tcPr>
            <w:tcW w:w="12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D20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D75</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D95</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D105</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D110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D120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D110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D70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D95</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D65</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3" w:name="_Toc505350017"/>
      <w:bookmarkStart w:id="64" w:name="_Toc460250413"/>
      <w:bookmarkStart w:id="65" w:name="_Toc296600822"/>
      <w:bookmarkStart w:id="66" w:name="_Toc281568214"/>
      <w:r>
        <w:rPr>
          <w:rFonts w:hint="eastAsia" w:ascii="华文仿宋" w:hAnsi="华文仿宋" w:eastAsia="华文仿宋"/>
          <w:bCs w:val="0"/>
          <w:kern w:val="2"/>
          <w:sz w:val="28"/>
          <w:szCs w:val="28"/>
        </w:rPr>
        <w:t>七、重芳烃溶剂油</w:t>
      </w:r>
      <w:bookmarkEnd w:id="63"/>
      <w:bookmarkEnd w:id="64"/>
      <w:bookmarkEnd w:id="65"/>
      <w:bookmarkEnd w:id="66"/>
    </w:p>
    <w:p>
      <w:pPr>
        <w:autoSpaceDE w:val="0"/>
        <w:autoSpaceDN w:val="0"/>
        <w:adjustRightInd w:val="0"/>
        <w:ind w:firstLine="140" w:firstLineChars="50"/>
        <w:rPr>
          <w:rFonts w:ascii="华文仿宋" w:hAnsi="华文仿宋" w:eastAsia="华文仿宋"/>
          <w:sz w:val="28"/>
          <w:szCs w:val="28"/>
        </w:rPr>
      </w:pPr>
      <w:r>
        <w:rPr>
          <w:rFonts w:hint="eastAsia" w:ascii="华文仿宋" w:hAnsi="华文仿宋" w:eastAsia="华文仿宋"/>
          <w:sz w:val="28"/>
          <w:szCs w:val="28"/>
        </w:rPr>
        <w:t>单位：元/吨</w:t>
      </w: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07"/>
        <w:gridCol w:w="1642"/>
        <w:gridCol w:w="1306"/>
        <w:gridCol w:w="1112"/>
        <w:gridCol w:w="1107"/>
        <w:gridCol w:w="1076"/>
        <w:gridCol w:w="1265"/>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64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306"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11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10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076"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265"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2018-4-20</w:t>
            </w:r>
          </w:p>
        </w:tc>
        <w:tc>
          <w:tcPr>
            <w:tcW w:w="1161"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混合芳烃</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燕化高新</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燕化高新</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S100A</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S100B</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混三甲苯-1</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混三甲苯-3</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混四甲苯</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S-2300#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4600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S1001#</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S1501#</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S1800A</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S1800B</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S100#A</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S100#B</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S100#C</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混合甲乙苯</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混合三甲苯</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洛阳宇晶</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洛阳宇晶</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九江华庐</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C9</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九江华庐</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C10</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4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中海油惠州</w:t>
            </w:r>
          </w:p>
        </w:tc>
        <w:tc>
          <w:tcPr>
            <w:tcW w:w="130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C9</w:t>
            </w:r>
          </w:p>
        </w:tc>
        <w:tc>
          <w:tcPr>
            <w:tcW w:w="11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jc w:val="center"/>
        <w:rPr>
          <w:rFonts w:hint="eastAsia" w:ascii="华文仿宋" w:hAnsi="华文仿宋" w:eastAsia="华文仿宋"/>
          <w:sz w:val="28"/>
          <w:szCs w:val="28"/>
          <w:lang w:val="en-US" w:eastAsia="zh-CN"/>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7" w:name="_Toc505350018"/>
      <w:bookmarkStart w:id="68" w:name="_Toc460250414"/>
      <w:bookmarkStart w:id="69" w:name="_Toc281568215"/>
      <w:bookmarkStart w:id="70" w:name="_Toc296600823"/>
      <w:bookmarkStart w:id="71" w:name="_Toc180485835"/>
      <w:r>
        <w:rPr>
          <w:rFonts w:hint="eastAsia" w:ascii="华文仿宋" w:hAnsi="华文仿宋" w:eastAsia="华文仿宋"/>
          <w:bCs w:val="0"/>
          <w:kern w:val="2"/>
          <w:sz w:val="28"/>
          <w:szCs w:val="28"/>
        </w:rPr>
        <w:t>八、正己烷</w:t>
      </w:r>
      <w:bookmarkEnd w:id="67"/>
      <w:bookmarkEnd w:id="68"/>
      <w:bookmarkEnd w:id="69"/>
      <w:bookmarkEnd w:id="70"/>
      <w:bookmarkEnd w:id="7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hAnsi="华文仿宋" w:eastAsia="华文仿宋"/>
          <w:sz w:val="28"/>
          <w:szCs w:val="28"/>
        </w:rPr>
      </w:pPr>
      <w:r>
        <w:rPr>
          <w:rFonts w:hint="eastAsia" w:ascii="华文仿宋" w:hAnsi="华文仿宋" w:eastAsia="华文仿宋"/>
          <w:sz w:val="28"/>
          <w:szCs w:val="28"/>
        </w:rPr>
        <w:t>本周国内正己烷价格汇总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 xml:space="preserve">单位：元/吨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78"/>
        <w:gridCol w:w="1877"/>
        <w:gridCol w:w="1878"/>
        <w:gridCol w:w="2160"/>
        <w:gridCol w:w="1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87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87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216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2018-4-20</w:t>
            </w:r>
          </w:p>
        </w:tc>
        <w:tc>
          <w:tcPr>
            <w:tcW w:w="198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 w:val="0"/>
          <w:bCs w:val="0"/>
          <w:kern w:val="2"/>
          <w:sz w:val="28"/>
          <w:szCs w:val="28"/>
        </w:rPr>
      </w:pPr>
      <w:bookmarkStart w:id="72" w:name="_Toc281568216"/>
      <w:bookmarkStart w:id="73" w:name="_Toc296600824"/>
      <w:bookmarkStart w:id="74" w:name="_Toc505350019"/>
      <w:bookmarkStart w:id="75" w:name="_Toc460250415"/>
      <w:r>
        <w:rPr>
          <w:rFonts w:hint="eastAsia" w:ascii="华文仿宋" w:hAnsi="华文仿宋" w:eastAsia="华文仿宋"/>
          <w:b w:val="0"/>
          <w:bCs w:val="0"/>
          <w:kern w:val="2"/>
          <w:sz w:val="28"/>
          <w:szCs w:val="28"/>
        </w:rPr>
        <w:t>九、201</w:t>
      </w:r>
      <w:r>
        <w:rPr>
          <w:rFonts w:hint="eastAsia" w:ascii="华文仿宋" w:hAnsi="华文仿宋" w:eastAsia="华文仿宋"/>
          <w:b w:val="0"/>
          <w:bCs w:val="0"/>
          <w:kern w:val="2"/>
          <w:sz w:val="28"/>
          <w:szCs w:val="28"/>
          <w:lang w:val="en-US" w:eastAsia="zh-CN"/>
        </w:rPr>
        <w:t>8</w:t>
      </w:r>
      <w:r>
        <w:rPr>
          <w:rFonts w:hint="eastAsia" w:ascii="华文仿宋" w:hAnsi="华文仿宋" w:eastAsia="华文仿宋"/>
          <w:b w:val="0"/>
          <w:bCs w:val="0"/>
          <w:kern w:val="2"/>
          <w:sz w:val="28"/>
          <w:szCs w:val="28"/>
        </w:rPr>
        <w:t>年</w:t>
      </w:r>
      <w:r>
        <w:rPr>
          <w:rFonts w:hint="eastAsia" w:ascii="华文仿宋" w:hAnsi="华文仿宋" w:eastAsia="华文仿宋"/>
          <w:b w:val="0"/>
          <w:bCs w:val="0"/>
          <w:kern w:val="2"/>
          <w:sz w:val="28"/>
          <w:szCs w:val="28"/>
          <w:lang w:val="en-US" w:eastAsia="zh-CN"/>
        </w:rPr>
        <w:t>2</w:t>
      </w:r>
      <w:r>
        <w:rPr>
          <w:rFonts w:hint="eastAsia" w:ascii="华文仿宋" w:hAnsi="华文仿宋" w:eastAsia="华文仿宋"/>
          <w:b w:val="0"/>
          <w:bCs w:val="0"/>
          <w:kern w:val="2"/>
          <w:sz w:val="28"/>
          <w:szCs w:val="28"/>
        </w:rPr>
        <w:t>月中国溶剂油、石脑油进出口数据统计</w:t>
      </w:r>
      <w:bookmarkEnd w:id="72"/>
      <w:bookmarkEnd w:id="73"/>
      <w:bookmarkEnd w:id="74"/>
      <w:bookmarkEnd w:id="75"/>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bookmarkStart w:id="76" w:name="_Toc281568218"/>
      <w:bookmarkStart w:id="77" w:name="_Toc296600826"/>
      <w:r>
        <w:rPr>
          <w:rFonts w:hint="eastAsia" w:ascii="华文仿宋" w:hAnsi="华文仿宋" w:eastAsia="华文仿宋"/>
          <w:sz w:val="28"/>
          <w:szCs w:val="28"/>
        </w:rPr>
        <w:t>201</w:t>
      </w: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月中国</w:t>
      </w:r>
      <w:r>
        <w:rPr>
          <w:rFonts w:ascii="华文仿宋" w:hAnsi="华文仿宋" w:eastAsia="华文仿宋"/>
          <w:sz w:val="28"/>
          <w:szCs w:val="28"/>
        </w:rPr>
        <w:t>橡胶溶剂油、油漆溶剂油、抽提溶剂油</w:t>
      </w:r>
      <w:bookmarkEnd w:id="76"/>
      <w:bookmarkEnd w:id="77"/>
      <w:r>
        <w:rPr>
          <w:rFonts w:hint="eastAsia" w:ascii="华文仿宋" w:hAnsi="华文仿宋" w:eastAsia="华文仿宋"/>
          <w:sz w:val="28"/>
          <w:szCs w:val="28"/>
        </w:rPr>
        <w:t>进出口数据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32"/>
        <w:gridCol w:w="1855"/>
        <w:gridCol w:w="1805"/>
        <w:gridCol w:w="1678"/>
        <w:gridCol w:w="1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2"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8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80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678"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80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印度尼西亚</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210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5260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德国</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426</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新加坡</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748351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1013705</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日本</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29700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71958</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1860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7699</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英国</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303</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越南</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3400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20405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18685</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香港</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88630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59148</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201</w:t>
      </w: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月石脑油进出口数据(数量单位：千克/升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95"/>
        <w:gridCol w:w="2027"/>
        <w:gridCol w:w="2027"/>
        <w:gridCol w:w="1608"/>
        <w:gridCol w:w="1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49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2027"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2027"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608"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619"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58443703</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35116545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印度</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56249737</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33854529</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巴基斯坦</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31033262</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19628533</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巴布亚新几内亚</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8500000</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5389000</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沙特阿拉伯</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55002410</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33153245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37451894</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21722099</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阿尔及利亚</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171876474</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103009405</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32903402</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18932537</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jc w:val="center"/>
        <w:rPr>
          <w:rFonts w:ascii="华文仿宋" w:hAnsi="华文仿宋" w:eastAsia="华文仿宋"/>
          <w:sz w:val="28"/>
          <w:szCs w:val="28"/>
        </w:rPr>
      </w:pPr>
    </w:p>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Microsoft YaHei">
    <w:altName w:val="Courier New"/>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roman"/>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宋体">
    <w:panose1 w:val="02010600030101010101"/>
    <w:charset w:val="86"/>
    <w:family w:val="auto"/>
    <w:pitch w:val="variable"/>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44</w:t>
    </w:r>
    <w:r>
      <w:rPr>
        <w:b/>
        <w:bCs/>
        <w:sz w:val="24"/>
        <w:szCs w:val="24"/>
      </w:rPr>
      <w:fldChar w:fldCharType="end"/>
    </w:r>
  </w:p>
  <w:p>
    <w:pPr>
      <w:pStyle w:val="1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pPr>
      <w:pStyle w:val="13"/>
      <w:pBdr>
        <w:bottom w:val="none" w:color="auto" w:sz="0" w:space="0"/>
      </w:pBdr>
    </w:pPr>
  </w:p>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D6932"/>
    <w:multiLevelType w:val="singleLevel"/>
    <w:tmpl w:val="F97D6932"/>
    <w:lvl w:ilvl="0" w:tentative="0">
      <w:start w:val="1"/>
      <w:numFmt w:val="decimal"/>
      <w:suff w:val="nothing"/>
      <w:lvlText w:val="%1、"/>
      <w:lvlJc w:val="left"/>
    </w:lvl>
  </w:abstractNum>
  <w:abstractNum w:abstractNumId="1">
    <w:nsid w:val="37716F8E"/>
    <w:multiLevelType w:val="singleLevel"/>
    <w:tmpl w:val="37716F8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4CFF"/>
    <w:rsid w:val="000071C7"/>
    <w:rsid w:val="00007808"/>
    <w:rsid w:val="000121DE"/>
    <w:rsid w:val="00013FDF"/>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62A0"/>
    <w:rsid w:val="00087B10"/>
    <w:rsid w:val="00096A95"/>
    <w:rsid w:val="00097DEF"/>
    <w:rsid w:val="000A0D0E"/>
    <w:rsid w:val="000B1002"/>
    <w:rsid w:val="000B1594"/>
    <w:rsid w:val="000B2483"/>
    <w:rsid w:val="000B4670"/>
    <w:rsid w:val="000C4C8D"/>
    <w:rsid w:val="000D02E6"/>
    <w:rsid w:val="000D3893"/>
    <w:rsid w:val="000D6DB7"/>
    <w:rsid w:val="000D7C1F"/>
    <w:rsid w:val="000E12DD"/>
    <w:rsid w:val="000E3ED3"/>
    <w:rsid w:val="000E4486"/>
    <w:rsid w:val="000F4930"/>
    <w:rsid w:val="000F6AFC"/>
    <w:rsid w:val="00100B41"/>
    <w:rsid w:val="001028D9"/>
    <w:rsid w:val="00103D77"/>
    <w:rsid w:val="001045A7"/>
    <w:rsid w:val="00111DD8"/>
    <w:rsid w:val="00111F37"/>
    <w:rsid w:val="00113D3C"/>
    <w:rsid w:val="00114C42"/>
    <w:rsid w:val="00114D13"/>
    <w:rsid w:val="00123276"/>
    <w:rsid w:val="00130438"/>
    <w:rsid w:val="001316A0"/>
    <w:rsid w:val="001351B0"/>
    <w:rsid w:val="00137FFE"/>
    <w:rsid w:val="00147D86"/>
    <w:rsid w:val="00167025"/>
    <w:rsid w:val="00183F2A"/>
    <w:rsid w:val="00194FF2"/>
    <w:rsid w:val="00195689"/>
    <w:rsid w:val="001A3318"/>
    <w:rsid w:val="001A58F5"/>
    <w:rsid w:val="001B0F30"/>
    <w:rsid w:val="001B2E5D"/>
    <w:rsid w:val="001B32BE"/>
    <w:rsid w:val="001B7F7D"/>
    <w:rsid w:val="001C077C"/>
    <w:rsid w:val="001C20CD"/>
    <w:rsid w:val="001C37E2"/>
    <w:rsid w:val="001C5CC6"/>
    <w:rsid w:val="001D1279"/>
    <w:rsid w:val="001D2FA8"/>
    <w:rsid w:val="001D35A4"/>
    <w:rsid w:val="001D3943"/>
    <w:rsid w:val="001D408B"/>
    <w:rsid w:val="001D48F1"/>
    <w:rsid w:val="001E2FF2"/>
    <w:rsid w:val="001E7175"/>
    <w:rsid w:val="001F0235"/>
    <w:rsid w:val="001F24AD"/>
    <w:rsid w:val="001F325D"/>
    <w:rsid w:val="001F3557"/>
    <w:rsid w:val="00200758"/>
    <w:rsid w:val="00212A13"/>
    <w:rsid w:val="00214955"/>
    <w:rsid w:val="0021517F"/>
    <w:rsid w:val="00216D04"/>
    <w:rsid w:val="00225CE6"/>
    <w:rsid w:val="00227F5A"/>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74D99"/>
    <w:rsid w:val="00277D2C"/>
    <w:rsid w:val="002828E1"/>
    <w:rsid w:val="00290A13"/>
    <w:rsid w:val="0029167F"/>
    <w:rsid w:val="0029698F"/>
    <w:rsid w:val="002A0B34"/>
    <w:rsid w:val="002A1698"/>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2110B"/>
    <w:rsid w:val="003240B9"/>
    <w:rsid w:val="00324F27"/>
    <w:rsid w:val="00327FC0"/>
    <w:rsid w:val="00344452"/>
    <w:rsid w:val="003530D9"/>
    <w:rsid w:val="00355C68"/>
    <w:rsid w:val="003572B9"/>
    <w:rsid w:val="0035738C"/>
    <w:rsid w:val="0036061A"/>
    <w:rsid w:val="00361079"/>
    <w:rsid w:val="00365DE0"/>
    <w:rsid w:val="00370336"/>
    <w:rsid w:val="00370DF6"/>
    <w:rsid w:val="0037670E"/>
    <w:rsid w:val="00377F89"/>
    <w:rsid w:val="00380D44"/>
    <w:rsid w:val="00381DF6"/>
    <w:rsid w:val="00384C31"/>
    <w:rsid w:val="00387771"/>
    <w:rsid w:val="00391FCD"/>
    <w:rsid w:val="00394660"/>
    <w:rsid w:val="00397D27"/>
    <w:rsid w:val="003A05B5"/>
    <w:rsid w:val="003A177D"/>
    <w:rsid w:val="003A4492"/>
    <w:rsid w:val="003B2552"/>
    <w:rsid w:val="003B4A54"/>
    <w:rsid w:val="003C393A"/>
    <w:rsid w:val="003D18AF"/>
    <w:rsid w:val="003D6166"/>
    <w:rsid w:val="003D632C"/>
    <w:rsid w:val="003E2A66"/>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78A"/>
    <w:rsid w:val="004B2762"/>
    <w:rsid w:val="004B4629"/>
    <w:rsid w:val="004B5ABD"/>
    <w:rsid w:val="004C0320"/>
    <w:rsid w:val="004C1F94"/>
    <w:rsid w:val="004C2578"/>
    <w:rsid w:val="004C515D"/>
    <w:rsid w:val="004D1EB5"/>
    <w:rsid w:val="004D3C9D"/>
    <w:rsid w:val="004D6F1B"/>
    <w:rsid w:val="004E0D9B"/>
    <w:rsid w:val="004E2F19"/>
    <w:rsid w:val="004F3817"/>
    <w:rsid w:val="004F491D"/>
    <w:rsid w:val="004F57CD"/>
    <w:rsid w:val="004F7B37"/>
    <w:rsid w:val="0050120B"/>
    <w:rsid w:val="00501686"/>
    <w:rsid w:val="00501DD8"/>
    <w:rsid w:val="00504E0E"/>
    <w:rsid w:val="00510901"/>
    <w:rsid w:val="0051359C"/>
    <w:rsid w:val="00517918"/>
    <w:rsid w:val="0052375A"/>
    <w:rsid w:val="00524DE5"/>
    <w:rsid w:val="00527E80"/>
    <w:rsid w:val="00530810"/>
    <w:rsid w:val="0053224A"/>
    <w:rsid w:val="00533757"/>
    <w:rsid w:val="005351E4"/>
    <w:rsid w:val="005429EE"/>
    <w:rsid w:val="00542C07"/>
    <w:rsid w:val="005579EC"/>
    <w:rsid w:val="00565438"/>
    <w:rsid w:val="005666EC"/>
    <w:rsid w:val="005670E7"/>
    <w:rsid w:val="005673DC"/>
    <w:rsid w:val="00581114"/>
    <w:rsid w:val="00581F9C"/>
    <w:rsid w:val="00585C56"/>
    <w:rsid w:val="00587D98"/>
    <w:rsid w:val="00595E1A"/>
    <w:rsid w:val="0059652E"/>
    <w:rsid w:val="005965F5"/>
    <w:rsid w:val="00597232"/>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612F43"/>
    <w:rsid w:val="006145D2"/>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745D"/>
    <w:rsid w:val="006D0372"/>
    <w:rsid w:val="006D0B7F"/>
    <w:rsid w:val="006D0C94"/>
    <w:rsid w:val="006D23A3"/>
    <w:rsid w:val="006D6ABD"/>
    <w:rsid w:val="006E195D"/>
    <w:rsid w:val="006E58D9"/>
    <w:rsid w:val="006E7999"/>
    <w:rsid w:val="006F2697"/>
    <w:rsid w:val="006F7170"/>
    <w:rsid w:val="00720A30"/>
    <w:rsid w:val="00721AE4"/>
    <w:rsid w:val="00723454"/>
    <w:rsid w:val="007271CA"/>
    <w:rsid w:val="00730BB5"/>
    <w:rsid w:val="007314A0"/>
    <w:rsid w:val="00731F5F"/>
    <w:rsid w:val="007326DF"/>
    <w:rsid w:val="00742A37"/>
    <w:rsid w:val="00763F6F"/>
    <w:rsid w:val="00765F8B"/>
    <w:rsid w:val="00767C71"/>
    <w:rsid w:val="007752FF"/>
    <w:rsid w:val="00776D2B"/>
    <w:rsid w:val="007815C0"/>
    <w:rsid w:val="00782BC6"/>
    <w:rsid w:val="00783A4E"/>
    <w:rsid w:val="00785313"/>
    <w:rsid w:val="00785EE7"/>
    <w:rsid w:val="007873C3"/>
    <w:rsid w:val="00793DD7"/>
    <w:rsid w:val="00797A26"/>
    <w:rsid w:val="007A3B57"/>
    <w:rsid w:val="007A73BE"/>
    <w:rsid w:val="007A78BE"/>
    <w:rsid w:val="007B38A5"/>
    <w:rsid w:val="007B3E0D"/>
    <w:rsid w:val="007B4C66"/>
    <w:rsid w:val="007C001C"/>
    <w:rsid w:val="007C0E95"/>
    <w:rsid w:val="007C32F6"/>
    <w:rsid w:val="007C748B"/>
    <w:rsid w:val="007D28DE"/>
    <w:rsid w:val="007E52C7"/>
    <w:rsid w:val="007E6808"/>
    <w:rsid w:val="007F0394"/>
    <w:rsid w:val="007F1029"/>
    <w:rsid w:val="007F4B19"/>
    <w:rsid w:val="00806040"/>
    <w:rsid w:val="008156F9"/>
    <w:rsid w:val="008161B2"/>
    <w:rsid w:val="00832565"/>
    <w:rsid w:val="008336D0"/>
    <w:rsid w:val="00835D26"/>
    <w:rsid w:val="00836111"/>
    <w:rsid w:val="00837F73"/>
    <w:rsid w:val="00837FE5"/>
    <w:rsid w:val="008400E1"/>
    <w:rsid w:val="00844D40"/>
    <w:rsid w:val="0085080D"/>
    <w:rsid w:val="00851423"/>
    <w:rsid w:val="00851E9E"/>
    <w:rsid w:val="008526E8"/>
    <w:rsid w:val="00853E97"/>
    <w:rsid w:val="00863FA6"/>
    <w:rsid w:val="00867B6F"/>
    <w:rsid w:val="00871AD9"/>
    <w:rsid w:val="00881178"/>
    <w:rsid w:val="00881E5D"/>
    <w:rsid w:val="0088710F"/>
    <w:rsid w:val="00887728"/>
    <w:rsid w:val="00887BB7"/>
    <w:rsid w:val="00890FEA"/>
    <w:rsid w:val="00894685"/>
    <w:rsid w:val="00897839"/>
    <w:rsid w:val="008A0EA8"/>
    <w:rsid w:val="008A71DE"/>
    <w:rsid w:val="008D3798"/>
    <w:rsid w:val="008D4C33"/>
    <w:rsid w:val="008D6398"/>
    <w:rsid w:val="008E2155"/>
    <w:rsid w:val="008E2C6F"/>
    <w:rsid w:val="008E6CAE"/>
    <w:rsid w:val="008F047D"/>
    <w:rsid w:val="008F309D"/>
    <w:rsid w:val="008F4D12"/>
    <w:rsid w:val="009136FA"/>
    <w:rsid w:val="009166B6"/>
    <w:rsid w:val="00917A6A"/>
    <w:rsid w:val="00920F2D"/>
    <w:rsid w:val="00921A1B"/>
    <w:rsid w:val="00922FF4"/>
    <w:rsid w:val="009347F0"/>
    <w:rsid w:val="00935F33"/>
    <w:rsid w:val="0093638A"/>
    <w:rsid w:val="009378FF"/>
    <w:rsid w:val="00940754"/>
    <w:rsid w:val="00944A63"/>
    <w:rsid w:val="00945B4E"/>
    <w:rsid w:val="00947B06"/>
    <w:rsid w:val="00947B15"/>
    <w:rsid w:val="00952E08"/>
    <w:rsid w:val="00954B41"/>
    <w:rsid w:val="00956005"/>
    <w:rsid w:val="00956999"/>
    <w:rsid w:val="00964933"/>
    <w:rsid w:val="009717D1"/>
    <w:rsid w:val="00974FDE"/>
    <w:rsid w:val="00975BF1"/>
    <w:rsid w:val="00980E9A"/>
    <w:rsid w:val="00987DE6"/>
    <w:rsid w:val="00993180"/>
    <w:rsid w:val="009A3031"/>
    <w:rsid w:val="009A6AB7"/>
    <w:rsid w:val="009B11C6"/>
    <w:rsid w:val="009D30D0"/>
    <w:rsid w:val="009D3DF0"/>
    <w:rsid w:val="009D4EB3"/>
    <w:rsid w:val="009F05BF"/>
    <w:rsid w:val="009F1D70"/>
    <w:rsid w:val="009F5944"/>
    <w:rsid w:val="00A0021E"/>
    <w:rsid w:val="00A0658F"/>
    <w:rsid w:val="00A13F55"/>
    <w:rsid w:val="00A140B5"/>
    <w:rsid w:val="00A2031A"/>
    <w:rsid w:val="00A20C84"/>
    <w:rsid w:val="00A26CD6"/>
    <w:rsid w:val="00A31F3B"/>
    <w:rsid w:val="00A33138"/>
    <w:rsid w:val="00A36CBA"/>
    <w:rsid w:val="00A42D38"/>
    <w:rsid w:val="00A4389F"/>
    <w:rsid w:val="00A4409F"/>
    <w:rsid w:val="00A44808"/>
    <w:rsid w:val="00A504C2"/>
    <w:rsid w:val="00A5136B"/>
    <w:rsid w:val="00A51A65"/>
    <w:rsid w:val="00A53FC4"/>
    <w:rsid w:val="00A6075D"/>
    <w:rsid w:val="00A63181"/>
    <w:rsid w:val="00A74C7D"/>
    <w:rsid w:val="00A773DA"/>
    <w:rsid w:val="00A77796"/>
    <w:rsid w:val="00A77E3A"/>
    <w:rsid w:val="00A81F35"/>
    <w:rsid w:val="00A8382F"/>
    <w:rsid w:val="00A8579A"/>
    <w:rsid w:val="00A93708"/>
    <w:rsid w:val="00AA2A31"/>
    <w:rsid w:val="00AA4211"/>
    <w:rsid w:val="00AA5F39"/>
    <w:rsid w:val="00AB0F41"/>
    <w:rsid w:val="00AB4BB0"/>
    <w:rsid w:val="00AB5344"/>
    <w:rsid w:val="00AC0BBE"/>
    <w:rsid w:val="00AC2EAE"/>
    <w:rsid w:val="00AE6B0A"/>
    <w:rsid w:val="00AF044A"/>
    <w:rsid w:val="00AF2497"/>
    <w:rsid w:val="00AF6EDC"/>
    <w:rsid w:val="00B002B8"/>
    <w:rsid w:val="00B049AB"/>
    <w:rsid w:val="00B079E9"/>
    <w:rsid w:val="00B16FDE"/>
    <w:rsid w:val="00B1736E"/>
    <w:rsid w:val="00B2427E"/>
    <w:rsid w:val="00B26353"/>
    <w:rsid w:val="00B32F59"/>
    <w:rsid w:val="00B330CE"/>
    <w:rsid w:val="00B34DB9"/>
    <w:rsid w:val="00B3655C"/>
    <w:rsid w:val="00B36918"/>
    <w:rsid w:val="00B37BD5"/>
    <w:rsid w:val="00B4089B"/>
    <w:rsid w:val="00B41501"/>
    <w:rsid w:val="00B4252A"/>
    <w:rsid w:val="00B43FD3"/>
    <w:rsid w:val="00B54753"/>
    <w:rsid w:val="00B56DAC"/>
    <w:rsid w:val="00B66525"/>
    <w:rsid w:val="00B7201D"/>
    <w:rsid w:val="00B72D56"/>
    <w:rsid w:val="00B73385"/>
    <w:rsid w:val="00B7660A"/>
    <w:rsid w:val="00B80D78"/>
    <w:rsid w:val="00B80F1F"/>
    <w:rsid w:val="00B81D14"/>
    <w:rsid w:val="00B86CFA"/>
    <w:rsid w:val="00B87EBA"/>
    <w:rsid w:val="00B92B61"/>
    <w:rsid w:val="00B969D4"/>
    <w:rsid w:val="00BA7BA1"/>
    <w:rsid w:val="00BC087F"/>
    <w:rsid w:val="00BC23E1"/>
    <w:rsid w:val="00BC2882"/>
    <w:rsid w:val="00BC31D3"/>
    <w:rsid w:val="00BC3AF2"/>
    <w:rsid w:val="00BC4513"/>
    <w:rsid w:val="00BC476E"/>
    <w:rsid w:val="00BD1EE5"/>
    <w:rsid w:val="00BD3E25"/>
    <w:rsid w:val="00BE0143"/>
    <w:rsid w:val="00BE088D"/>
    <w:rsid w:val="00BE60C2"/>
    <w:rsid w:val="00BF4005"/>
    <w:rsid w:val="00BF56EB"/>
    <w:rsid w:val="00BF5FDD"/>
    <w:rsid w:val="00C010CC"/>
    <w:rsid w:val="00C04234"/>
    <w:rsid w:val="00C143F0"/>
    <w:rsid w:val="00C15280"/>
    <w:rsid w:val="00C21042"/>
    <w:rsid w:val="00C22F47"/>
    <w:rsid w:val="00C25298"/>
    <w:rsid w:val="00C263DA"/>
    <w:rsid w:val="00C30738"/>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D06D5"/>
    <w:rsid w:val="00CD5F66"/>
    <w:rsid w:val="00CE2915"/>
    <w:rsid w:val="00CE48BB"/>
    <w:rsid w:val="00CF1CB7"/>
    <w:rsid w:val="00CF7DD5"/>
    <w:rsid w:val="00D013C8"/>
    <w:rsid w:val="00D03E8B"/>
    <w:rsid w:val="00D06BE0"/>
    <w:rsid w:val="00D13DC7"/>
    <w:rsid w:val="00D16B1B"/>
    <w:rsid w:val="00D30499"/>
    <w:rsid w:val="00D340ED"/>
    <w:rsid w:val="00D414AB"/>
    <w:rsid w:val="00D56268"/>
    <w:rsid w:val="00D57F76"/>
    <w:rsid w:val="00D766DC"/>
    <w:rsid w:val="00D853F5"/>
    <w:rsid w:val="00D859DE"/>
    <w:rsid w:val="00D87D5F"/>
    <w:rsid w:val="00D919D9"/>
    <w:rsid w:val="00D9238E"/>
    <w:rsid w:val="00D9776A"/>
    <w:rsid w:val="00DA4501"/>
    <w:rsid w:val="00DA4F2B"/>
    <w:rsid w:val="00DA5FEE"/>
    <w:rsid w:val="00DA6C7F"/>
    <w:rsid w:val="00DB1006"/>
    <w:rsid w:val="00DB57C9"/>
    <w:rsid w:val="00DB79D6"/>
    <w:rsid w:val="00DC59D6"/>
    <w:rsid w:val="00DC60AC"/>
    <w:rsid w:val="00DD364C"/>
    <w:rsid w:val="00DD4EB3"/>
    <w:rsid w:val="00DD7167"/>
    <w:rsid w:val="00DD7E7D"/>
    <w:rsid w:val="00DE139B"/>
    <w:rsid w:val="00DE34F1"/>
    <w:rsid w:val="00DE40FB"/>
    <w:rsid w:val="00DF65D2"/>
    <w:rsid w:val="00E0381A"/>
    <w:rsid w:val="00E2087D"/>
    <w:rsid w:val="00E222B8"/>
    <w:rsid w:val="00E30A09"/>
    <w:rsid w:val="00E33D32"/>
    <w:rsid w:val="00E36209"/>
    <w:rsid w:val="00E4010A"/>
    <w:rsid w:val="00E508F5"/>
    <w:rsid w:val="00E54015"/>
    <w:rsid w:val="00E57AE9"/>
    <w:rsid w:val="00E6086B"/>
    <w:rsid w:val="00E6237C"/>
    <w:rsid w:val="00E70F83"/>
    <w:rsid w:val="00E71E4A"/>
    <w:rsid w:val="00E73393"/>
    <w:rsid w:val="00E74D23"/>
    <w:rsid w:val="00E75CFD"/>
    <w:rsid w:val="00E8370B"/>
    <w:rsid w:val="00E83EC9"/>
    <w:rsid w:val="00E87184"/>
    <w:rsid w:val="00E87533"/>
    <w:rsid w:val="00E944D7"/>
    <w:rsid w:val="00E94998"/>
    <w:rsid w:val="00EA5E30"/>
    <w:rsid w:val="00EC02F1"/>
    <w:rsid w:val="00EE7555"/>
    <w:rsid w:val="00EE78E5"/>
    <w:rsid w:val="00EF05B9"/>
    <w:rsid w:val="00EF59C3"/>
    <w:rsid w:val="00EF749C"/>
    <w:rsid w:val="00F0222D"/>
    <w:rsid w:val="00F036AB"/>
    <w:rsid w:val="00F051D9"/>
    <w:rsid w:val="00F07784"/>
    <w:rsid w:val="00F137E6"/>
    <w:rsid w:val="00F14617"/>
    <w:rsid w:val="00F14661"/>
    <w:rsid w:val="00F22426"/>
    <w:rsid w:val="00F2698F"/>
    <w:rsid w:val="00F4011D"/>
    <w:rsid w:val="00F4237A"/>
    <w:rsid w:val="00F42600"/>
    <w:rsid w:val="00F43FF4"/>
    <w:rsid w:val="00F53EB5"/>
    <w:rsid w:val="00F54A24"/>
    <w:rsid w:val="00F54FEA"/>
    <w:rsid w:val="00F553FB"/>
    <w:rsid w:val="00F611CA"/>
    <w:rsid w:val="00F61215"/>
    <w:rsid w:val="00F61D33"/>
    <w:rsid w:val="00F6247A"/>
    <w:rsid w:val="00F656E7"/>
    <w:rsid w:val="00F66767"/>
    <w:rsid w:val="00F67AE8"/>
    <w:rsid w:val="00F72F22"/>
    <w:rsid w:val="00F733F0"/>
    <w:rsid w:val="00F80C18"/>
    <w:rsid w:val="00F8269A"/>
    <w:rsid w:val="00F87D35"/>
    <w:rsid w:val="00F9529D"/>
    <w:rsid w:val="00FA0050"/>
    <w:rsid w:val="00FA0D01"/>
    <w:rsid w:val="00FC7592"/>
    <w:rsid w:val="00FC770F"/>
    <w:rsid w:val="00FD2679"/>
    <w:rsid w:val="00FD40EB"/>
    <w:rsid w:val="00FD46B2"/>
    <w:rsid w:val="00FD63AC"/>
    <w:rsid w:val="00FE1CDB"/>
    <w:rsid w:val="00FE2B19"/>
    <w:rsid w:val="00FE3BE9"/>
    <w:rsid w:val="00FE6042"/>
    <w:rsid w:val="00FE6C55"/>
    <w:rsid w:val="00FF269E"/>
    <w:rsid w:val="00FF3251"/>
    <w:rsid w:val="00FF3578"/>
    <w:rsid w:val="034215CC"/>
    <w:rsid w:val="04793982"/>
    <w:rsid w:val="099F699F"/>
    <w:rsid w:val="0C6F4F00"/>
    <w:rsid w:val="0CBA42B6"/>
    <w:rsid w:val="10C92BDE"/>
    <w:rsid w:val="14BD6DE9"/>
    <w:rsid w:val="151B0610"/>
    <w:rsid w:val="15A51265"/>
    <w:rsid w:val="1602563E"/>
    <w:rsid w:val="1871150E"/>
    <w:rsid w:val="193B0DD2"/>
    <w:rsid w:val="1950525E"/>
    <w:rsid w:val="1A4B0BD2"/>
    <w:rsid w:val="1BB02F43"/>
    <w:rsid w:val="1DBC2256"/>
    <w:rsid w:val="21467DDF"/>
    <w:rsid w:val="2258468B"/>
    <w:rsid w:val="24977CE4"/>
    <w:rsid w:val="250C493B"/>
    <w:rsid w:val="272712C8"/>
    <w:rsid w:val="29CF7033"/>
    <w:rsid w:val="316E4BCF"/>
    <w:rsid w:val="390E2AE7"/>
    <w:rsid w:val="3C7F4653"/>
    <w:rsid w:val="3D5C793D"/>
    <w:rsid w:val="3E0B15BA"/>
    <w:rsid w:val="3EC639AA"/>
    <w:rsid w:val="3FE24704"/>
    <w:rsid w:val="50A4483B"/>
    <w:rsid w:val="50D54E3C"/>
    <w:rsid w:val="532F052B"/>
    <w:rsid w:val="53CB1533"/>
    <w:rsid w:val="54A90501"/>
    <w:rsid w:val="552402CA"/>
    <w:rsid w:val="58343EAC"/>
    <w:rsid w:val="597E6C17"/>
    <w:rsid w:val="5B920EBC"/>
    <w:rsid w:val="5BFA6CAE"/>
    <w:rsid w:val="5D0D24D3"/>
    <w:rsid w:val="5D654113"/>
    <w:rsid w:val="5DB45A4D"/>
    <w:rsid w:val="5F5C54EB"/>
    <w:rsid w:val="60886E86"/>
    <w:rsid w:val="66AD6F06"/>
    <w:rsid w:val="67F355EF"/>
    <w:rsid w:val="68727AEB"/>
    <w:rsid w:val="68CB2404"/>
    <w:rsid w:val="6FE46FB1"/>
    <w:rsid w:val="766E0138"/>
    <w:rsid w:val="76DA4E14"/>
    <w:rsid w:val="78C05101"/>
    <w:rsid w:val="7A0850E0"/>
    <w:rsid w:val="7C4A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rFonts w:eastAsia="黑体"/>
      <w:b/>
      <w:bCs/>
      <w:kern w:val="44"/>
      <w:sz w:val="32"/>
      <w:szCs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1"/>
    <w:qFormat/>
    <w:uiPriority w:val="0"/>
    <w:pPr>
      <w:keepNext/>
      <w:keepLines/>
      <w:spacing w:before="260" w:after="260" w:line="416" w:lineRule="auto"/>
      <w:outlineLvl w:val="2"/>
    </w:pPr>
    <w:rPr>
      <w:bCs/>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6">
    <w:name w:val="Document Map"/>
    <w:basedOn w:val="1"/>
    <w:link w:val="178"/>
    <w:semiHidden/>
    <w:unhideWhenUsed/>
    <w:qFormat/>
    <w:uiPriority w:val="99"/>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3"/>
    <w:basedOn w:val="1"/>
    <w:next w:val="1"/>
    <w:unhideWhenUsed/>
    <w:qFormat/>
    <w:uiPriority w:val="39"/>
    <w:pPr>
      <w:ind w:left="840" w:leftChars="400"/>
    </w:pPr>
  </w:style>
  <w:style w:type="paragraph" w:styleId="9">
    <w:name w:val="Date"/>
    <w:basedOn w:val="1"/>
    <w:next w:val="1"/>
    <w:qFormat/>
    <w:uiPriority w:val="0"/>
    <w:pPr>
      <w:ind w:left="100" w:leftChars="2500"/>
    </w:pPr>
    <w:rPr>
      <w:rFonts w:ascii="宋体"/>
      <w:kern w:val="0"/>
      <w:sz w:val="20"/>
      <w:szCs w:val="20"/>
      <w:lang w:val="zh-CN"/>
    </w:rPr>
  </w:style>
  <w:style w:type="paragraph" w:styleId="10">
    <w:name w:val="Body Text Indent 2"/>
    <w:basedOn w:val="1"/>
    <w:qFormat/>
    <w:uiPriority w:val="0"/>
    <w:pPr>
      <w:tabs>
        <w:tab w:val="left" w:pos="2520"/>
      </w:tabs>
      <w:ind w:firstLine="435"/>
    </w:pPr>
    <w:rPr>
      <w:szCs w:val="24"/>
    </w:rPr>
  </w:style>
  <w:style w:type="paragraph" w:styleId="11">
    <w:name w:val="Balloon Text"/>
    <w:basedOn w:val="1"/>
    <w:link w:val="36"/>
    <w:unhideWhenUsed/>
    <w:uiPriority w:val="99"/>
    <w:rPr>
      <w:kern w:val="0"/>
      <w:sz w:val="18"/>
      <w:szCs w:val="18"/>
    </w:rPr>
  </w:style>
  <w:style w:type="paragraph" w:styleId="12">
    <w:name w:val="footer"/>
    <w:basedOn w:val="1"/>
    <w:link w:val="34"/>
    <w:unhideWhenUsed/>
    <w:qFormat/>
    <w:uiPriority w:val="99"/>
    <w:pPr>
      <w:tabs>
        <w:tab w:val="center" w:pos="4153"/>
        <w:tab w:val="right" w:pos="8306"/>
      </w:tabs>
      <w:snapToGrid w:val="0"/>
      <w:jc w:val="left"/>
    </w:pPr>
    <w:rPr>
      <w:kern w:val="0"/>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pPr>
      <w:tabs>
        <w:tab w:val="right" w:leader="dot" w:pos="9170"/>
      </w:tabs>
      <w:spacing w:before="120" w:after="120"/>
      <w:jc w:val="left"/>
    </w:pPr>
    <w:rPr>
      <w:rFonts w:ascii="宋体" w:hAnsi="宋体"/>
      <w:b/>
      <w:bCs/>
      <w:caps/>
      <w:color w:val="000000"/>
      <w:sz w:val="24"/>
      <w:szCs w:val="24"/>
    </w:rPr>
  </w:style>
  <w:style w:type="paragraph" w:styleId="15">
    <w:name w:val="Subtitle"/>
    <w:basedOn w:val="1"/>
    <w:next w:val="1"/>
    <w:link w:val="38"/>
    <w:qFormat/>
    <w:uiPriority w:val="11"/>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17">
    <w:name w:val="toc 2"/>
    <w:basedOn w:val="1"/>
    <w:next w:val="1"/>
    <w:qFormat/>
    <w:uiPriority w:val="39"/>
    <w:pPr>
      <w:tabs>
        <w:tab w:val="right" w:leader="dot" w:pos="9170"/>
      </w:tabs>
      <w:spacing w:line="360" w:lineRule="auto"/>
      <w:ind w:left="210"/>
      <w:jc w:val="left"/>
    </w:pPr>
    <w:rPr>
      <w:rFonts w:ascii="宋体" w:hAnsi="宋体"/>
      <w:b/>
      <w:smallCaps/>
      <w:color w:val="000000"/>
      <w:sz w:val="24"/>
      <w:szCs w:val="24"/>
    </w:rPr>
  </w:style>
  <w:style w:type="paragraph" w:styleId="1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1">
    <w:name w:val="Strong"/>
    <w:qFormat/>
    <w:uiPriority w:val="0"/>
    <w:rPr>
      <w:b/>
      <w:bCs/>
    </w:rPr>
  </w:style>
  <w:style w:type="character" w:styleId="22">
    <w:name w:val="page number"/>
    <w:basedOn w:val="20"/>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table" w:styleId="26">
    <w:name w:val="Table Theme"/>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3 Char"/>
    <w:uiPriority w:val="0"/>
    <w:rPr>
      <w:rFonts w:eastAsia="宋体"/>
      <w:b/>
      <w:bCs/>
      <w:kern w:val="2"/>
      <w:sz w:val="32"/>
      <w:szCs w:val="32"/>
      <w:lang w:val="en-US" w:eastAsia="zh-CN" w:bidi="ar-SA"/>
    </w:rPr>
  </w:style>
  <w:style w:type="character" w:customStyle="1" w:styleId="28">
    <w:name w:val="页眉 Char"/>
    <w:link w:val="13"/>
    <w:qFormat/>
    <w:uiPriority w:val="99"/>
    <w:rPr>
      <w:sz w:val="18"/>
      <w:szCs w:val="18"/>
    </w:rPr>
  </w:style>
  <w:style w:type="character" w:customStyle="1" w:styleId="29">
    <w:name w:val="showtext"/>
    <w:basedOn w:val="20"/>
    <w:qFormat/>
    <w:uiPriority w:val="0"/>
  </w:style>
  <w:style w:type="character" w:customStyle="1" w:styleId="30">
    <w:name w:val="标题 2 Char1"/>
    <w:link w:val="3"/>
    <w:qFormat/>
    <w:uiPriority w:val="9"/>
    <w:rPr>
      <w:rFonts w:ascii="Cambria" w:hAnsi="Cambria"/>
      <w:b/>
      <w:bCs/>
      <w:kern w:val="2"/>
      <w:sz w:val="28"/>
      <w:szCs w:val="32"/>
    </w:rPr>
  </w:style>
  <w:style w:type="character" w:customStyle="1" w:styleId="31">
    <w:name w:val="普通 (Web) Char Char2"/>
    <w:qFormat/>
    <w:locked/>
    <w:uiPriority w:val="0"/>
    <w:rPr>
      <w:rFonts w:ascii="宋体" w:hAnsi="宋体" w:eastAsia="宋体" w:cs="宋体"/>
      <w:sz w:val="24"/>
      <w:szCs w:val="24"/>
      <w:lang w:val="en-US" w:eastAsia="zh-CN" w:bidi="ar-SA"/>
    </w:rPr>
  </w:style>
  <w:style w:type="character" w:customStyle="1" w:styleId="32">
    <w:name w:val="apple-converted-space"/>
    <w:basedOn w:val="20"/>
    <w:qFormat/>
    <w:uiPriority w:val="0"/>
  </w:style>
  <w:style w:type="character" w:customStyle="1" w:styleId="33">
    <w:name w:val="标题 1 Char"/>
    <w:link w:val="2"/>
    <w:qFormat/>
    <w:uiPriority w:val="9"/>
    <w:rPr>
      <w:rFonts w:eastAsia="黑体"/>
      <w:b/>
      <w:bCs/>
      <w:kern w:val="44"/>
      <w:sz w:val="32"/>
      <w:szCs w:val="44"/>
    </w:rPr>
  </w:style>
  <w:style w:type="character" w:customStyle="1" w:styleId="34">
    <w:name w:val="页脚 Char"/>
    <w:link w:val="12"/>
    <w:qFormat/>
    <w:uiPriority w:val="99"/>
    <w:rPr>
      <w:sz w:val="18"/>
      <w:szCs w:val="18"/>
    </w:rPr>
  </w:style>
  <w:style w:type="character" w:customStyle="1" w:styleId="35">
    <w:name w:val="f21"/>
    <w:uiPriority w:val="0"/>
    <w:rPr>
      <w:rFonts w:hint="eastAsia" w:ascii="宋体" w:hAnsi="宋体" w:eastAsia="宋体"/>
      <w:sz w:val="21"/>
      <w:szCs w:val="21"/>
    </w:rPr>
  </w:style>
  <w:style w:type="character" w:customStyle="1" w:styleId="36">
    <w:name w:val="批注框文本 Char"/>
    <w:link w:val="11"/>
    <w:semiHidden/>
    <w:qFormat/>
    <w:uiPriority w:val="99"/>
    <w:rPr>
      <w:sz w:val="18"/>
      <w:szCs w:val="18"/>
    </w:rPr>
  </w:style>
  <w:style w:type="character" w:customStyle="1" w:styleId="37">
    <w:name w:val="style11"/>
    <w:qFormat/>
    <w:uiPriority w:val="0"/>
    <w:rPr>
      <w:color w:val="999999"/>
      <w:sz w:val="18"/>
      <w:szCs w:val="18"/>
    </w:rPr>
  </w:style>
  <w:style w:type="character" w:customStyle="1" w:styleId="38">
    <w:name w:val="副标题 Char"/>
    <w:link w:val="15"/>
    <w:qFormat/>
    <w:uiPriority w:val="11"/>
    <w:rPr>
      <w:rFonts w:ascii="Cambria" w:hAnsi="Cambria" w:cs="Times New Roman"/>
      <w:b/>
      <w:bCs/>
      <w:kern w:val="28"/>
      <w:sz w:val="32"/>
      <w:szCs w:val="32"/>
    </w:rPr>
  </w:style>
  <w:style w:type="character" w:customStyle="1" w:styleId="39">
    <w:name w:val="标题 2 Char"/>
    <w:qFormat/>
    <w:uiPriority w:val="0"/>
    <w:rPr>
      <w:rFonts w:ascii="Arial" w:hAnsi="Arial" w:eastAsia="黑体"/>
      <w:b/>
      <w:bCs/>
      <w:kern w:val="2"/>
      <w:sz w:val="32"/>
      <w:szCs w:val="32"/>
      <w:lang w:val="en-US" w:eastAsia="zh-CN" w:bidi="ar-SA"/>
    </w:rPr>
  </w:style>
  <w:style w:type="character" w:customStyle="1" w:styleId="40">
    <w:name w:val="style171"/>
    <w:uiPriority w:val="0"/>
    <w:rPr>
      <w:sz w:val="21"/>
      <w:szCs w:val="21"/>
    </w:rPr>
  </w:style>
  <w:style w:type="character" w:customStyle="1" w:styleId="41">
    <w:name w:val="普通 (Web) Char Char"/>
    <w:qFormat/>
    <w:locked/>
    <w:uiPriority w:val="0"/>
    <w:rPr>
      <w:rFonts w:ascii="宋体" w:hAnsi="宋体" w:eastAsia="宋体" w:cs="宋体"/>
      <w:sz w:val="24"/>
      <w:szCs w:val="24"/>
      <w:lang w:val="en-US" w:eastAsia="zh-CN" w:bidi="ar-SA"/>
    </w:rPr>
  </w:style>
  <w:style w:type="character" w:customStyle="1" w:styleId="42">
    <w:name w:val="style61"/>
    <w:qFormat/>
    <w:uiPriority w:val="0"/>
    <w:rPr>
      <w:b/>
      <w:bCs/>
      <w:color w:val="3399FF"/>
      <w:sz w:val="24"/>
      <w:szCs w:val="24"/>
    </w:rPr>
  </w:style>
  <w:style w:type="character" w:customStyle="1" w:styleId="43">
    <w:name w:val="f41"/>
    <w:uiPriority w:val="0"/>
    <w:rPr>
      <w:rFonts w:hint="eastAsia" w:ascii="宋体" w:hAnsi="宋体" w:eastAsia="宋体"/>
      <w:sz w:val="18"/>
      <w:szCs w:val="18"/>
    </w:rPr>
  </w:style>
  <w:style w:type="character" w:customStyle="1" w:styleId="44">
    <w:name w:val="标题 3 Char1"/>
    <w:qFormat/>
    <w:uiPriority w:val="0"/>
    <w:rPr>
      <w:rFonts w:eastAsia="宋体"/>
      <w:b/>
      <w:bCs/>
      <w:kern w:val="2"/>
      <w:sz w:val="32"/>
      <w:szCs w:val="32"/>
      <w:lang w:val="en-US" w:eastAsia="zh-CN" w:bidi="ar-SA"/>
    </w:rPr>
  </w:style>
  <w:style w:type="character" w:customStyle="1" w:styleId="45">
    <w:name w:val="style161"/>
    <w:qFormat/>
    <w:uiPriority w:val="0"/>
    <w:rPr>
      <w:sz w:val="24"/>
      <w:szCs w:val="24"/>
    </w:rPr>
  </w:style>
  <w:style w:type="character" w:customStyle="1" w:styleId="46">
    <w:name w:val="f31"/>
    <w:uiPriority w:val="0"/>
    <w:rPr>
      <w:rFonts w:hint="default" w:ascii="ˎ̥" w:hAnsi="ˎ̥"/>
      <w:color w:val="999999"/>
      <w:sz w:val="16"/>
      <w:szCs w:val="16"/>
    </w:rPr>
  </w:style>
  <w:style w:type="paragraph" w:customStyle="1" w:styleId="4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48">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4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50">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5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52">
    <w:name w:val="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53">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4">
    <w:name w:val="f8"/>
    <w:basedOn w:val="1"/>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5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7">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8">
    <w:name w:val="xl10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2">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6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5">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6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7">
    <w:name w:val="xl10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69">
    <w:name w:val="为440"/>
    <w:basedOn w:val="1"/>
    <w:qFormat/>
    <w:uiPriority w:val="0"/>
    <w:pPr>
      <w:adjustRightInd w:val="0"/>
      <w:spacing w:line="360" w:lineRule="atLeast"/>
      <w:jc w:val="left"/>
      <w:textAlignment w:val="baseline"/>
    </w:pPr>
    <w:rPr>
      <w:kern w:val="0"/>
      <w:sz w:val="24"/>
      <w:szCs w:val="20"/>
    </w:rPr>
  </w:style>
  <w:style w:type="paragraph" w:customStyle="1" w:styleId="70">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7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7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73">
    <w:name w:val="f2"/>
    <w:basedOn w:val="1"/>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74">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5">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7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77">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7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79">
    <w:name w:val="xl4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80">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81">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82">
    <w:name w:val="f7"/>
    <w:basedOn w:val="1"/>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83">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85">
    <w:name w:val="xl4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87">
    <w:name w:val="font9"/>
    <w:basedOn w:val="1"/>
    <w:qFormat/>
    <w:uiPriority w:val="0"/>
    <w:pPr>
      <w:widowControl/>
      <w:spacing w:before="100" w:beforeAutospacing="1" w:after="100" w:afterAutospacing="1"/>
      <w:jc w:val="left"/>
    </w:pPr>
    <w:rPr>
      <w:kern w:val="0"/>
      <w:sz w:val="20"/>
      <w:szCs w:val="20"/>
    </w:rPr>
  </w:style>
  <w:style w:type="paragraph" w:customStyle="1" w:styleId="88">
    <w:name w:val="xl110"/>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89">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9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93">
    <w:name w:val="stedit"/>
    <w:basedOn w:val="1"/>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94">
    <w:name w:val="unnamed1"/>
    <w:basedOn w:val="1"/>
    <w:uiPriority w:val="0"/>
    <w:pPr>
      <w:widowControl/>
      <w:spacing w:line="330" w:lineRule="atLeast"/>
      <w:jc w:val="left"/>
    </w:pPr>
    <w:rPr>
      <w:rFonts w:ascii="宋体" w:hAnsi="宋体" w:cs="宋体"/>
      <w:kern w:val="0"/>
      <w:szCs w:val="21"/>
    </w:rPr>
  </w:style>
  <w:style w:type="paragraph" w:customStyle="1" w:styleId="95">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96">
    <w:name w:val="xl3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99">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00">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01">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02">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10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104">
    <w:name w:val="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05">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106">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8">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109">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11">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
    <w:name w:val="fgj02"/>
    <w:basedOn w:val="1"/>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1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szCs w:val="24"/>
    </w:rPr>
  </w:style>
  <w:style w:type="paragraph" w:customStyle="1" w:styleId="114">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5">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6">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7">
    <w:name w:val="table302"/>
    <w:basedOn w:val="1"/>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8">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9">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2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21">
    <w:name w:val="font10"/>
    <w:basedOn w:val="1"/>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122">
    <w:name w:val="font11"/>
    <w:basedOn w:val="1"/>
    <w:uiPriority w:val="0"/>
    <w:pPr>
      <w:widowControl/>
      <w:spacing w:before="100" w:beforeAutospacing="1" w:after="100" w:afterAutospacing="1"/>
      <w:jc w:val="left"/>
    </w:pPr>
    <w:rPr>
      <w:b/>
      <w:bCs/>
      <w:color w:val="FFFFFF"/>
      <w:kern w:val="0"/>
      <w:sz w:val="18"/>
      <w:szCs w:val="18"/>
    </w:rPr>
  </w:style>
  <w:style w:type="paragraph" w:customStyle="1" w:styleId="123">
    <w:name w:val="xl44"/>
    <w:basedOn w:val="1"/>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124">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2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1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2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128">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29">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30">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131">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133">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34">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5">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6">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8">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139">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0">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141">
    <w:name w:val="xl69"/>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2">
    <w:name w:val="xl70"/>
    <w:basedOn w:val="1"/>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43">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44">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5">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46">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7">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8">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9">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50">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5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52">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53">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54">
    <w:name w:val="xl82"/>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5">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156">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9">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160">
    <w:name w:val="xl94"/>
    <w:basedOn w:val="1"/>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1">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162">
    <w:name w:val="xl10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3">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4">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6">
    <w:name w:val="xl93"/>
    <w:basedOn w:val="1"/>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8">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9">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0">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1">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2">
    <w:name w:val="xl10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3">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5">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76">
    <w:name w:val="z-窗体底端1"/>
    <w:basedOn w:val="1"/>
    <w:next w:val="1"/>
    <w:uiPriority w:val="0"/>
    <w:pPr>
      <w:widowControl/>
      <w:pBdr>
        <w:top w:val="single" w:color="auto" w:sz="6" w:space="1"/>
      </w:pBdr>
      <w:jc w:val="center"/>
    </w:pPr>
    <w:rPr>
      <w:rFonts w:ascii="Arial" w:hAnsi="Arial" w:cs="Arial"/>
      <w:vanish/>
      <w:kern w:val="0"/>
      <w:sz w:val="16"/>
      <w:szCs w:val="16"/>
    </w:rPr>
  </w:style>
  <w:style w:type="paragraph" w:customStyle="1" w:styleId="177">
    <w:name w:val="Default"/>
    <w:qFormat/>
    <w:uiPriority w:val="0"/>
    <w:pPr>
      <w:widowControl w:val="0"/>
      <w:autoSpaceDE w:val="0"/>
      <w:autoSpaceDN w:val="0"/>
      <w:adjustRightInd w:val="0"/>
    </w:pPr>
    <w:rPr>
      <w:rFonts w:ascii="Microsoft YaHei" w:hAnsi="Microsoft YaHei" w:eastAsia="宋体" w:cs="Microsoft YaHei"/>
      <w:color w:val="000000"/>
      <w:sz w:val="24"/>
      <w:szCs w:val="24"/>
      <w:lang w:val="en-US" w:eastAsia="zh-CN" w:bidi="ar-SA"/>
    </w:rPr>
  </w:style>
  <w:style w:type="character" w:customStyle="1" w:styleId="178">
    <w:name w:val="文档结构图 Char"/>
    <w:basedOn w:val="20"/>
    <w:link w:val="6"/>
    <w:semiHidden/>
    <w:uiPriority w:val="99"/>
    <w:rPr>
      <w:rFonts w:ascii="宋体"/>
      <w:kern w:val="2"/>
      <w:sz w:val="18"/>
      <w:szCs w:val="18"/>
    </w:rPr>
  </w:style>
  <w:style w:type="paragraph" w:styleId="17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21407;&#27833;\&#21608;&#25253;&#12289;&#26376;&#25253;\&#26368;&#26032;&#28342;&#21058;&#27833;&#21608;&#25253;&#65306;&#23665;&#19996;&#22320;&#28860;&#30707;&#33041;&#27833;&#20215;&#26684;&#36208;&#21183;&#22270;4.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山东地炼石脑油价格走势图</a:t>
            </a:r>
            <a:endParaRPr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50511875670714"/>
          <c:y val="0.0288483151015519"/>
        </c:manualLayout>
      </c:layout>
      <c:overlay val="0"/>
    </c:title>
    <c:autoTitleDeleted val="0"/>
    <c:plotArea>
      <c:layout>
        <c:manualLayout>
          <c:layoutTarget val="inner"/>
          <c:xMode val="edge"/>
          <c:yMode val="edge"/>
          <c:x val="0.0792580101180438"/>
          <c:y val="0.142857210012928"/>
          <c:w val="0.858347386172007"/>
          <c:h val="0.591837324455242"/>
        </c:manualLayout>
      </c:layout>
      <c:lineChart>
        <c:grouping val="standard"/>
        <c:varyColors val="0"/>
        <c:ser>
          <c:idx val="8"/>
          <c:order val="0"/>
          <c:tx>
            <c:strRef>
              <c:f>'[最新溶剂油周报：山东地炼石脑油价格走势图4.13.xls]溶剂油周报-石脑油价格走势图表'!$D$178</c:f>
              <c:strCache>
                <c:ptCount val="1"/>
                <c:pt idx="0">
                  <c:v>鑫泰石化</c:v>
                </c:pt>
              </c:strCache>
            </c:strRef>
          </c:tx>
          <c:spPr>
            <a:ln w="38100" cap="rnd" cmpd="sng" algn="ctr">
              <a:solidFill>
                <a:srgbClr val="000000">
                  <a:alpha val="100000"/>
                </a:srgbClr>
              </a:solidFill>
              <a:prstDash val="solid"/>
              <a:round/>
            </a:ln>
          </c:spPr>
          <c:marker>
            <c:symbol val="none"/>
          </c:marker>
          <c:dLbls>
            <c:delete val="1"/>
          </c:dLbls>
          <c:cat>
            <c:numRef>
              <c:f>'[最新溶剂油周报：山东地炼石脑油价格走势图4.13.xls]溶剂油周报-石脑油价格走势图表'!$A$179:$C$325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numCache>
            </c:numRef>
          </c:cat>
          <c:val>
            <c:numRef>
              <c:f>'[最新溶剂油周报：山东地炼石脑油价格走势图4.13.xls]溶剂油周报-石脑油价格走势图表'!$D$179:$D$325</c:f>
              <c:numCache>
                <c:formatCode>@</c:formatCode>
                <c:ptCount val="147"/>
                <c:pt idx="0">
                  <c:v>5250</c:v>
                </c:pt>
                <c:pt idx="1">
                  <c:v>5250</c:v>
                </c:pt>
                <c:pt idx="2">
                  <c:v>5250</c:v>
                </c:pt>
                <c:pt idx="3">
                  <c:v>5250</c:v>
                </c:pt>
                <c:pt idx="4">
                  <c:v>5250</c:v>
                </c:pt>
                <c:pt idx="5">
                  <c:v>5250</c:v>
                </c:pt>
                <c:pt idx="6">
                  <c:v>5250</c:v>
                </c:pt>
                <c:pt idx="7">
                  <c:v>5250</c:v>
                </c:pt>
                <c:pt idx="8">
                  <c:v>5250</c:v>
                </c:pt>
                <c:pt idx="9">
                  <c:v>5250</c:v>
                </c:pt>
                <c:pt idx="10">
                  <c:v>4980</c:v>
                </c:pt>
                <c:pt idx="11">
                  <c:v>4980</c:v>
                </c:pt>
                <c:pt idx="12">
                  <c:v>4980</c:v>
                </c:pt>
                <c:pt idx="13">
                  <c:v>4800</c:v>
                </c:pt>
                <c:pt idx="14">
                  <c:v>4800</c:v>
                </c:pt>
                <c:pt idx="15">
                  <c:v>4800</c:v>
                </c:pt>
                <c:pt idx="16">
                  <c:v>4800</c:v>
                </c:pt>
                <c:pt idx="17">
                  <c:v>5500</c:v>
                </c:pt>
                <c:pt idx="18">
                  <c:v>5500</c:v>
                </c:pt>
                <c:pt idx="19">
                  <c:v>5500</c:v>
                </c:pt>
                <c:pt idx="20">
                  <c:v>5500</c:v>
                </c:pt>
                <c:pt idx="21">
                  <c:v>5500</c:v>
                </c:pt>
                <c:pt idx="22">
                  <c:v>3700</c:v>
                </c:pt>
                <c:pt idx="23">
                  <c:v>3700</c:v>
                </c:pt>
                <c:pt idx="24">
                  <c:v>3700</c:v>
                </c:pt>
                <c:pt idx="25">
                  <c:v>4200</c:v>
                </c:pt>
                <c:pt idx="26">
                  <c:v>4400</c:v>
                </c:pt>
                <c:pt idx="27">
                  <c:v>4400</c:v>
                </c:pt>
                <c:pt idx="28">
                  <c:v>4000</c:v>
                </c:pt>
                <c:pt idx="29">
                  <c:v>4000</c:v>
                </c:pt>
                <c:pt idx="30">
                  <c:v>4000</c:v>
                </c:pt>
                <c:pt idx="31">
                  <c:v>4000</c:v>
                </c:pt>
                <c:pt idx="32">
                  <c:v>4000</c:v>
                </c:pt>
                <c:pt idx="33">
                  <c:v>4000</c:v>
                </c:pt>
                <c:pt idx="34">
                  <c:v>4000</c:v>
                </c:pt>
                <c:pt idx="35">
                  <c:v>4500</c:v>
                </c:pt>
                <c:pt idx="36">
                  <c:v>4500</c:v>
                </c:pt>
                <c:pt idx="37">
                  <c:v>4500</c:v>
                </c:pt>
                <c:pt idx="38">
                  <c:v>4500</c:v>
                </c:pt>
                <c:pt idx="39">
                  <c:v>4500</c:v>
                </c:pt>
                <c:pt idx="40">
                  <c:v>4100</c:v>
                </c:pt>
                <c:pt idx="41">
                  <c:v>4100</c:v>
                </c:pt>
                <c:pt idx="42">
                  <c:v>4100</c:v>
                </c:pt>
                <c:pt idx="43">
                  <c:v>4100</c:v>
                </c:pt>
                <c:pt idx="44">
                  <c:v>4100</c:v>
                </c:pt>
                <c:pt idx="45">
                  <c:v>4100</c:v>
                </c:pt>
                <c:pt idx="46">
                  <c:v>4100</c:v>
                </c:pt>
                <c:pt idx="47">
                  <c:v>4100</c:v>
                </c:pt>
                <c:pt idx="48">
                  <c:v>4100</c:v>
                </c:pt>
                <c:pt idx="49">
                  <c:v>4100</c:v>
                </c:pt>
                <c:pt idx="50">
                  <c:v>4100</c:v>
                </c:pt>
                <c:pt idx="51">
                  <c:v>4100</c:v>
                </c:pt>
                <c:pt idx="52">
                  <c:v>4100</c:v>
                </c:pt>
                <c:pt idx="53" c:formatCode="General">
                  <c:v>4000</c:v>
                </c:pt>
                <c:pt idx="54" c:formatCode="General">
                  <c:v>4000</c:v>
                </c:pt>
                <c:pt idx="55" c:formatCode="General">
                  <c:v>4100</c:v>
                </c:pt>
                <c:pt idx="56" c:formatCode="General">
                  <c:v>4100</c:v>
                </c:pt>
                <c:pt idx="57" c:formatCode="General">
                  <c:v>4100</c:v>
                </c:pt>
                <c:pt idx="58" c:formatCode="General">
                  <c:v>4100</c:v>
                </c:pt>
                <c:pt idx="59" c:formatCode="General">
                  <c:v>4100</c:v>
                </c:pt>
                <c:pt idx="60" c:formatCode="General">
                  <c:v>4150</c:v>
                </c:pt>
                <c:pt idx="61" c:formatCode="General">
                  <c:v>4150</c:v>
                </c:pt>
                <c:pt idx="62" c:formatCode="General">
                  <c:v>4150</c:v>
                </c:pt>
                <c:pt idx="63" c:formatCode="General">
                  <c:v>4500</c:v>
                </c:pt>
                <c:pt idx="64" c:formatCode="General">
                  <c:v>4500</c:v>
                </c:pt>
                <c:pt idx="65" c:formatCode="General">
                  <c:v>4500</c:v>
                </c:pt>
                <c:pt idx="66" c:formatCode="General">
                  <c:v>4500</c:v>
                </c:pt>
                <c:pt idx="67" c:formatCode="General">
                  <c:v>4500</c:v>
                </c:pt>
                <c:pt idx="68" c:formatCode="General">
                  <c:v>4500</c:v>
                </c:pt>
                <c:pt idx="69" c:formatCode="General">
                  <c:v>4500</c:v>
                </c:pt>
                <c:pt idx="70" c:formatCode="General">
                  <c:v>4500</c:v>
                </c:pt>
                <c:pt idx="71" c:formatCode="General">
                  <c:v>4500</c:v>
                </c:pt>
                <c:pt idx="72" c:formatCode="General">
                  <c:v>4500</c:v>
                </c:pt>
                <c:pt idx="73" c:formatCode="General">
                  <c:v>4500</c:v>
                </c:pt>
                <c:pt idx="74" c:formatCode="General">
                  <c:v>4500</c:v>
                </c:pt>
                <c:pt idx="75" c:formatCode="General">
                  <c:v>4500</c:v>
                </c:pt>
                <c:pt idx="76" c:formatCode="General">
                  <c:v>4500</c:v>
                </c:pt>
                <c:pt idx="77" c:formatCode="General">
                  <c:v>4500</c:v>
                </c:pt>
                <c:pt idx="78" c:formatCode="General">
                  <c:v>4500</c:v>
                </c:pt>
                <c:pt idx="79" c:formatCode="General">
                  <c:v>5000</c:v>
                </c:pt>
                <c:pt idx="80" c:formatCode="General">
                  <c:v>5000</c:v>
                </c:pt>
                <c:pt idx="81" c:formatCode="General">
                  <c:v>5000</c:v>
                </c:pt>
                <c:pt idx="82" c:formatCode="General">
                  <c:v>5000</c:v>
                </c:pt>
                <c:pt idx="83" c:formatCode="General">
                  <c:v>5000</c:v>
                </c:pt>
                <c:pt idx="84" c:formatCode="General">
                  <c:v>5400</c:v>
                </c:pt>
                <c:pt idx="85" c:formatCode="General">
                  <c:v>5400</c:v>
                </c:pt>
                <c:pt idx="86" c:formatCode="General">
                  <c:v>5400</c:v>
                </c:pt>
                <c:pt idx="87" c:formatCode="General">
                  <c:v>5400</c:v>
                </c:pt>
                <c:pt idx="88" c:formatCode="General">
                  <c:v>5400</c:v>
                </c:pt>
                <c:pt idx="89" c:formatCode="General">
                  <c:v>5400</c:v>
                </c:pt>
                <c:pt idx="90" c:formatCode="General">
                  <c:v>5400</c:v>
                </c:pt>
                <c:pt idx="91" c:formatCode="General">
                  <c:v>5400</c:v>
                </c:pt>
                <c:pt idx="92" c:formatCode="General">
                  <c:v>5400</c:v>
                </c:pt>
                <c:pt idx="93" c:formatCode="General">
                  <c:v>5400</c:v>
                </c:pt>
                <c:pt idx="94" c:formatCode="General">
                  <c:v>5400</c:v>
                </c:pt>
                <c:pt idx="95" c:formatCode="General">
                  <c:v>5400</c:v>
                </c:pt>
                <c:pt idx="96" c:formatCode="General">
                  <c:v>4900</c:v>
                </c:pt>
                <c:pt idx="97" c:formatCode="General">
                  <c:v>5000</c:v>
                </c:pt>
                <c:pt idx="98" c:formatCode="General">
                  <c:v>5000</c:v>
                </c:pt>
                <c:pt idx="99" c:formatCode="General">
                  <c:v>5000</c:v>
                </c:pt>
                <c:pt idx="100" c:formatCode="General">
                  <c:v>5000</c:v>
                </c:pt>
                <c:pt idx="103" c:formatCode="General">
                  <c:v>0</c:v>
                </c:pt>
                <c:pt idx="104" c:formatCode="General">
                  <c:v>5000</c:v>
                </c:pt>
                <c:pt idx="105" c:formatCode="General">
                  <c:v>5000</c:v>
                </c:pt>
                <c:pt idx="106" c:formatCode="General">
                  <c:v>5000</c:v>
                </c:pt>
                <c:pt idx="107" c:formatCode="General">
                  <c:v>5000</c:v>
                </c:pt>
                <c:pt idx="108" c:formatCode="General">
                  <c:v>5000</c:v>
                </c:pt>
                <c:pt idx="109" c:formatCode="General">
                  <c:v>5000</c:v>
                </c:pt>
                <c:pt idx="110" c:formatCode="General">
                  <c:v>5000</c:v>
                </c:pt>
                <c:pt idx="111" c:formatCode="General">
                  <c:v>5000</c:v>
                </c:pt>
                <c:pt idx="112" c:formatCode="General">
                  <c:v>5000</c:v>
                </c:pt>
                <c:pt idx="113" c:formatCode="General">
                  <c:v>5000</c:v>
                </c:pt>
                <c:pt idx="114" c:formatCode="General">
                  <c:v>5000</c:v>
                </c:pt>
                <c:pt idx="115" c:formatCode="General">
                  <c:v>6150</c:v>
                </c:pt>
                <c:pt idx="116" c:formatCode="General">
                  <c:v>6100</c:v>
                </c:pt>
                <c:pt idx="117" c:formatCode="General">
                  <c:v>5950</c:v>
                </c:pt>
                <c:pt idx="118" c:formatCode="General">
                  <c:v>6100</c:v>
                </c:pt>
                <c:pt idx="119" c:formatCode="General">
                  <c:v>6150</c:v>
                </c:pt>
                <c:pt idx="120" c:formatCode="General">
                  <c:v>6300</c:v>
                </c:pt>
                <c:pt idx="121" c:formatCode="General">
                  <c:v>6300</c:v>
                </c:pt>
                <c:pt idx="122" c:formatCode="General">
                  <c:v>6300</c:v>
                </c:pt>
                <c:pt idx="123" c:formatCode="General">
                  <c:v>6250</c:v>
                </c:pt>
                <c:pt idx="124" c:formatCode="General">
                  <c:v>6150</c:v>
                </c:pt>
                <c:pt idx="125" c:formatCode="General">
                  <c:v>6300</c:v>
                </c:pt>
                <c:pt idx="126" c:formatCode="General">
                  <c:v>6150</c:v>
                </c:pt>
                <c:pt idx="127" c:formatCode="General">
                  <c:v>6150</c:v>
                </c:pt>
                <c:pt idx="128" c:formatCode="General">
                  <c:v>6150</c:v>
                </c:pt>
                <c:pt idx="129" c:formatCode="General">
                  <c:v>6150</c:v>
                </c:pt>
                <c:pt idx="130" c:formatCode="General">
                  <c:v>6150</c:v>
                </c:pt>
                <c:pt idx="131" c:formatCode="General">
                  <c:v>6350</c:v>
                </c:pt>
                <c:pt idx="132" c:formatCode="General">
                  <c:v>6250</c:v>
                </c:pt>
              </c:numCache>
            </c:numRef>
          </c:val>
          <c:smooth val="0"/>
        </c:ser>
        <c:ser>
          <c:idx val="10"/>
          <c:order val="1"/>
          <c:tx>
            <c:strRef>
              <c:f>'[最新溶剂油周报：山东地炼石脑油价格走势图4.13.xls]溶剂油周报-石脑油价格走势图表'!$E$178</c:f>
              <c:strCache>
                <c:ptCount val="1"/>
                <c:pt idx="0">
                  <c:v>利津石化</c:v>
                </c:pt>
              </c:strCache>
            </c:strRef>
          </c:tx>
          <c:spPr>
            <a:ln w="38100" cap="rnd" cmpd="sng" algn="ctr">
              <a:solidFill>
                <a:srgbClr val="00B050"/>
              </a:solidFill>
              <a:prstDash val="solid"/>
              <a:round/>
            </a:ln>
          </c:spPr>
          <c:marker>
            <c:symbol val="none"/>
          </c:marker>
          <c:dLbls>
            <c:delete val="1"/>
          </c:dLbls>
          <c:cat>
            <c:numRef>
              <c:f>'[最新溶剂油周报：山东地炼石脑油价格走势图4.13.xls]溶剂油周报-石脑油价格走势图表'!$A$179:$C$325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numCache>
            </c:numRef>
          </c:cat>
          <c:val>
            <c:numRef>
              <c:f>'[最新溶剂油周报：山东地炼石脑油价格走势图4.13.xls]溶剂油周报-石脑油价格走势图表'!$E$179:$E$325</c:f>
              <c:numCache>
                <c:formatCode>@</c:formatCode>
                <c:ptCount val="147"/>
                <c:pt idx="0">
                  <c:v>4250</c:v>
                </c:pt>
                <c:pt idx="1">
                  <c:v>4050</c:v>
                </c:pt>
                <c:pt idx="2">
                  <c:v>4300</c:v>
                </c:pt>
                <c:pt idx="3">
                  <c:v>4500</c:v>
                </c:pt>
                <c:pt idx="4">
                  <c:v>4580</c:v>
                </c:pt>
                <c:pt idx="5">
                  <c:v>4580</c:v>
                </c:pt>
                <c:pt idx="6">
                  <c:v>4580</c:v>
                </c:pt>
                <c:pt idx="11">
                  <c:v>4150</c:v>
                </c:pt>
                <c:pt idx="12">
                  <c:v>4100</c:v>
                </c:pt>
                <c:pt idx="13">
                  <c:v>4030</c:v>
                </c:pt>
                <c:pt idx="14">
                  <c:v>3850</c:v>
                </c:pt>
                <c:pt idx="15">
                  <c:v>3550</c:v>
                </c:pt>
                <c:pt idx="16">
                  <c:v>3950</c:v>
                </c:pt>
                <c:pt idx="17">
                  <c:v>3850</c:v>
                </c:pt>
                <c:pt idx="18">
                  <c:v>3650</c:v>
                </c:pt>
                <c:pt idx="19">
                  <c:v>2800</c:v>
                </c:pt>
                <c:pt idx="20">
                  <c:v>2300</c:v>
                </c:pt>
                <c:pt idx="21">
                  <c:v>2800</c:v>
                </c:pt>
                <c:pt idx="22">
                  <c:v>2650</c:v>
                </c:pt>
                <c:pt idx="23">
                  <c:v>2650</c:v>
                </c:pt>
                <c:pt idx="24">
                  <c:v>2900</c:v>
                </c:pt>
                <c:pt idx="25">
                  <c:v>3300</c:v>
                </c:pt>
                <c:pt idx="26">
                  <c:v>3200</c:v>
                </c:pt>
                <c:pt idx="27">
                  <c:v>3400</c:v>
                </c:pt>
                <c:pt idx="28">
                  <c:v>3350</c:v>
                </c:pt>
                <c:pt idx="29">
                  <c:v>3000</c:v>
                </c:pt>
                <c:pt idx="30">
                  <c:v>3250</c:v>
                </c:pt>
                <c:pt idx="31">
                  <c:v>3250</c:v>
                </c:pt>
                <c:pt idx="32">
                  <c:v>3380</c:v>
                </c:pt>
                <c:pt idx="33">
                  <c:v>3430</c:v>
                </c:pt>
                <c:pt idx="34">
                  <c:v>3430</c:v>
                </c:pt>
                <c:pt idx="35">
                  <c:v>3480</c:v>
                </c:pt>
                <c:pt idx="36">
                  <c:v>3480</c:v>
                </c:pt>
                <c:pt idx="37">
                  <c:v>3380</c:v>
                </c:pt>
                <c:pt idx="38">
                  <c:v>3300</c:v>
                </c:pt>
                <c:pt idx="39">
                  <c:v>3050</c:v>
                </c:pt>
                <c:pt idx="40">
                  <c:v>3050</c:v>
                </c:pt>
                <c:pt idx="41">
                  <c:v>3050</c:v>
                </c:pt>
                <c:pt idx="42">
                  <c:v>3050</c:v>
                </c:pt>
                <c:pt idx="43">
                  <c:v>3050</c:v>
                </c:pt>
                <c:pt idx="44">
                  <c:v>3050</c:v>
                </c:pt>
                <c:pt idx="45">
                  <c:v>3050</c:v>
                </c:pt>
                <c:pt idx="46">
                  <c:v>3050</c:v>
                </c:pt>
                <c:pt idx="47">
                  <c:v>3050</c:v>
                </c:pt>
                <c:pt idx="48">
                  <c:v>3050</c:v>
                </c:pt>
                <c:pt idx="49">
                  <c:v>3050</c:v>
                </c:pt>
                <c:pt idx="50">
                  <c:v>3050</c:v>
                </c:pt>
                <c:pt idx="51" c:formatCode="General">
                  <c:v>3450</c:v>
                </c:pt>
                <c:pt idx="52" c:formatCode="General">
                  <c:v>3450</c:v>
                </c:pt>
                <c:pt idx="53" c:formatCode="General">
                  <c:v>3450</c:v>
                </c:pt>
                <c:pt idx="54" c:formatCode="General">
                  <c:v>3450</c:v>
                </c:pt>
                <c:pt idx="55" c:formatCode="General">
                  <c:v>3800</c:v>
                </c:pt>
                <c:pt idx="56" c:formatCode="General">
                  <c:v>4000</c:v>
                </c:pt>
                <c:pt idx="57" c:formatCode="General">
                  <c:v>3900</c:v>
                </c:pt>
                <c:pt idx="58" c:formatCode="General">
                  <c:v>3650</c:v>
                </c:pt>
                <c:pt idx="59" c:formatCode="General">
                  <c:v>3900</c:v>
                </c:pt>
                <c:pt idx="60" c:formatCode="General">
                  <c:v>4000</c:v>
                </c:pt>
                <c:pt idx="61" c:formatCode="General">
                  <c:v>4050</c:v>
                </c:pt>
                <c:pt idx="62" c:formatCode="General">
                  <c:v>4000</c:v>
                </c:pt>
                <c:pt idx="63" c:formatCode="General">
                  <c:v>4150</c:v>
                </c:pt>
                <c:pt idx="64" c:formatCode="General">
                  <c:v>4450</c:v>
                </c:pt>
                <c:pt idx="65" c:formatCode="General">
                  <c:v>4350</c:v>
                </c:pt>
                <c:pt idx="66" c:formatCode="General">
                  <c:v>4000</c:v>
                </c:pt>
                <c:pt idx="67" c:formatCode="General">
                  <c:v>4150</c:v>
                </c:pt>
                <c:pt idx="68" c:formatCode="General">
                  <c:v>4200</c:v>
                </c:pt>
                <c:pt idx="69" c:formatCode="General">
                  <c:v>4250</c:v>
                </c:pt>
                <c:pt idx="70" c:formatCode="General">
                  <c:v>4250</c:v>
                </c:pt>
                <c:pt idx="71" c:formatCode="General">
                  <c:v>4200</c:v>
                </c:pt>
                <c:pt idx="72" c:formatCode="General">
                  <c:v>4500</c:v>
                </c:pt>
                <c:pt idx="73" c:formatCode="General">
                  <c:v>4450</c:v>
                </c:pt>
                <c:pt idx="74" c:formatCode="General">
                  <c:v>4250</c:v>
                </c:pt>
                <c:pt idx="75" c:formatCode="General">
                  <c:v>4100</c:v>
                </c:pt>
                <c:pt idx="76" c:formatCode="General">
                  <c:v>4250</c:v>
                </c:pt>
                <c:pt idx="77" c:formatCode="General">
                  <c:v>4150</c:v>
                </c:pt>
                <c:pt idx="78" c:formatCode="General">
                  <c:v>4100</c:v>
                </c:pt>
                <c:pt idx="79" c:formatCode="General">
                  <c:v>4400</c:v>
                </c:pt>
                <c:pt idx="80" c:formatCode="General">
                  <c:v>4200</c:v>
                </c:pt>
                <c:pt idx="81" c:formatCode="General">
                  <c:v>4230</c:v>
                </c:pt>
                <c:pt idx="82" c:formatCode="General">
                  <c:v>4230</c:v>
                </c:pt>
                <c:pt idx="83" c:formatCode="General">
                  <c:v>4230</c:v>
                </c:pt>
                <c:pt idx="84" c:formatCode="General">
                  <c:v>4230</c:v>
                </c:pt>
                <c:pt idx="85" c:formatCode="General">
                  <c:v>4230</c:v>
                </c:pt>
                <c:pt idx="86" c:formatCode="General">
                  <c:v>4230</c:v>
                </c:pt>
                <c:pt idx="87" c:formatCode="General">
                  <c:v>4230</c:v>
                </c:pt>
                <c:pt idx="88" c:formatCode="General">
                  <c:v>0</c:v>
                </c:pt>
                <c:pt idx="89" c:formatCode="General">
                  <c:v>0</c:v>
                </c:pt>
                <c:pt idx="90" c:formatCode="General">
                  <c:v>0</c:v>
                </c:pt>
                <c:pt idx="91" c:formatCode="General">
                  <c:v>0</c:v>
                </c:pt>
                <c:pt idx="92" c:formatCode="General">
                  <c:v>0</c:v>
                </c:pt>
                <c:pt idx="93" c:formatCode="General">
                  <c:v>0</c:v>
                </c:pt>
                <c:pt idx="94" c:formatCode="General">
                  <c:v>0</c:v>
                </c:pt>
                <c:pt idx="95" c:formatCode="General">
                  <c:v>0</c:v>
                </c:pt>
                <c:pt idx="96" c:formatCode="General">
                  <c:v>0</c:v>
                </c:pt>
                <c:pt idx="97" c:formatCode="General">
                  <c:v>0</c:v>
                </c:pt>
                <c:pt idx="98" c:formatCode="General">
                  <c:v>0</c:v>
                </c:pt>
                <c:pt idx="99" c:formatCode="General">
                  <c:v>0</c:v>
                </c:pt>
                <c:pt idx="100" c:formatCode="General">
                  <c:v>0</c:v>
                </c:pt>
                <c:pt idx="103" c:formatCode="General">
                  <c:v>0</c:v>
                </c:pt>
                <c:pt idx="104" c:formatCode="General">
                  <c:v>0</c:v>
                </c:pt>
                <c:pt idx="105" c:formatCode="General">
                  <c:v>0</c:v>
                </c:pt>
                <c:pt idx="106" c:formatCode="General">
                  <c:v>0</c:v>
                </c:pt>
                <c:pt idx="107" c:formatCode="General">
                  <c:v>0</c:v>
                </c:pt>
                <c:pt idx="108" c:formatCode="General">
                  <c:v>0</c:v>
                </c:pt>
                <c:pt idx="109" c:formatCode="General">
                  <c:v>0</c:v>
                </c:pt>
                <c:pt idx="110" c:formatCode="General">
                  <c:v>0</c:v>
                </c:pt>
                <c:pt idx="111" c:formatCode="General">
                  <c:v>0</c:v>
                </c:pt>
                <c:pt idx="112" c:formatCode="General">
                  <c:v>0</c:v>
                </c:pt>
                <c:pt idx="113" c:formatCode="General">
                  <c:v>0</c:v>
                </c:pt>
                <c:pt idx="114" c:formatCode="General">
                  <c:v>0</c:v>
                </c:pt>
                <c:pt idx="115" c:formatCode="General">
                  <c:v>0</c:v>
                </c:pt>
                <c:pt idx="116" c:formatCode="General">
                  <c:v>0</c:v>
                </c:pt>
                <c:pt idx="117" c:formatCode="General">
                  <c:v>0</c:v>
                </c:pt>
                <c:pt idx="118" c:formatCode="General">
                  <c:v>0</c:v>
                </c:pt>
                <c:pt idx="119" c:formatCode="General">
                  <c:v>0</c:v>
                </c:pt>
                <c:pt idx="120" c:formatCode="General">
                  <c:v>0</c:v>
                </c:pt>
                <c:pt idx="121" c:formatCode="General">
                  <c:v>0</c:v>
                </c:pt>
                <c:pt idx="122" c:formatCode="General">
                  <c:v>0</c:v>
                </c:pt>
                <c:pt idx="123" c:formatCode="General">
                  <c:v>0</c:v>
                </c:pt>
                <c:pt idx="124" c:formatCode="General">
                  <c:v>0</c:v>
                </c:pt>
                <c:pt idx="125" c:formatCode="General">
                  <c:v>0</c:v>
                </c:pt>
                <c:pt idx="126" c:formatCode="General">
                  <c:v>0</c:v>
                </c:pt>
                <c:pt idx="127" c:formatCode="General">
                  <c:v>0</c:v>
                </c:pt>
                <c:pt idx="128" c:formatCode="General">
                  <c:v>0</c:v>
                </c:pt>
                <c:pt idx="129" c:formatCode="General">
                  <c:v>0</c:v>
                </c:pt>
                <c:pt idx="130" c:formatCode="General">
                  <c:v>0</c:v>
                </c:pt>
                <c:pt idx="131" c:formatCode="General">
                  <c:v>0</c:v>
                </c:pt>
                <c:pt idx="132" c:formatCode="General">
                  <c:v>0</c:v>
                </c:pt>
              </c:numCache>
            </c:numRef>
          </c:val>
          <c:smooth val="0"/>
        </c:ser>
        <c:ser>
          <c:idx val="1"/>
          <c:order val="2"/>
          <c:tx>
            <c:strRef>
              <c:f>'[最新溶剂油周报：山东地炼石脑油价格走势图4.13.xls]溶剂油周报-石脑油价格走势图表'!$F$178</c:f>
              <c:strCache>
                <c:ptCount val="1"/>
                <c:pt idx="0">
                  <c:v>安邦石化</c:v>
                </c:pt>
              </c:strCache>
            </c:strRef>
          </c:tx>
          <c:spPr>
            <a:ln w="38100" cap="rnd" cmpd="sng" algn="ctr">
              <a:solidFill>
                <a:srgbClr val="FF00FF">
                  <a:alpha val="100000"/>
                </a:srgbClr>
              </a:solidFill>
              <a:prstDash val="solid"/>
              <a:round/>
            </a:ln>
          </c:spPr>
          <c:marker>
            <c:symbol val="none"/>
          </c:marker>
          <c:dLbls>
            <c:delete val="1"/>
          </c:dLbls>
          <c:cat>
            <c:numRef>
              <c:f>'[最新溶剂油周报：山东地炼石脑油价格走势图4.13.xls]溶剂油周报-石脑油价格走势图表'!$A$179:$C$325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numCache>
            </c:numRef>
          </c:cat>
          <c:val>
            <c:numRef>
              <c:f>'[最新溶剂油周报：山东地炼石脑油价格走势图4.13.xls]溶剂油周报-石脑油价格走势图表'!$F$179:$F$325</c:f>
              <c:numCache>
                <c:formatCode>@</c:formatCode>
                <c:ptCount val="147"/>
                <c:pt idx="0">
                  <c:v>4570</c:v>
                </c:pt>
                <c:pt idx="1">
                  <c:v>4570</c:v>
                </c:pt>
                <c:pt idx="2">
                  <c:v>4650</c:v>
                </c:pt>
                <c:pt idx="3">
                  <c:v>4700</c:v>
                </c:pt>
                <c:pt idx="4">
                  <c:v>4700</c:v>
                </c:pt>
                <c:pt idx="5">
                  <c:v>4700</c:v>
                </c:pt>
                <c:pt idx="6">
                  <c:v>4700</c:v>
                </c:pt>
                <c:pt idx="7">
                  <c:v>4530</c:v>
                </c:pt>
                <c:pt idx="8">
                  <c:v>4530</c:v>
                </c:pt>
                <c:pt idx="9">
                  <c:v>4530</c:v>
                </c:pt>
                <c:pt idx="10">
                  <c:v>4530</c:v>
                </c:pt>
                <c:pt idx="11">
                  <c:v>4530</c:v>
                </c:pt>
                <c:pt idx="12">
                  <c:v>4200</c:v>
                </c:pt>
                <c:pt idx="13">
                  <c:v>4200</c:v>
                </c:pt>
                <c:pt idx="14">
                  <c:v>4000</c:v>
                </c:pt>
                <c:pt idx="15">
                  <c:v>3900</c:v>
                </c:pt>
                <c:pt idx="16">
                  <c:v>3900</c:v>
                </c:pt>
                <c:pt idx="17">
                  <c:v>3800</c:v>
                </c:pt>
                <c:pt idx="18">
                  <c:v>3800</c:v>
                </c:pt>
                <c:pt idx="19">
                  <c:v>3500</c:v>
                </c:pt>
                <c:pt idx="20">
                  <c:v>3500</c:v>
                </c:pt>
                <c:pt idx="21">
                  <c:v>3500</c:v>
                </c:pt>
                <c:pt idx="22">
                  <c:v>3500</c:v>
                </c:pt>
                <c:pt idx="23">
                  <c:v>2800</c:v>
                </c:pt>
                <c:pt idx="24">
                  <c:v>3100</c:v>
                </c:pt>
                <c:pt idx="25">
                  <c:v>3600</c:v>
                </c:pt>
                <c:pt idx="26">
                  <c:v>3600</c:v>
                </c:pt>
                <c:pt idx="27">
                  <c:v>3500</c:v>
                </c:pt>
                <c:pt idx="28">
                  <c:v>3500</c:v>
                </c:pt>
                <c:pt idx="29">
                  <c:v>3250</c:v>
                </c:pt>
                <c:pt idx="30">
                  <c:v>3250</c:v>
                </c:pt>
                <c:pt idx="31">
                  <c:v>3200</c:v>
                </c:pt>
                <c:pt idx="32">
                  <c:v>3200</c:v>
                </c:pt>
                <c:pt idx="33">
                  <c:v>3350</c:v>
                </c:pt>
                <c:pt idx="34">
                  <c:v>3530</c:v>
                </c:pt>
                <c:pt idx="35">
                  <c:v>3530</c:v>
                </c:pt>
                <c:pt idx="36">
                  <c:v>3530</c:v>
                </c:pt>
                <c:pt idx="37">
                  <c:v>3400</c:v>
                </c:pt>
                <c:pt idx="38">
                  <c:v>3300</c:v>
                </c:pt>
                <c:pt idx="39">
                  <c:v>3300</c:v>
                </c:pt>
                <c:pt idx="40">
                  <c:v>3400</c:v>
                </c:pt>
                <c:pt idx="41">
                  <c:v>3300</c:v>
                </c:pt>
                <c:pt idx="42">
                  <c:v>3300</c:v>
                </c:pt>
                <c:pt idx="43">
                  <c:v>3300</c:v>
                </c:pt>
                <c:pt idx="44">
                  <c:v>3300</c:v>
                </c:pt>
                <c:pt idx="45">
                  <c:v>3300</c:v>
                </c:pt>
                <c:pt idx="46">
                  <c:v>3300</c:v>
                </c:pt>
                <c:pt idx="47" c:formatCode="General">
                  <c:v>3200</c:v>
                </c:pt>
                <c:pt idx="48" c:formatCode="General">
                  <c:v>3550</c:v>
                </c:pt>
                <c:pt idx="49" c:formatCode="General">
                  <c:v>3600</c:v>
                </c:pt>
                <c:pt idx="50" c:formatCode="General">
                  <c:v>3600</c:v>
                </c:pt>
                <c:pt idx="51" c:formatCode="General">
                  <c:v>3350</c:v>
                </c:pt>
                <c:pt idx="52" c:formatCode="General">
                  <c:v>3550</c:v>
                </c:pt>
                <c:pt idx="53" c:formatCode="General">
                  <c:v>3500</c:v>
                </c:pt>
                <c:pt idx="54" c:formatCode="General">
                  <c:v>3500</c:v>
                </c:pt>
                <c:pt idx="55" c:formatCode="General">
                  <c:v>3800</c:v>
                </c:pt>
                <c:pt idx="56" c:formatCode="General">
                  <c:v>4000</c:v>
                </c:pt>
                <c:pt idx="57" c:formatCode="General">
                  <c:v>4000</c:v>
                </c:pt>
                <c:pt idx="58" c:formatCode="General">
                  <c:v>3900</c:v>
                </c:pt>
                <c:pt idx="59" c:formatCode="General">
                  <c:v>3800</c:v>
                </c:pt>
                <c:pt idx="60" c:formatCode="General">
                  <c:v>3950</c:v>
                </c:pt>
                <c:pt idx="61" c:formatCode="General">
                  <c:v>4000</c:v>
                </c:pt>
                <c:pt idx="62" c:formatCode="General">
                  <c:v>4000</c:v>
                </c:pt>
                <c:pt idx="63" c:formatCode="General">
                  <c:v>4150</c:v>
                </c:pt>
                <c:pt idx="64" c:formatCode="General">
                  <c:v>4500</c:v>
                </c:pt>
                <c:pt idx="65" c:formatCode="General">
                  <c:v>4500</c:v>
                </c:pt>
                <c:pt idx="66" c:formatCode="General">
                  <c:v>4300</c:v>
                </c:pt>
                <c:pt idx="67" c:formatCode="General">
                  <c:v>4300</c:v>
                </c:pt>
                <c:pt idx="68" c:formatCode="General">
                  <c:v>4400</c:v>
                </c:pt>
                <c:pt idx="69" c:formatCode="General">
                  <c:v>4400</c:v>
                </c:pt>
                <c:pt idx="70" c:formatCode="General">
                  <c:v>4400</c:v>
                </c:pt>
                <c:pt idx="71" c:formatCode="General">
                  <c:v>4400</c:v>
                </c:pt>
                <c:pt idx="72" c:formatCode="General">
                  <c:v>4750</c:v>
                </c:pt>
                <c:pt idx="73" c:formatCode="General">
                  <c:v>4800</c:v>
                </c:pt>
                <c:pt idx="74" c:formatCode="General">
                  <c:v>4720</c:v>
                </c:pt>
                <c:pt idx="75" c:formatCode="General">
                  <c:v>4500</c:v>
                </c:pt>
                <c:pt idx="76" c:formatCode="General">
                  <c:v>4600</c:v>
                </c:pt>
                <c:pt idx="77" c:formatCode="General">
                  <c:v>4600</c:v>
                </c:pt>
                <c:pt idx="78" c:formatCode="General">
                  <c:v>4600</c:v>
                </c:pt>
                <c:pt idx="79" c:formatCode="General">
                  <c:v>4650</c:v>
                </c:pt>
                <c:pt idx="80" c:formatCode="General">
                  <c:v>4650</c:v>
                </c:pt>
                <c:pt idx="81" c:formatCode="General">
                  <c:v>4500</c:v>
                </c:pt>
                <c:pt idx="82" c:formatCode="General">
                  <c:v>4500</c:v>
                </c:pt>
                <c:pt idx="83" c:formatCode="General">
                  <c:v>4500</c:v>
                </c:pt>
                <c:pt idx="84" c:formatCode="General">
                  <c:v>4700</c:v>
                </c:pt>
                <c:pt idx="85" c:formatCode="General">
                  <c:v>4750</c:v>
                </c:pt>
                <c:pt idx="86" c:formatCode="General">
                  <c:v>4750</c:v>
                </c:pt>
                <c:pt idx="87" c:formatCode="General">
                  <c:v>4750</c:v>
                </c:pt>
                <c:pt idx="88" c:formatCode="General">
                  <c:v>4850</c:v>
                </c:pt>
                <c:pt idx="89" c:formatCode="General">
                  <c:v>4750</c:v>
                </c:pt>
                <c:pt idx="90" c:formatCode="General">
                  <c:v>4550</c:v>
                </c:pt>
                <c:pt idx="91" c:formatCode="General">
                  <c:v>4600</c:v>
                </c:pt>
                <c:pt idx="92" c:formatCode="General">
                  <c:v>4500</c:v>
                </c:pt>
                <c:pt idx="93" c:formatCode="General">
                  <c:v>4500</c:v>
                </c:pt>
                <c:pt idx="94" c:formatCode="General">
                  <c:v>4600</c:v>
                </c:pt>
                <c:pt idx="95" c:formatCode="General">
                  <c:v>4600</c:v>
                </c:pt>
                <c:pt idx="96" c:formatCode="General">
                  <c:v>4550</c:v>
                </c:pt>
                <c:pt idx="97" c:formatCode="General">
                  <c:v>4660</c:v>
                </c:pt>
                <c:pt idx="98" c:formatCode="General">
                  <c:v>4730</c:v>
                </c:pt>
                <c:pt idx="99" c:formatCode="General">
                  <c:v>4780</c:v>
                </c:pt>
                <c:pt idx="100" c:formatCode="General">
                  <c:v>4840</c:v>
                </c:pt>
                <c:pt idx="103" c:formatCode="General">
                  <c:v>0</c:v>
                </c:pt>
                <c:pt idx="104" c:formatCode="General">
                  <c:v>4900</c:v>
                </c:pt>
                <c:pt idx="105" c:formatCode="General">
                  <c:v>4980</c:v>
                </c:pt>
                <c:pt idx="106" c:formatCode="General">
                  <c:v>5050</c:v>
                </c:pt>
                <c:pt idx="107" c:formatCode="General">
                  <c:v>5160</c:v>
                </c:pt>
                <c:pt idx="108" c:formatCode="General">
                  <c:v>5240</c:v>
                </c:pt>
                <c:pt idx="109" c:formatCode="General">
                  <c:v>5300</c:v>
                </c:pt>
                <c:pt idx="110" c:formatCode="General">
                  <c:v>5530</c:v>
                </c:pt>
                <c:pt idx="111" c:formatCode="General">
                  <c:v>6200</c:v>
                </c:pt>
                <c:pt idx="112" c:formatCode="General">
                  <c:v>6050</c:v>
                </c:pt>
                <c:pt idx="113" c:formatCode="General">
                  <c:v>6150</c:v>
                </c:pt>
                <c:pt idx="114" c:formatCode="General">
                  <c:v>6180</c:v>
                </c:pt>
                <c:pt idx="115" c:formatCode="General">
                  <c:v>6180</c:v>
                </c:pt>
                <c:pt idx="116" c:formatCode="General">
                  <c:v>5900</c:v>
                </c:pt>
                <c:pt idx="117" c:formatCode="General">
                  <c:v>5830</c:v>
                </c:pt>
                <c:pt idx="118" c:formatCode="General">
                  <c:v>6000</c:v>
                </c:pt>
                <c:pt idx="119" c:formatCode="General">
                  <c:v>5960</c:v>
                </c:pt>
                <c:pt idx="120" c:formatCode="General">
                  <c:v>6400</c:v>
                </c:pt>
                <c:pt idx="121" c:formatCode="General">
                  <c:v>6250</c:v>
                </c:pt>
                <c:pt idx="122" c:formatCode="General">
                  <c:v>6200</c:v>
                </c:pt>
                <c:pt idx="123" c:formatCode="General">
                  <c:v>5990</c:v>
                </c:pt>
                <c:pt idx="124" c:formatCode="General">
                  <c:v>5840</c:v>
                </c:pt>
                <c:pt idx="125" c:formatCode="General">
                  <c:v>5950</c:v>
                </c:pt>
                <c:pt idx="126" c:formatCode="General">
                  <c:v>5950</c:v>
                </c:pt>
                <c:pt idx="127" c:formatCode="General">
                  <c:v>5900</c:v>
                </c:pt>
                <c:pt idx="128" c:formatCode="General">
                  <c:v>5920</c:v>
                </c:pt>
                <c:pt idx="129" c:formatCode="General">
                  <c:v>6000</c:v>
                </c:pt>
                <c:pt idx="130" c:formatCode="General">
                  <c:v>6080</c:v>
                </c:pt>
                <c:pt idx="131" c:formatCode="General">
                  <c:v>6130</c:v>
                </c:pt>
                <c:pt idx="132" c:formatCode="General">
                  <c:v>6150</c:v>
                </c:pt>
              </c:numCache>
            </c:numRef>
          </c:val>
          <c:smooth val="0"/>
        </c:ser>
        <c:ser>
          <c:idx val="5"/>
          <c:order val="3"/>
          <c:tx>
            <c:strRef>
              <c:f>'[最新溶剂油周报：山东地炼石脑油价格走势图4.13.xls]溶剂油周报-石脑油价格走势图表'!$G$178</c:f>
              <c:strCache>
                <c:ptCount val="1"/>
                <c:pt idx="0">
                  <c:v>富海石化</c:v>
                </c:pt>
              </c:strCache>
            </c:strRef>
          </c:tx>
          <c:spPr>
            <a:ln w="38100" cap="rnd" cmpd="sng" algn="ctr">
              <a:solidFill>
                <a:srgbClr val="800000">
                  <a:alpha val="100000"/>
                </a:srgbClr>
              </a:solidFill>
              <a:prstDash val="solid"/>
              <a:round/>
            </a:ln>
          </c:spPr>
          <c:marker>
            <c:symbol val="none"/>
          </c:marker>
          <c:dLbls>
            <c:delete val="1"/>
          </c:dLbls>
          <c:cat>
            <c:numRef>
              <c:f>'[最新溶剂油周报：山东地炼石脑油价格走势图4.13.xls]溶剂油周报-石脑油价格走势图表'!$A$179:$C$325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numCache>
            </c:numRef>
          </c:cat>
          <c:val>
            <c:numRef>
              <c:f>'[最新溶剂油周报：山东地炼石脑油价格走势图4.13.xls]溶剂油周报-石脑油价格走势图表'!$G$179:$G$325</c:f>
              <c:numCache>
                <c:formatCode>@</c:formatCode>
                <c:ptCount val="147"/>
                <c:pt idx="0">
                  <c:v>4600</c:v>
                </c:pt>
                <c:pt idx="1">
                  <c:v>4600</c:v>
                </c:pt>
                <c:pt idx="2">
                  <c:v>4600</c:v>
                </c:pt>
                <c:pt idx="3">
                  <c:v>4600</c:v>
                </c:pt>
                <c:pt idx="4">
                  <c:v>4600</c:v>
                </c:pt>
                <c:pt idx="5">
                  <c:v>4600</c:v>
                </c:pt>
                <c:pt idx="6">
                  <c:v>4550</c:v>
                </c:pt>
                <c:pt idx="7">
                  <c:v>4550</c:v>
                </c:pt>
                <c:pt idx="8">
                  <c:v>4550</c:v>
                </c:pt>
                <c:pt idx="9">
                  <c:v>4650</c:v>
                </c:pt>
                <c:pt idx="10">
                  <c:v>4600</c:v>
                </c:pt>
                <c:pt idx="11">
                  <c:v>4370</c:v>
                </c:pt>
                <c:pt idx="12">
                  <c:v>4370</c:v>
                </c:pt>
                <c:pt idx="13">
                  <c:v>4220</c:v>
                </c:pt>
                <c:pt idx="14">
                  <c:v>3900</c:v>
                </c:pt>
                <c:pt idx="15">
                  <c:v>3800</c:v>
                </c:pt>
                <c:pt idx="16">
                  <c:v>3900</c:v>
                </c:pt>
                <c:pt idx="17">
                  <c:v>3930</c:v>
                </c:pt>
                <c:pt idx="18">
                  <c:v>3800</c:v>
                </c:pt>
                <c:pt idx="19">
                  <c:v>3300</c:v>
                </c:pt>
                <c:pt idx="20">
                  <c:v>3250</c:v>
                </c:pt>
                <c:pt idx="21">
                  <c:v>3200</c:v>
                </c:pt>
                <c:pt idx="22">
                  <c:v>3068</c:v>
                </c:pt>
                <c:pt idx="23">
                  <c:v>3068</c:v>
                </c:pt>
                <c:pt idx="24">
                  <c:v>3068</c:v>
                </c:pt>
                <c:pt idx="25">
                  <c:v>3870</c:v>
                </c:pt>
                <c:pt idx="26">
                  <c:v>3700</c:v>
                </c:pt>
                <c:pt idx="27">
                  <c:v>3700</c:v>
                </c:pt>
                <c:pt idx="28">
                  <c:v>3700</c:v>
                </c:pt>
                <c:pt idx="29">
                  <c:v>3700</c:v>
                </c:pt>
                <c:pt idx="30">
                  <c:v>3500</c:v>
                </c:pt>
                <c:pt idx="31">
                  <c:v>3550</c:v>
                </c:pt>
                <c:pt idx="32">
                  <c:v>3600</c:v>
                </c:pt>
                <c:pt idx="33">
                  <c:v>3600</c:v>
                </c:pt>
                <c:pt idx="34">
                  <c:v>3480</c:v>
                </c:pt>
                <c:pt idx="35">
                  <c:v>3520</c:v>
                </c:pt>
                <c:pt idx="36">
                  <c:v>3520</c:v>
                </c:pt>
                <c:pt idx="37">
                  <c:v>3520</c:v>
                </c:pt>
                <c:pt idx="38">
                  <c:v>3350</c:v>
                </c:pt>
                <c:pt idx="39">
                  <c:v>3350</c:v>
                </c:pt>
                <c:pt idx="40">
                  <c:v>3230</c:v>
                </c:pt>
                <c:pt idx="41">
                  <c:v>3230</c:v>
                </c:pt>
                <c:pt idx="42">
                  <c:v>3230</c:v>
                </c:pt>
                <c:pt idx="43">
                  <c:v>3230</c:v>
                </c:pt>
                <c:pt idx="44">
                  <c:v>3230</c:v>
                </c:pt>
                <c:pt idx="45">
                  <c:v>3230</c:v>
                </c:pt>
                <c:pt idx="46">
                  <c:v>3230</c:v>
                </c:pt>
                <c:pt idx="47">
                  <c:v>3230</c:v>
                </c:pt>
                <c:pt idx="48" c:formatCode="General">
                  <c:v>3430</c:v>
                </c:pt>
                <c:pt idx="49" c:formatCode="General">
                  <c:v>3460</c:v>
                </c:pt>
                <c:pt idx="50" c:formatCode="General">
                  <c:v>3350</c:v>
                </c:pt>
                <c:pt idx="51" c:formatCode="General">
                  <c:v>3520</c:v>
                </c:pt>
                <c:pt idx="52" c:formatCode="General">
                  <c:v>3520</c:v>
                </c:pt>
                <c:pt idx="53" c:formatCode="General">
                  <c:v>3500</c:v>
                </c:pt>
                <c:pt idx="54" c:formatCode="General">
                  <c:v>3500</c:v>
                </c:pt>
                <c:pt idx="55" c:formatCode="General">
                  <c:v>3850</c:v>
                </c:pt>
                <c:pt idx="56" c:formatCode="General">
                  <c:v>4080</c:v>
                </c:pt>
                <c:pt idx="57" c:formatCode="General">
                  <c:v>3930</c:v>
                </c:pt>
                <c:pt idx="58" c:formatCode="General">
                  <c:v>3900</c:v>
                </c:pt>
                <c:pt idx="59" c:formatCode="General">
                  <c:v>3750</c:v>
                </c:pt>
                <c:pt idx="60" c:formatCode="General">
                  <c:v>3900</c:v>
                </c:pt>
                <c:pt idx="61" c:formatCode="General">
                  <c:v>3930</c:v>
                </c:pt>
                <c:pt idx="62" c:formatCode="General">
                  <c:v>3900</c:v>
                </c:pt>
                <c:pt idx="63" c:formatCode="General">
                  <c:v>4100</c:v>
                </c:pt>
                <c:pt idx="64" c:formatCode="General">
                  <c:v>4500</c:v>
                </c:pt>
                <c:pt idx="65" c:formatCode="General">
                  <c:v>4500</c:v>
                </c:pt>
                <c:pt idx="66" c:formatCode="General">
                  <c:v>4250</c:v>
                </c:pt>
                <c:pt idx="67" c:formatCode="General">
                  <c:v>4180</c:v>
                </c:pt>
                <c:pt idx="68" c:formatCode="General">
                  <c:v>4260</c:v>
                </c:pt>
                <c:pt idx="69" c:formatCode="General">
                  <c:v>4280</c:v>
                </c:pt>
                <c:pt idx="70" c:formatCode="General">
                  <c:v>4280</c:v>
                </c:pt>
                <c:pt idx="71" c:formatCode="General">
                  <c:v>4300</c:v>
                </c:pt>
                <c:pt idx="72" c:formatCode="General">
                  <c:v>4520</c:v>
                </c:pt>
                <c:pt idx="73" c:formatCode="General">
                  <c:v>4520</c:v>
                </c:pt>
                <c:pt idx="74" c:formatCode="General">
                  <c:v>4370</c:v>
                </c:pt>
                <c:pt idx="75" c:formatCode="General">
                  <c:v>4150</c:v>
                </c:pt>
                <c:pt idx="76" c:formatCode="General">
                  <c:v>4330</c:v>
                </c:pt>
                <c:pt idx="77" c:formatCode="General">
                  <c:v>4280</c:v>
                </c:pt>
                <c:pt idx="78" c:formatCode="General">
                  <c:v>4250</c:v>
                </c:pt>
                <c:pt idx="79" c:formatCode="General">
                  <c:v>4480</c:v>
                </c:pt>
                <c:pt idx="80" c:formatCode="General">
                  <c:v>4500</c:v>
                </c:pt>
                <c:pt idx="81" c:formatCode="General">
                  <c:v>4350</c:v>
                </c:pt>
                <c:pt idx="82" c:formatCode="General">
                  <c:v>4250</c:v>
                </c:pt>
                <c:pt idx="83" c:formatCode="General">
                  <c:v>4250</c:v>
                </c:pt>
                <c:pt idx="84" c:formatCode="General">
                  <c:v>4250</c:v>
                </c:pt>
                <c:pt idx="85" c:formatCode="General">
                  <c:v>4250</c:v>
                </c:pt>
                <c:pt idx="86" c:formatCode="General">
                  <c:v>4250</c:v>
                </c:pt>
                <c:pt idx="87" c:formatCode="General">
                  <c:v>4250</c:v>
                </c:pt>
                <c:pt idx="88" c:formatCode="General">
                  <c:v>4250</c:v>
                </c:pt>
                <c:pt idx="89" c:formatCode="General">
                  <c:v>4180</c:v>
                </c:pt>
                <c:pt idx="90" c:formatCode="General">
                  <c:v>3970</c:v>
                </c:pt>
                <c:pt idx="91" c:formatCode="General">
                  <c:v>3970</c:v>
                </c:pt>
                <c:pt idx="92" c:formatCode="General">
                  <c:v>4000</c:v>
                </c:pt>
                <c:pt idx="93" c:formatCode="General">
                  <c:v>4030</c:v>
                </c:pt>
                <c:pt idx="94" c:formatCode="General">
                  <c:v>4100</c:v>
                </c:pt>
                <c:pt idx="95" c:formatCode="General">
                  <c:v>4100</c:v>
                </c:pt>
                <c:pt idx="96" c:formatCode="General">
                  <c:v>4230</c:v>
                </c:pt>
                <c:pt idx="97" c:formatCode="General">
                  <c:v>4370</c:v>
                </c:pt>
                <c:pt idx="98" c:formatCode="General">
                  <c:v>4370</c:v>
                </c:pt>
                <c:pt idx="99" c:formatCode="General">
                  <c:v>4310</c:v>
                </c:pt>
                <c:pt idx="100" c:formatCode="General">
                  <c:v>4310</c:v>
                </c:pt>
                <c:pt idx="103" c:formatCode="General">
                  <c:v>0</c:v>
                </c:pt>
                <c:pt idx="104" c:formatCode="General">
                  <c:v>4310</c:v>
                </c:pt>
                <c:pt idx="105" c:formatCode="General">
                  <c:v>4400</c:v>
                </c:pt>
                <c:pt idx="106" c:formatCode="General">
                  <c:v>4550</c:v>
                </c:pt>
                <c:pt idx="107" c:formatCode="General">
                  <c:v>4520</c:v>
                </c:pt>
                <c:pt idx="108" c:formatCode="General">
                  <c:v>4480</c:v>
                </c:pt>
                <c:pt idx="109" c:formatCode="General">
                  <c:v>4480</c:v>
                </c:pt>
                <c:pt idx="110" c:formatCode="General">
                  <c:v>4690</c:v>
                </c:pt>
                <c:pt idx="111" c:formatCode="General">
                  <c:v>5750</c:v>
                </c:pt>
                <c:pt idx="112" c:formatCode="General">
                  <c:v>5420</c:v>
                </c:pt>
                <c:pt idx="113" c:formatCode="General">
                  <c:v>5400</c:v>
                </c:pt>
                <c:pt idx="114" c:formatCode="General">
                  <c:v>5430</c:v>
                </c:pt>
                <c:pt idx="115" c:formatCode="General">
                  <c:v>5430</c:v>
                </c:pt>
                <c:pt idx="116" c:formatCode="General">
                  <c:v>5210</c:v>
                </c:pt>
                <c:pt idx="117" c:formatCode="General">
                  <c:v>5090</c:v>
                </c:pt>
                <c:pt idx="118" c:formatCode="General">
                  <c:v>5190</c:v>
                </c:pt>
                <c:pt idx="119" c:formatCode="General">
                  <c:v>5210</c:v>
                </c:pt>
                <c:pt idx="120" c:formatCode="General">
                  <c:v>5210</c:v>
                </c:pt>
                <c:pt idx="121" c:formatCode="General">
                  <c:v>5670</c:v>
                </c:pt>
                <c:pt idx="122" c:formatCode="General">
                  <c:v>5500</c:v>
                </c:pt>
                <c:pt idx="123" c:formatCode="General">
                  <c:v>5200</c:v>
                </c:pt>
                <c:pt idx="124" c:formatCode="General">
                  <c:v>5200</c:v>
                </c:pt>
                <c:pt idx="125" c:formatCode="General">
                  <c:v>5290</c:v>
                </c:pt>
                <c:pt idx="126" c:formatCode="General">
                  <c:v>5310</c:v>
                </c:pt>
                <c:pt idx="127" c:formatCode="General">
                  <c:v>5210</c:v>
                </c:pt>
                <c:pt idx="128" c:formatCode="General">
                  <c:v>5080</c:v>
                </c:pt>
                <c:pt idx="129" c:formatCode="General">
                  <c:v>4800</c:v>
                </c:pt>
                <c:pt idx="130" c:formatCode="General">
                  <c:v>4800</c:v>
                </c:pt>
                <c:pt idx="131" c:formatCode="General">
                  <c:v>4800</c:v>
                </c:pt>
                <c:pt idx="132" c:formatCode="General">
                  <c:v>4860</c:v>
                </c:pt>
              </c:numCache>
            </c:numRef>
          </c:val>
          <c:smooth val="0"/>
        </c:ser>
        <c:ser>
          <c:idx val="6"/>
          <c:order val="4"/>
          <c:tx>
            <c:strRef>
              <c:f>'[最新溶剂油周报：山东地炼石脑油价格走势图4.13.xls]溶剂油周报-石脑油价格走势图表'!$H$178</c:f>
              <c:strCache>
                <c:ptCount val="1"/>
                <c:pt idx="0">
                  <c:v>寿光石化</c:v>
                </c:pt>
              </c:strCache>
            </c:strRef>
          </c:tx>
          <c:spPr>
            <a:ln w="38100" cap="rnd" cmpd="sng" algn="ctr">
              <a:solidFill>
                <a:srgbClr val="0000FF">
                  <a:alpha val="100000"/>
                </a:srgbClr>
              </a:solidFill>
              <a:prstDash val="solid"/>
              <a:round/>
            </a:ln>
          </c:spPr>
          <c:marker>
            <c:symbol val="none"/>
          </c:marker>
          <c:dLbls>
            <c:delete val="1"/>
          </c:dLbls>
          <c:cat>
            <c:numRef>
              <c:f>'[最新溶剂油周报：山东地炼石脑油价格走势图4.13.xls]溶剂油周报-石脑油价格走势图表'!$A$179:$C$325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numCache>
            </c:numRef>
          </c:cat>
          <c:val>
            <c:numRef>
              <c:f>'[最新溶剂油周报：山东地炼石脑油价格走势图4.13.xls]溶剂油周报-石脑油价格走势图表'!$H$179:$H$325</c:f>
              <c:numCache>
                <c:formatCode>General</c:formatCode>
                <c:ptCount val="147"/>
                <c:pt idx="17" c:formatCode="@">
                  <c:v>3650</c:v>
                </c:pt>
                <c:pt idx="18" c:formatCode="@">
                  <c:v>3650</c:v>
                </c:pt>
                <c:pt idx="19" c:formatCode="@">
                  <c:v>3650</c:v>
                </c:pt>
                <c:pt idx="20" c:formatCode="@">
                  <c:v>3650</c:v>
                </c:pt>
                <c:pt idx="21" c:formatCode="@">
                  <c:v>3650</c:v>
                </c:pt>
                <c:pt idx="22" c:formatCode="@">
                  <c:v>3650</c:v>
                </c:pt>
                <c:pt idx="23" c:formatCode="@">
                  <c:v>3650</c:v>
                </c:pt>
                <c:pt idx="24" c:formatCode="@">
                  <c:v>3650</c:v>
                </c:pt>
                <c:pt idx="25" c:formatCode="@">
                  <c:v>3650</c:v>
                </c:pt>
                <c:pt idx="26" c:formatCode="@">
                  <c:v>3650</c:v>
                </c:pt>
                <c:pt idx="27" c:formatCode="@">
                  <c:v>4000</c:v>
                </c:pt>
                <c:pt idx="28" c:formatCode="@">
                  <c:v>4000</c:v>
                </c:pt>
                <c:pt idx="29" c:formatCode="@">
                  <c:v>4000</c:v>
                </c:pt>
                <c:pt idx="30" c:formatCode="@">
                  <c:v>4000</c:v>
                </c:pt>
                <c:pt idx="31" c:formatCode="@">
                  <c:v>4000</c:v>
                </c:pt>
                <c:pt idx="32" c:formatCode="@">
                  <c:v>4000</c:v>
                </c:pt>
                <c:pt idx="33" c:formatCode="@">
                  <c:v>4000</c:v>
                </c:pt>
                <c:pt idx="34" c:formatCode="@">
                  <c:v>4000</c:v>
                </c:pt>
                <c:pt idx="35" c:formatCode="@">
                  <c:v>4000</c:v>
                </c:pt>
                <c:pt idx="36" c:formatCode="@">
                  <c:v>4000</c:v>
                </c:pt>
                <c:pt idx="37" c:formatCode="@">
                  <c:v>4000</c:v>
                </c:pt>
                <c:pt idx="38" c:formatCode="@">
                  <c:v>4000</c:v>
                </c:pt>
                <c:pt idx="39" c:formatCode="@">
                  <c:v>4000</c:v>
                </c:pt>
                <c:pt idx="40" c:formatCode="@">
                  <c:v>4000</c:v>
                </c:pt>
                <c:pt idx="41" c:formatCode="@">
                  <c:v>4000</c:v>
                </c:pt>
                <c:pt idx="42" c:formatCode="@">
                  <c:v>4000</c:v>
                </c:pt>
                <c:pt idx="43" c:formatCode="@">
                  <c:v>4000</c:v>
                </c:pt>
                <c:pt idx="44" c:formatCode="@">
                  <c:v>4000</c:v>
                </c:pt>
                <c:pt idx="45" c:formatCode="@">
                  <c:v>4000</c:v>
                </c:pt>
                <c:pt idx="46" c:formatCode="@">
                  <c:v>4000</c:v>
                </c:pt>
                <c:pt idx="47" c:formatCode="@">
                  <c:v>4000</c:v>
                </c:pt>
                <c:pt idx="48" c:formatCode="@">
                  <c:v>4000</c:v>
                </c:pt>
                <c:pt idx="49" c:formatCode="@">
                  <c:v>4000</c:v>
                </c:pt>
                <c:pt idx="50" c:formatCode="@">
                  <c:v>4000</c:v>
                </c:pt>
                <c:pt idx="51" c:formatCode="@">
                  <c:v>4000</c:v>
                </c:pt>
                <c:pt idx="52" c:formatCode="@">
                  <c:v>4000</c:v>
                </c:pt>
                <c:pt idx="53" c:formatCode="@">
                  <c:v>4000</c:v>
                </c:pt>
                <c:pt idx="54" c:formatCode="@">
                  <c:v>4000</c:v>
                </c:pt>
                <c:pt idx="55" c:formatCode="@">
                  <c:v>4000</c:v>
                </c:pt>
                <c:pt idx="56" c:formatCode="@">
                  <c:v>4000</c:v>
                </c:pt>
                <c:pt idx="57" c:formatCode="@">
                  <c:v>4000</c:v>
                </c:pt>
                <c:pt idx="58" c:formatCode="@">
                  <c:v>4000</c:v>
                </c:pt>
                <c:pt idx="59" c:formatCode="@">
                  <c:v>4000</c:v>
                </c:pt>
                <c:pt idx="60" c:formatCode="@">
                  <c:v>4000</c:v>
                </c:pt>
                <c:pt idx="61" c:formatCode="@">
                  <c:v>4000</c:v>
                </c:pt>
                <c:pt idx="62" c:formatCode="@">
                  <c:v>4000</c:v>
                </c:pt>
                <c:pt idx="63" c:formatCode="@">
                  <c:v>4000</c:v>
                </c:pt>
                <c:pt idx="64" c:formatCode="@">
                  <c:v>4000</c:v>
                </c:pt>
                <c:pt idx="65" c:formatCode="@">
                  <c:v>4000</c:v>
                </c:pt>
                <c:pt idx="66" c:formatCode="@">
                  <c:v>4000</c:v>
                </c:pt>
                <c:pt idx="67" c:formatCode="@">
                  <c:v>4000</c:v>
                </c:pt>
                <c:pt idx="68" c:formatCode="@">
                  <c:v>4000</c:v>
                </c:pt>
                <c:pt idx="69" c:formatCode="@">
                  <c:v>4000</c:v>
                </c:pt>
                <c:pt idx="70" c:formatCode="@">
                  <c:v>4000</c:v>
                </c:pt>
                <c:pt idx="71">
                  <c:v>4000</c:v>
                </c:pt>
                <c:pt idx="72">
                  <c:v>4000</c:v>
                </c:pt>
                <c:pt idx="73">
                  <c:v>4000</c:v>
                </c:pt>
                <c:pt idx="74">
                  <c:v>4000</c:v>
                </c:pt>
                <c:pt idx="75">
                  <c:v>4000</c:v>
                </c:pt>
                <c:pt idx="76">
                  <c:v>4000</c:v>
                </c:pt>
                <c:pt idx="77">
                  <c:v>4000</c:v>
                </c:pt>
                <c:pt idx="78">
                  <c:v>4000</c:v>
                </c:pt>
                <c:pt idx="79">
                  <c:v>4000</c:v>
                </c:pt>
                <c:pt idx="80">
                  <c:v>4000</c:v>
                </c:pt>
                <c:pt idx="81">
                  <c:v>4000</c:v>
                </c:pt>
                <c:pt idx="82">
                  <c:v>4000</c:v>
                </c:pt>
                <c:pt idx="83">
                  <c:v>4000</c:v>
                </c:pt>
                <c:pt idx="84">
                  <c:v>4000</c:v>
                </c:pt>
                <c:pt idx="85">
                  <c:v>4000</c:v>
                </c:pt>
                <c:pt idx="86">
                  <c:v>4000</c:v>
                </c:pt>
                <c:pt idx="87">
                  <c:v>4000</c:v>
                </c:pt>
                <c:pt idx="88">
                  <c:v>4000</c:v>
                </c:pt>
                <c:pt idx="89">
                  <c:v>4000</c:v>
                </c:pt>
                <c:pt idx="90">
                  <c:v>4000</c:v>
                </c:pt>
                <c:pt idx="91">
                  <c:v>4000</c:v>
                </c:pt>
                <c:pt idx="92">
                  <c:v>4000</c:v>
                </c:pt>
                <c:pt idx="93">
                  <c:v>4000</c:v>
                </c:pt>
                <c:pt idx="94">
                  <c:v>4000</c:v>
                </c:pt>
                <c:pt idx="95">
                  <c:v>4000</c:v>
                </c:pt>
                <c:pt idx="96">
                  <c:v>4000</c:v>
                </c:pt>
                <c:pt idx="97">
                  <c:v>4000</c:v>
                </c:pt>
                <c:pt idx="98">
                  <c:v>4000</c:v>
                </c:pt>
                <c:pt idx="99">
                  <c:v>4000</c:v>
                </c:pt>
                <c:pt idx="100">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dLbls>
          <c:showLegendKey val="0"/>
          <c:showVal val="0"/>
          <c:showCatName val="0"/>
          <c:showSerName val="0"/>
          <c:showPercent val="0"/>
          <c:showBubbleSize val="0"/>
        </c:dLbls>
        <c:marker val="0"/>
        <c:smooth val="0"/>
        <c:axId val="634267616"/>
        <c:axId val="359696302"/>
      </c:lineChart>
      <c:dateAx>
        <c:axId val="634267616"/>
        <c:scaling>
          <c:orientation val="minMax"/>
          <c:max val="43210"/>
          <c:min val="42845"/>
        </c:scaling>
        <c:delete val="0"/>
        <c:axPos val="b"/>
        <c:title>
          <c:tx>
            <c:rich>
              <a:bodyPr rot="0" spcFirstLastPara="0" vertOverflow="ellipsis" vert="horz" wrap="square"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000" b="0" i="0" u="none" strike="noStrike" baseline="0">
                    <a:solidFill>
                      <a:srgbClr val="000000"/>
                    </a:solidFill>
                    <a:latin typeface="宋体" panose="02010600030101010101" charset="-122"/>
                    <a:ea typeface="宋体" panose="02010600030101010101" charset="-122"/>
                    <a:cs typeface="宋体" panose="02010600030101010101" charset="-122"/>
                  </a:rPr>
                  <a:t>元/吨</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0314024540035944"/>
              <c:y val="0.0750266572680796"/>
            </c:manualLayout>
          </c:layout>
          <c:overlay val="0"/>
        </c:title>
        <c:numFmt formatCode="yyyy/m/d;@" sourceLinked="0"/>
        <c:majorTickMark val="in"/>
        <c:minorTickMark val="none"/>
        <c:tickLblPos val="nextTo"/>
        <c:spPr>
          <a:ln w="3175" cap="flat" cmpd="sng" algn="ctr">
            <a:solidFill>
              <a:srgbClr val="000000">
                <a:alpha val="100000"/>
              </a:srgbClr>
            </a:solidFill>
            <a:prstDash val="solid"/>
            <a:round/>
          </a:ln>
        </c:spPr>
        <c:txPr>
          <a:bodyPr rot="-540000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359696302"/>
        <c:crossesAt val="2000"/>
        <c:auto val="1"/>
        <c:lblOffset val="100"/>
        <c:baseTimeUnit val="days"/>
        <c:majorUnit val="1"/>
        <c:majorTimeUnit val="months"/>
        <c:minorUnit val="1"/>
        <c:minorTimeUnit val="months"/>
      </c:dateAx>
      <c:valAx>
        <c:axId val="359696302"/>
        <c:scaling>
          <c:orientation val="minMax"/>
          <c:max val="7000"/>
          <c:min val="2000"/>
        </c:scaling>
        <c:delete val="0"/>
        <c:axPos val="l"/>
        <c:majorGridlines>
          <c:spPr>
            <a:ln w="3175" cap="flat" cmpd="sng" algn="ctr">
              <a:solidFill>
                <a:srgbClr val="000000">
                  <a:alpha val="100000"/>
                </a:srgbClr>
              </a:solidFill>
              <a:prstDash val="solid"/>
              <a:round/>
            </a:ln>
          </c:spPr>
        </c:majorGridlines>
        <c:numFmt formatCode="@" sourceLinked="1"/>
        <c:majorTickMark val="in"/>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634267616"/>
        <c:crossesAt val="42241"/>
        <c:crossBetween val="between"/>
        <c:majorUnit val="500"/>
        <c:minorUnit val="100"/>
      </c:valAx>
      <c:spPr>
        <a:solidFill>
          <a:srgbClr val="FFFFFF">
            <a:alpha val="100000"/>
          </a:srgbClr>
        </a:solidFill>
        <a:ln w="3175">
          <a:noFill/>
        </a:ln>
      </c:spPr>
    </c:plotArea>
    <c:legend>
      <c:legendPos val="r"/>
      <c:layout>
        <c:manualLayout>
          <c:xMode val="edge"/>
          <c:yMode val="edge"/>
          <c:x val="0.0719999655215512"/>
          <c:y val="0.867679191107823"/>
          <c:w val="0.85175"/>
          <c:h val="0.087"/>
        </c:manualLayout>
      </c:layout>
      <c:overlay val="0"/>
      <c:spPr>
        <a:solidFill>
          <a:srgbClr val="FFFFFF">
            <a:alpha val="100000"/>
          </a:srgbClr>
        </a:solidFill>
        <a:ln w="3175">
          <a:noFill/>
        </a:ln>
      </c:spPr>
      <c:txPr>
        <a:bodyPr rot="0" spcFirstLastPara="0" vertOverflow="ellipsis" vert="horz" wrap="square"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EF522-4F2A-46DF-8F19-079103E00A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3995</Words>
  <Characters>22778</Characters>
  <Lines>189</Lines>
  <Paragraphs>53</Paragraphs>
  <ScaleCrop>false</ScaleCrop>
  <LinksUpToDate>false</LinksUpToDate>
  <CharactersWithSpaces>26720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2018-03-02T07:41:00Z</dcterms:created>
  <dc:creator>AutoBVT</dc:creator>
  <cp:lastModifiedBy>梦蝶</cp:lastModifiedBy>
  <dcterms:modified xsi:type="dcterms:W3CDTF">2018-04-20T07:07:26Z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