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56192" behindDoc="1" locked="0" layoutInCell="1" allowOverlap="1">
            <wp:simplePos x="0" y="0"/>
            <wp:positionH relativeFrom="column">
              <wp:posOffset>-749300</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6"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pPr>
        <w:outlineLvl w:val="0"/>
        <w:rPr>
          <w:b/>
          <w:sz w:val="32"/>
          <w:szCs w:val="32"/>
        </w:rPr>
      </w:pPr>
      <w:r>
        <mc:AlternateContent>
          <mc:Choice Requires="wps">
            <w:drawing>
              <wp:anchor distT="0" distB="0" distL="114300" distR="114300" simplePos="0" relativeHeight="251657216" behindDoc="0" locked="0" layoutInCell="1" allowOverlap="1">
                <wp:simplePos x="0" y="0"/>
                <wp:positionH relativeFrom="column">
                  <wp:posOffset>466725</wp:posOffset>
                </wp:positionH>
                <wp:positionV relativeFrom="paragraph">
                  <wp:posOffset>7429500</wp:posOffset>
                </wp:positionV>
                <wp:extent cx="5322570" cy="1405890"/>
                <wp:effectExtent l="0" t="0" r="0" b="0"/>
                <wp:wrapNone/>
                <wp:docPr id="4" name="文本框 2"/>
                <wp:cNvGraphicFramePr/>
                <a:graphic xmlns:a="http://schemas.openxmlformats.org/drawingml/2006/main">
                  <a:graphicData uri="http://schemas.microsoft.com/office/word/2010/wordprocessingShape">
                    <wps:wsp>
                      <wps:cNvSpPr txBox="1"/>
                      <wps:spPr>
                        <a:xfrm>
                          <a:off x="0" y="0"/>
                          <a:ext cx="5322570" cy="1405890"/>
                        </a:xfrm>
                        <a:prstGeom prst="rect">
                          <a:avLst/>
                        </a:prstGeom>
                        <a:noFill/>
                        <a:ln w="9525">
                          <a:noFill/>
                        </a:ln>
                        <a:effectLst/>
                      </wps:spPr>
                      <wps:txbx>
                        <w:txbxContent>
                          <w:p>
                            <w:pPr>
                              <w:widowControl/>
                              <w:jc w:val="left"/>
                              <w:rPr>
                                <w:rFonts w:ascii="黑体" w:hAnsi="宋体" w:eastAsia="黑体" w:cs="宋体"/>
                                <w:kern w:val="0"/>
                                <w:sz w:val="24"/>
                                <w:szCs w:val="24"/>
                              </w:rPr>
                            </w:pPr>
                            <w:r>
                              <w:rPr>
                                <w:rFonts w:hint="eastAsia" w:ascii="黑体" w:hAnsi="宋体" w:eastAsia="黑体" w:cs="宋体"/>
                                <w:kern w:val="0"/>
                                <w:sz w:val="24"/>
                                <w:szCs w:val="24"/>
                              </w:rPr>
                              <w:t>责任编辑：刘艳清</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电</w:t>
                            </w:r>
                            <w:r>
                              <w:rPr>
                                <w:rFonts w:hint="eastAsia" w:ascii="宋体" w:hAnsi="宋体" w:eastAsia="黑体" w:cs="宋体"/>
                                <w:kern w:val="0"/>
                                <w:sz w:val="24"/>
                                <w:szCs w:val="24"/>
                              </w:rPr>
                              <w:t>  </w:t>
                            </w:r>
                            <w:r>
                              <w:rPr>
                                <w:rFonts w:hint="eastAsia" w:ascii="黑体" w:hAnsi="宋体" w:eastAsia="黑体" w:cs="宋体"/>
                                <w:kern w:val="0"/>
                                <w:sz w:val="24"/>
                                <w:szCs w:val="24"/>
                              </w:rPr>
                              <w:t>话：</w:t>
                            </w:r>
                            <w:r>
                              <w:rPr>
                                <w:rFonts w:ascii="黑体" w:hAnsi="宋体" w:eastAsia="黑体"/>
                                <w:bCs/>
                                <w:sz w:val="24"/>
                                <w:szCs w:val="24"/>
                              </w:rPr>
                              <w:t>86-010-</w:t>
                            </w:r>
                            <w:r>
                              <w:rPr>
                                <w:rFonts w:ascii="黑体" w:hAnsi="宋体" w:eastAsia="黑体"/>
                                <w:sz w:val="24"/>
                                <w:szCs w:val="24"/>
                              </w:rPr>
                              <w:t>85725055</w:t>
                            </w:r>
                            <w:r>
                              <w:rPr>
                                <w:rFonts w:hint="eastAsia" w:ascii="黑体" w:hAnsi="宋体" w:eastAsia="黑体" w:cs="宋体"/>
                                <w:kern w:val="0"/>
                                <w:sz w:val="24"/>
                                <w:szCs w:val="24"/>
                              </w:rPr>
                              <w:br w:type="textWrapping"/>
                            </w:r>
                            <w:r>
                              <w:rPr>
                                <w:rFonts w:hint="eastAsia" w:ascii="黑体" w:hAnsi="宋体" w:eastAsia="黑体" w:cs="宋体"/>
                                <w:kern w:val="0"/>
                                <w:sz w:val="24"/>
                                <w:szCs w:val="24"/>
                              </w:rPr>
                              <w:t>传</w:t>
                            </w:r>
                            <w:r>
                              <w:rPr>
                                <w:rFonts w:hint="eastAsia" w:ascii="宋体" w:hAnsi="宋体" w:eastAsia="黑体" w:cs="宋体"/>
                                <w:kern w:val="0"/>
                                <w:sz w:val="24"/>
                                <w:szCs w:val="24"/>
                              </w:rPr>
                              <w:t>  </w:t>
                            </w:r>
                            <w:r>
                              <w:rPr>
                                <w:rFonts w:hint="eastAsia" w:ascii="黑体" w:hAnsi="宋体" w:eastAsia="黑体" w:cs="宋体"/>
                                <w:kern w:val="0"/>
                                <w:sz w:val="24"/>
                                <w:szCs w:val="24"/>
                              </w:rPr>
                              <w:t>真：86-010-85725399</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编辑邮箱：703680716@qq.com</w:t>
                            </w:r>
                          </w:p>
                          <w:p>
                            <w:pPr>
                              <w:pStyle w:val="52"/>
                              <w:rPr>
                                <w:rFonts w:ascii="黑体" w:hAnsi="宋体" w:eastAsia="黑体"/>
                                <w:bCs/>
                                <w:kern w:val="2"/>
                                <w:sz w:val="24"/>
                                <w:szCs w:val="24"/>
                                <w:lang w:eastAsia="zh-CN"/>
                              </w:rPr>
                            </w:pPr>
                            <w:r>
                              <w:rPr>
                                <w:rFonts w:hint="eastAsia" w:ascii="黑体" w:hAnsi="宋体" w:eastAsia="黑体"/>
                                <w:bCs/>
                                <w:kern w:val="2"/>
                                <w:sz w:val="24"/>
                                <w:szCs w:val="24"/>
                                <w:lang w:eastAsia="zh-CN"/>
                              </w:rPr>
                              <w:t>地址：</w:t>
                            </w:r>
                            <w:r>
                              <w:rPr>
                                <w:rFonts w:hint="eastAsia" w:ascii="黑体" w:hAnsi="宋体" w:eastAsia="黑体"/>
                                <w:kern w:val="2"/>
                                <w:sz w:val="24"/>
                                <w:szCs w:val="24"/>
                                <w:lang w:eastAsia="zh-CN"/>
                              </w:rPr>
                              <w:t>北京市朝阳区高碑店东区B8-1（邮编：100022）</w:t>
                            </w:r>
                          </w:p>
                          <w:p>
                            <w:pPr>
                              <w:jc w:val="left"/>
                            </w:pPr>
                          </w:p>
                        </w:txbxContent>
                      </wps:txbx>
                      <wps:bodyPr upright="1"/>
                    </wps:wsp>
                  </a:graphicData>
                </a:graphic>
              </wp:anchor>
            </w:drawing>
          </mc:Choice>
          <mc:Fallback>
            <w:pict>
              <v:shape id="文本框 2" o:spid="_x0000_s1026" o:spt="202" type="#_x0000_t202" style="position:absolute;left:0pt;margin-left:36.75pt;margin-top:585pt;height:110.7pt;width:419.1pt;z-index:251657216;mso-width-relative:page;mso-height-relative:page;" filled="f" stroked="f" coordsize="21600,21600"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v:fill on="f" focussize="0,0"/>
                <v:stroke on="f"/>
                <v:imagedata o:title=""/>
                <o:lock v:ext="edit" aspectratio="f"/>
                <v:textbox>
                  <w:txbxContent>
                    <w:p>
                      <w:pPr>
                        <w:widowControl/>
                        <w:jc w:val="left"/>
                        <w:rPr>
                          <w:rFonts w:ascii="黑体" w:hAnsi="宋体" w:eastAsia="黑体" w:cs="宋体"/>
                          <w:kern w:val="0"/>
                          <w:sz w:val="24"/>
                          <w:szCs w:val="24"/>
                        </w:rPr>
                      </w:pPr>
                      <w:r>
                        <w:rPr>
                          <w:rFonts w:hint="eastAsia" w:ascii="黑体" w:hAnsi="宋体" w:eastAsia="黑体" w:cs="宋体"/>
                          <w:kern w:val="0"/>
                          <w:sz w:val="24"/>
                          <w:szCs w:val="24"/>
                        </w:rPr>
                        <w:t>责任编辑：刘艳清</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电</w:t>
                      </w:r>
                      <w:r>
                        <w:rPr>
                          <w:rFonts w:hint="eastAsia" w:ascii="宋体" w:hAnsi="宋体" w:eastAsia="黑体" w:cs="宋体"/>
                          <w:kern w:val="0"/>
                          <w:sz w:val="24"/>
                          <w:szCs w:val="24"/>
                        </w:rPr>
                        <w:t>  </w:t>
                      </w:r>
                      <w:r>
                        <w:rPr>
                          <w:rFonts w:hint="eastAsia" w:ascii="黑体" w:hAnsi="宋体" w:eastAsia="黑体" w:cs="宋体"/>
                          <w:kern w:val="0"/>
                          <w:sz w:val="24"/>
                          <w:szCs w:val="24"/>
                        </w:rPr>
                        <w:t>话：</w:t>
                      </w:r>
                      <w:r>
                        <w:rPr>
                          <w:rFonts w:ascii="黑体" w:hAnsi="宋体" w:eastAsia="黑体"/>
                          <w:bCs/>
                          <w:sz w:val="24"/>
                          <w:szCs w:val="24"/>
                        </w:rPr>
                        <w:t>86-010-</w:t>
                      </w:r>
                      <w:r>
                        <w:rPr>
                          <w:rFonts w:ascii="黑体" w:hAnsi="宋体" w:eastAsia="黑体"/>
                          <w:sz w:val="24"/>
                          <w:szCs w:val="24"/>
                        </w:rPr>
                        <w:t>85725055</w:t>
                      </w:r>
                      <w:r>
                        <w:rPr>
                          <w:rFonts w:hint="eastAsia" w:ascii="黑体" w:hAnsi="宋体" w:eastAsia="黑体" w:cs="宋体"/>
                          <w:kern w:val="0"/>
                          <w:sz w:val="24"/>
                          <w:szCs w:val="24"/>
                        </w:rPr>
                        <w:br w:type="textWrapping"/>
                      </w:r>
                      <w:r>
                        <w:rPr>
                          <w:rFonts w:hint="eastAsia" w:ascii="黑体" w:hAnsi="宋体" w:eastAsia="黑体" w:cs="宋体"/>
                          <w:kern w:val="0"/>
                          <w:sz w:val="24"/>
                          <w:szCs w:val="24"/>
                        </w:rPr>
                        <w:t>传</w:t>
                      </w:r>
                      <w:r>
                        <w:rPr>
                          <w:rFonts w:hint="eastAsia" w:ascii="宋体" w:hAnsi="宋体" w:eastAsia="黑体" w:cs="宋体"/>
                          <w:kern w:val="0"/>
                          <w:sz w:val="24"/>
                          <w:szCs w:val="24"/>
                        </w:rPr>
                        <w:t>  </w:t>
                      </w:r>
                      <w:r>
                        <w:rPr>
                          <w:rFonts w:hint="eastAsia" w:ascii="黑体" w:hAnsi="宋体" w:eastAsia="黑体" w:cs="宋体"/>
                          <w:kern w:val="0"/>
                          <w:sz w:val="24"/>
                          <w:szCs w:val="24"/>
                        </w:rPr>
                        <w:t>真：86-010-85725399</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编辑邮箱：703680716@qq.com</w:t>
                      </w:r>
                    </w:p>
                    <w:p>
                      <w:pPr>
                        <w:pStyle w:val="52"/>
                        <w:rPr>
                          <w:rFonts w:ascii="黑体" w:hAnsi="宋体" w:eastAsia="黑体"/>
                          <w:bCs/>
                          <w:kern w:val="2"/>
                          <w:sz w:val="24"/>
                          <w:szCs w:val="24"/>
                          <w:lang w:eastAsia="zh-CN"/>
                        </w:rPr>
                      </w:pPr>
                      <w:r>
                        <w:rPr>
                          <w:rFonts w:hint="eastAsia" w:ascii="黑体" w:hAnsi="宋体" w:eastAsia="黑体"/>
                          <w:bCs/>
                          <w:kern w:val="2"/>
                          <w:sz w:val="24"/>
                          <w:szCs w:val="24"/>
                          <w:lang w:eastAsia="zh-CN"/>
                        </w:rPr>
                        <w:t>地址：</w:t>
                      </w:r>
                      <w:r>
                        <w:rPr>
                          <w:rFonts w:hint="eastAsia" w:ascii="黑体" w:hAnsi="宋体" w:eastAsia="黑体"/>
                          <w:kern w:val="2"/>
                          <w:sz w:val="24"/>
                          <w:szCs w:val="24"/>
                          <w:lang w:eastAsia="zh-CN"/>
                        </w:rPr>
                        <w:t>北京市朝阳区高碑店东区B8-1（邮编：100022）</w:t>
                      </w:r>
                    </w:p>
                    <w:p>
                      <w:pPr>
                        <w:jc w:val="left"/>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2228215</wp:posOffset>
                </wp:positionH>
                <wp:positionV relativeFrom="paragraph">
                  <wp:posOffset>6231890</wp:posOffset>
                </wp:positionV>
                <wp:extent cx="1607820" cy="68707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607820" cy="687070"/>
                        </a:xfrm>
                        <a:prstGeom prst="rect">
                          <a:avLst/>
                        </a:prstGeom>
                        <a:noFill/>
                        <a:ln w="9525">
                          <a:noFill/>
                        </a:ln>
                        <a:effectLst/>
                      </wps:spPr>
                      <wps:txbx>
                        <w:txbxContent>
                          <w:p>
                            <w:pPr>
                              <w:pStyle w:val="2"/>
                              <w:jc w:val="center"/>
                              <w:rPr>
                                <w:kern w:val="2"/>
                              </w:rPr>
                            </w:pPr>
                            <w:bookmarkStart w:id="78" w:name="_Toc485828984"/>
                            <w:bookmarkStart w:id="79" w:name="_Toc505349996"/>
                            <w:r>
                              <w:rPr>
                                <w:rFonts w:hint="eastAsia"/>
                                <w:kern w:val="2"/>
                              </w:rPr>
                              <w:t>2018.3.</w:t>
                            </w:r>
                            <w:bookmarkEnd w:id="78"/>
                            <w:bookmarkEnd w:id="79"/>
                            <w:r>
                              <w:rPr>
                                <w:rFonts w:hint="eastAsia"/>
                                <w:kern w:val="2"/>
                                <w:lang w:val="en-US" w:eastAsia="zh-CN"/>
                              </w:rPr>
                              <w:t>16</w:t>
                            </w:r>
                          </w:p>
                          <w:p/>
                        </w:txbxContent>
                      </wps:txbx>
                      <wps:bodyPr upright="1"/>
                    </wps:wsp>
                  </a:graphicData>
                </a:graphic>
              </wp:anchor>
            </w:drawing>
          </mc:Choice>
          <mc:Fallback>
            <w:pict>
              <v:shape id="文本框 3" o:spid="_x0000_s1026" o:spt="202" type="#_x0000_t202" style="position:absolute;left:0pt;margin-left:175.45pt;margin-top:490.7pt;height:54.1pt;width:126.6pt;z-index:251658240;mso-width-relative:page;mso-height-relative:page;" filled="f" stroked="f" coordsize="21600,2160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MQXUZZ4BAAAXAwAADgAAAGRycy9lMm9Eb2MueG1srVLN&#10;bhshEL5Xyjsg7jEbV/7pyutIVeRcojZSmgfALHiRgEGAvesXaN+gp15yz3P5OTLgn0btreplgPn5&#10;Zr5vWNwO1pCdDFGDa+jNqKJEOgGtdpuGPn9bXc8piYm7lhtwsqF7Gent8urDove1HEMHppWBIIiL&#10;de8b2qXka8ai6KTlcQReOgwqCJYnfIYNawPvEd0aNq6qKeshtD6AkDGi9+4YpMuCr5QU6atSUSZi&#10;GoqzpWJDsets2XLB603gvtPiNAb/hyks1w6bXqDueOJkG/RfUFaLABFUGgmwDJTSQhYOyOam+oPN&#10;U8e9LFxQnOgvMsX/Byu+7B4D0W1DJ5Q4bnFFh58/Dr9eDy/fyccsT+9jjVlPHvPS8BkGXPPZH9GZ&#10;WQ8q2HwiH4JxFHp/EVcOiYhcNK1m8zGGBMam81k1K+qz39U+xHQvwZJ8aWjA5RVN+e4hJpwEU88p&#10;uZmDlTamLNA40jf002Q8KQWXCFYYl3Nl+QonmMzoOHm+pWE9nGiuod0jy60PetPhBIUny0moful/&#10;+il5ve/feH//n5d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FTbF9gAAAAMAQAADwAAAAAAAAAB&#10;ACAAAAAiAAAAZHJzL2Rvd25yZXYueG1sUEsBAhQAFAAAAAgAh07iQDEF1GWeAQAAFwMAAA4AAAAA&#10;AAAAAQAgAAAAJwEAAGRycy9lMm9Eb2MueG1sUEsFBgAAAAAGAAYAWQEAADcFAAAAAA==&#10;">
                <v:fill on="f" focussize="0,0"/>
                <v:stroke on="f"/>
                <v:imagedata o:title=""/>
                <o:lock v:ext="edit" aspectratio="f"/>
                <v:textbox>
                  <w:txbxContent>
                    <w:p>
                      <w:pPr>
                        <w:pStyle w:val="2"/>
                        <w:jc w:val="center"/>
                        <w:rPr>
                          <w:kern w:val="2"/>
                        </w:rPr>
                      </w:pPr>
                      <w:bookmarkStart w:id="78" w:name="_Toc485828984"/>
                      <w:bookmarkStart w:id="79" w:name="_Toc505349996"/>
                      <w:r>
                        <w:rPr>
                          <w:rFonts w:hint="eastAsia"/>
                          <w:kern w:val="2"/>
                        </w:rPr>
                        <w:t>2018.3.</w:t>
                      </w:r>
                      <w:bookmarkEnd w:id="78"/>
                      <w:bookmarkEnd w:id="79"/>
                      <w:r>
                        <w:rPr>
                          <w:rFonts w:hint="eastAsia"/>
                          <w:kern w:val="2"/>
                          <w:lang w:val="en-US" w:eastAsia="zh-CN"/>
                        </w:rPr>
                        <w:t>16</w:t>
                      </w:r>
                    </w:p>
                    <w:p/>
                  </w:txbxContent>
                </v:textbox>
              </v:shape>
            </w:pict>
          </mc:Fallback>
        </mc:AlternateContent>
      </w:r>
      <w:r>
        <w:br w:type="page"/>
      </w:r>
      <w:bookmarkStart w:id="0" w:name="_Toc485828985"/>
      <w:r>
        <w:rPr>
          <w:b/>
          <w:sz w:val="32"/>
          <w:szCs w:val="44"/>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440690</wp:posOffset>
                </wp:positionV>
                <wp:extent cx="6212205" cy="8162290"/>
                <wp:effectExtent l="0" t="0" r="0" b="0"/>
                <wp:wrapNone/>
                <wp:docPr id="6" name="文本框 4"/>
                <wp:cNvGraphicFramePr/>
                <a:graphic xmlns:a="http://schemas.openxmlformats.org/drawingml/2006/main">
                  <a:graphicData uri="http://schemas.microsoft.com/office/word/2010/wordprocessingShape">
                    <wps:wsp>
                      <wps:cNvSpPr txBox="1"/>
                      <wps:spPr>
                        <a:xfrm>
                          <a:off x="0" y="0"/>
                          <a:ext cx="6212205" cy="8162290"/>
                        </a:xfrm>
                        <a:prstGeom prst="rect">
                          <a:avLst/>
                        </a:prstGeom>
                        <a:noFill/>
                        <a:ln w="9525">
                          <a:noFill/>
                        </a:ln>
                        <a:effectLst/>
                      </wps:spPr>
                      <wps:txbx>
                        <w:txbxContent>
                          <w:p>
                            <w:pPr>
                              <w:pStyle w:val="55"/>
                              <w:spacing w:line="480" w:lineRule="auto"/>
                              <w:jc w:val="center"/>
                              <w:rPr>
                                <w:rFonts w:ascii="宋体" w:hAnsi="宋体"/>
                                <w:b/>
                                <w:sz w:val="28"/>
                                <w:szCs w:val="28"/>
                                <w:lang w:eastAsia="zh-CN"/>
                              </w:rPr>
                            </w:pPr>
                            <w:r>
                              <w:rPr>
                                <w:rFonts w:hint="eastAsia" w:ascii="宋体" w:hAnsi="宋体"/>
                                <w:b/>
                                <w:sz w:val="28"/>
                                <w:szCs w:val="28"/>
                                <w:lang w:eastAsia="zh-CN"/>
                              </w:rPr>
                              <w:t>溶剂油市场周报目录</w:t>
                            </w:r>
                          </w:p>
                          <w:p>
                            <w:pPr>
                              <w:pStyle w:val="14"/>
                              <w:rPr>
                                <w:rFonts w:asciiTheme="minorHAnsi" w:hAnsiTheme="minorHAnsi" w:eastAsiaTheme="minorEastAsia" w:cstheme="minorBidi"/>
                                <w:b w:val="0"/>
                                <w:bCs w:val="0"/>
                                <w:caps w:val="0"/>
                                <w:color w:val="auto"/>
                                <w:sz w:val="21"/>
                                <w:szCs w:val="22"/>
                              </w:rPr>
                            </w:pPr>
                            <w:r>
                              <w:rPr>
                                <w:sz w:val="20"/>
                              </w:rPr>
                              <w:fldChar w:fldCharType="begin"/>
                            </w:r>
                            <w:r>
                              <w:rPr>
                                <w:sz w:val="20"/>
                              </w:rPr>
                              <w:instrText xml:space="preserve"> TOC \o "1-3" \h \z \u </w:instrText>
                            </w:r>
                            <w:r>
                              <w:rPr>
                                <w:sz w:val="20"/>
                              </w:rPr>
                              <w:fldChar w:fldCharType="separate"/>
                            </w:r>
                            <w:r>
                              <w:fldChar w:fldCharType="begin"/>
                            </w:r>
                            <w:r>
                              <w:instrText xml:space="preserve"> HYPERLINK "file:///C:\\Users\\Administrator\\Desktop\\原油\\周报、月报\\溶剂油（石脑油）周报2-2.docx" \l "_Toc505349996" </w:instrText>
                            </w:r>
                            <w:r>
                              <w:fldChar w:fldCharType="separate"/>
                            </w:r>
                            <w:r>
                              <w:fldChar w:fldCharType="end"/>
                            </w:r>
                            <w:r>
                              <w:fldChar w:fldCharType="begin"/>
                            </w:r>
                            <w:r>
                              <w:instrText xml:space="preserve"> HYPERLINK \l "_Toc505349997" </w:instrText>
                            </w:r>
                            <w:r>
                              <w:fldChar w:fldCharType="separate"/>
                            </w:r>
                            <w:r>
                              <w:rPr>
                                <w:rStyle w:val="24"/>
                                <w:rFonts w:hint="eastAsia" w:ascii="黑体"/>
                              </w:rPr>
                              <w:t>一、国际原油</w:t>
                            </w:r>
                            <w:r>
                              <w:tab/>
                            </w:r>
                            <w:r>
                              <w:fldChar w:fldCharType="begin"/>
                            </w:r>
                            <w:r>
                              <w:instrText xml:space="preserve"> PAGEREF _Toc505349997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"_Toc505349998" </w:instrText>
                            </w:r>
                            <w:r>
                              <w:fldChar w:fldCharType="separate"/>
                            </w:r>
                            <w:r>
                              <w:rPr>
                                <w:rStyle w:val="24"/>
                                <w:rFonts w:hint="eastAsia" w:ascii="黑体" w:eastAsia="黑体" w:cs="Arial"/>
                                <w:bCs/>
                                <w:kern w:val="0"/>
                              </w:rPr>
                              <w:t>（一）、国际原油市场回顾</w:t>
                            </w:r>
                            <w:r>
                              <w:tab/>
                            </w:r>
                            <w:r>
                              <w:fldChar w:fldCharType="begin"/>
                            </w:r>
                            <w:r>
                              <w:instrText xml:space="preserve"> PAGEREF _Toc505349998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"_Toc505349999" </w:instrText>
                            </w:r>
                            <w:r>
                              <w:fldChar w:fldCharType="separate"/>
                            </w:r>
                            <w:r>
                              <w:rPr>
                                <w:rStyle w:val="24"/>
                                <w:rFonts w:ascii="黑体" w:eastAsia="黑体"/>
                                <w:kern w:val="0"/>
                              </w:rPr>
                              <w:t xml:space="preserve">1. 1  </w:t>
                            </w:r>
                            <w:r>
                              <w:rPr>
                                <w:rStyle w:val="24"/>
                                <w:rFonts w:hint="eastAsia" w:ascii="黑体" w:eastAsia="黑体" w:cs="Arial"/>
                                <w:kern w:val="0"/>
                              </w:rPr>
                              <w:t>国际原油收盘价涨跌情况（单位：美元</w:t>
                            </w:r>
                            <w:r>
                              <w:rPr>
                                <w:rStyle w:val="24"/>
                                <w:rFonts w:ascii="黑体" w:eastAsia="黑体" w:cs="Arial"/>
                                <w:kern w:val="0"/>
                              </w:rPr>
                              <w:t>/</w:t>
                            </w:r>
                            <w:r>
                              <w:rPr>
                                <w:rStyle w:val="24"/>
                                <w:rFonts w:hint="eastAsia" w:ascii="黑体" w:eastAsia="黑体" w:cs="Arial"/>
                                <w:kern w:val="0"/>
                              </w:rPr>
                              <w:t>桶）</w:t>
                            </w:r>
                            <w:r>
                              <w:tab/>
                            </w:r>
                            <w:r>
                              <w:fldChar w:fldCharType="begin"/>
                            </w:r>
                            <w:r>
                              <w:instrText xml:space="preserve"> PAGEREF _Toc505349999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"_Toc505350000" </w:instrText>
                            </w:r>
                            <w:r>
                              <w:fldChar w:fldCharType="separate"/>
                            </w:r>
                            <w:r>
                              <w:rPr>
                                <w:rStyle w:val="24"/>
                                <w:rFonts w:ascii="黑体" w:eastAsia="黑体"/>
                              </w:rPr>
                              <w:t xml:space="preserve">1. 2  </w:t>
                            </w:r>
                            <w:r>
                              <w:rPr>
                                <w:rStyle w:val="24"/>
                                <w:rFonts w:hint="eastAsia" w:ascii="黑体" w:eastAsia="黑体"/>
                              </w:rPr>
                              <w:t>国际原油市场价格走势图</w:t>
                            </w:r>
                            <w:r>
                              <w:tab/>
                            </w:r>
                            <w:r>
                              <w:fldChar w:fldCharType="begin"/>
                            </w:r>
                            <w:r>
                              <w:instrText xml:space="preserve"> PAGEREF _Toc505350000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"_Toc505350001" </w:instrText>
                            </w:r>
                            <w:r>
                              <w:fldChar w:fldCharType="separate"/>
                            </w:r>
                            <w:r>
                              <w:rPr>
                                <w:rStyle w:val="24"/>
                                <w:rFonts w:hint="eastAsia" w:ascii="黑体" w:eastAsia="黑体"/>
                              </w:rPr>
                              <w:t>（二）</w:t>
                            </w:r>
                            <w:r>
                              <w:rPr>
                                <w:rStyle w:val="24"/>
                                <w:rFonts w:ascii="黑体" w:eastAsia="黑体"/>
                              </w:rPr>
                              <w:t>.</w:t>
                            </w:r>
                            <w:r>
                              <w:rPr>
                                <w:rStyle w:val="24"/>
                                <w:rFonts w:hint="eastAsia" w:ascii="黑体" w:eastAsia="黑体"/>
                              </w:rPr>
                              <w:t>近期影响国际原油市场的主要因素</w:t>
                            </w:r>
                            <w:r>
                              <w:tab/>
                            </w:r>
                            <w:r>
                              <w:fldChar w:fldCharType="begin"/>
                            </w:r>
                            <w:r>
                              <w:instrText xml:space="preserve"> PAGEREF _Toc505350001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"_Toc505350002" </w:instrText>
                            </w:r>
                            <w:r>
                              <w:fldChar w:fldCharType="separate"/>
                            </w:r>
                            <w:r>
                              <w:rPr>
                                <w:rStyle w:val="24"/>
                                <w:rFonts w:ascii="黑体" w:eastAsia="黑体"/>
                              </w:rPr>
                              <w:t>1</w:t>
                            </w:r>
                            <w:r>
                              <w:rPr>
                                <w:rStyle w:val="24"/>
                                <w:rFonts w:hint="eastAsia" w:ascii="黑体" w:eastAsia="黑体"/>
                              </w:rPr>
                              <w:t>、美国原油库存情况</w:t>
                            </w:r>
                            <w:r>
                              <w:tab/>
                            </w:r>
                            <w:r>
                              <w:fldChar w:fldCharType="begin"/>
                            </w:r>
                            <w:r>
                              <w:instrText xml:space="preserve"> PAGEREF _Toc505350002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"_Toc505350003" </w:instrText>
                            </w:r>
                            <w:r>
                              <w:fldChar w:fldCharType="separate"/>
                            </w:r>
                            <w:r>
                              <w:rPr>
                                <w:rStyle w:val="24"/>
                                <w:rFonts w:ascii="黑体" w:eastAsia="黑体"/>
                              </w:rPr>
                              <w:t>2</w:t>
                            </w:r>
                            <w:r>
                              <w:rPr>
                                <w:rStyle w:val="24"/>
                                <w:rFonts w:hint="eastAsia" w:ascii="黑体" w:eastAsia="黑体"/>
                              </w:rPr>
                              <w:t>、美国经济形势</w:t>
                            </w:r>
                            <w:r>
                              <w:tab/>
                            </w:r>
                            <w:r>
                              <w:fldChar w:fldCharType="begin"/>
                            </w:r>
                            <w:r>
                              <w:instrText xml:space="preserve"> PAGEREF _Toc505350003 \h </w:instrText>
                            </w:r>
                            <w:r>
                              <w:fldChar w:fldCharType="separate"/>
                            </w:r>
                            <w:r>
                              <w:t>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"_Toc505350004" </w:instrText>
                            </w:r>
                            <w:r>
                              <w:fldChar w:fldCharType="separate"/>
                            </w:r>
                            <w:r>
                              <w:rPr>
                                <w:rStyle w:val="24"/>
                                <w:rFonts w:ascii="黑体" w:eastAsia="黑体"/>
                              </w:rPr>
                              <w:t>3</w:t>
                            </w:r>
                            <w:r>
                              <w:rPr>
                                <w:rStyle w:val="24"/>
                                <w:rFonts w:hint="eastAsia" w:ascii="黑体" w:eastAsia="黑体"/>
                              </w:rPr>
                              <w:t>、世界经济形势</w:t>
                            </w:r>
                            <w:r>
                              <w:tab/>
                            </w:r>
                            <w:r>
                              <w:fldChar w:fldCharType="begin"/>
                            </w:r>
                            <w:r>
                              <w:instrText xml:space="preserve"> PAGEREF _Toc505350004 \h </w:instrText>
                            </w:r>
                            <w:r>
                              <w:fldChar w:fldCharType="separate"/>
                            </w:r>
                            <w:r>
                              <w:t>10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"_Toc505350005" </w:instrText>
                            </w:r>
                            <w:r>
                              <w:fldChar w:fldCharType="separate"/>
                            </w:r>
                            <w:r>
                              <w:rPr>
                                <w:rStyle w:val="24"/>
                                <w:rFonts w:hint="eastAsia" w:ascii="仿宋_GB2312" w:eastAsia="仿宋_GB2312"/>
                              </w:rPr>
                              <w:t>（三）</w:t>
                            </w:r>
                            <w:r>
                              <w:rPr>
                                <w:rStyle w:val="24"/>
                                <w:rFonts w:hint="eastAsia" w:cs="Arial"/>
                                <w:bCs/>
                                <w:kern w:val="0"/>
                              </w:rPr>
                              <w:t>、</w:t>
                            </w:r>
                            <w:r>
                              <w:rPr>
                                <w:rStyle w:val="24"/>
                                <w:rFonts w:cs="Arial"/>
                                <w:bCs/>
                                <w:kern w:val="0"/>
                              </w:rPr>
                              <w:t>201</w:t>
                            </w:r>
                            <w:r>
                              <w:rPr>
                                <w:rStyle w:val="24"/>
                                <w:rFonts w:hint="eastAsia" w:cs="Arial"/>
                                <w:bCs/>
                                <w:kern w:val="0"/>
                                <w:lang w:val="en-US" w:eastAsia="zh-CN"/>
                              </w:rPr>
                              <w:t>8</w:t>
                            </w:r>
                            <w:r>
                              <w:rPr>
                                <w:rStyle w:val="24"/>
                                <w:rFonts w:hint="eastAsia" w:cs="Arial"/>
                                <w:bCs/>
                                <w:kern w:val="0"/>
                              </w:rPr>
                              <w:t>年</w:t>
                            </w:r>
                            <w:r>
                              <w:rPr>
                                <w:rStyle w:val="24"/>
                                <w:rFonts w:cs="Arial"/>
                                <w:bCs/>
                                <w:kern w:val="0"/>
                              </w:rPr>
                              <w:t>1</w:t>
                            </w:r>
                            <w:r>
                              <w:rPr>
                                <w:rStyle w:val="24"/>
                                <w:rFonts w:hint="eastAsia" w:cs="Arial"/>
                                <w:bCs/>
                                <w:kern w:val="0"/>
                              </w:rPr>
                              <w:t>月份全国原油进出口统计数据</w:t>
                            </w:r>
                            <w:r>
                              <w:tab/>
                            </w:r>
                            <w:r>
                              <w:fldChar w:fldCharType="begin"/>
                            </w:r>
                            <w:r>
                              <w:instrText xml:space="preserve"> PAGEREF _Toc505350005 \h </w:instrText>
                            </w:r>
                            <w:r>
                              <w:fldChar w:fldCharType="separate"/>
                            </w:r>
                            <w:r>
                              <w:t>13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"_Toc505350006" </w:instrText>
                            </w:r>
                            <w:r>
                              <w:fldChar w:fldCharType="separate"/>
                            </w:r>
                            <w:r>
                              <w:rPr>
                                <w:rStyle w:val="24"/>
                                <w:rFonts w:hint="eastAsia" w:ascii="仿宋_GB2312" w:eastAsia="仿宋_GB2312" w:cs="Arial"/>
                                <w:bCs/>
                                <w:kern w:val="0"/>
                              </w:rPr>
                              <w:t>（四）、后市预测</w:t>
                            </w:r>
                            <w:r>
                              <w:tab/>
                            </w:r>
                            <w:r>
                              <w:fldChar w:fldCharType="begin"/>
                            </w:r>
                            <w:r>
                              <w:instrText xml:space="preserve"> PAGEREF _Toc505350006 \h </w:instrText>
                            </w:r>
                            <w:r>
                              <w:fldChar w:fldCharType="separate"/>
                            </w:r>
                            <w:r>
                              <w:t>13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"_Toc505350007" </w:instrText>
                            </w:r>
                            <w:r>
                              <w:fldChar w:fldCharType="separate"/>
                            </w:r>
                            <w:r>
                              <w:rPr>
                                <w:rStyle w:val="24"/>
                                <w:rFonts w:hint="eastAsia" w:ascii="黑体" w:eastAsia="黑体"/>
                              </w:rPr>
                              <w:t>二、</w:t>
                            </w:r>
                            <w:r>
                              <w:rPr>
                                <w:rStyle w:val="24"/>
                                <w:rFonts w:ascii="黑体" w:eastAsia="黑体"/>
                              </w:rPr>
                              <w:t xml:space="preserve"> </w:t>
                            </w:r>
                            <w:r>
                              <w:rPr>
                                <w:rStyle w:val="24"/>
                                <w:rFonts w:hint="eastAsia" w:ascii="黑体" w:eastAsia="黑体"/>
                              </w:rPr>
                              <w:t>石脑油</w:t>
                            </w:r>
                            <w:r>
                              <w:tab/>
                            </w:r>
                            <w:r>
                              <w:fldChar w:fldCharType="begin"/>
                            </w:r>
                            <w:r>
                              <w:instrText xml:space="preserve"> PAGEREF _Toc505350007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"_Toc505350008" </w:instrText>
                            </w:r>
                            <w:r>
                              <w:fldChar w:fldCharType="separate"/>
                            </w:r>
                            <w:r>
                              <w:rPr>
                                <w:rStyle w:val="24"/>
                              </w:rPr>
                              <w:t>2. 1</w:t>
                            </w:r>
                            <w:r>
                              <w:rPr>
                                <w:rStyle w:val="24"/>
                                <w:rFonts w:hint="eastAsia"/>
                                <w:kern w:val="0"/>
                              </w:rPr>
                              <w:t>国际石脑油市场价格</w:t>
                            </w:r>
                            <w:r>
                              <w:tab/>
                            </w:r>
                            <w:r>
                              <w:fldChar w:fldCharType="begin"/>
                            </w:r>
                            <w:r>
                              <w:instrText xml:space="preserve"> PAGEREF _Toc505350008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"_Toc505350009" </w:instrText>
                            </w:r>
                            <w:r>
                              <w:fldChar w:fldCharType="separate"/>
                            </w:r>
                            <w:r>
                              <w:rPr>
                                <w:rStyle w:val="24"/>
                                <w:rFonts w:ascii="黑体" w:hAnsi="Times New Roman" w:eastAsia="黑体"/>
                              </w:rPr>
                              <w:t>2.</w:t>
                            </w:r>
                            <w:r>
                              <w:rPr>
                                <w:rStyle w:val="24"/>
                                <w:rFonts w:ascii="黑体" w:eastAsia="黑体"/>
                              </w:rPr>
                              <w:t>2</w:t>
                            </w:r>
                            <w:r>
                              <w:rPr>
                                <w:rStyle w:val="24"/>
                                <w:rFonts w:hint="eastAsia" w:ascii="黑体" w:eastAsia="黑体"/>
                              </w:rPr>
                              <w:t>地炼石脑油市场</w:t>
                            </w:r>
                            <w:r>
                              <w:tab/>
                            </w:r>
                            <w:r>
                              <w:fldChar w:fldCharType="begin"/>
                            </w:r>
                            <w:r>
                              <w:instrText xml:space="preserve"> PAGEREF _Toc505350009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"_Toc505350010" </w:instrText>
                            </w:r>
                            <w:r>
                              <w:fldChar w:fldCharType="separate"/>
                            </w:r>
                            <w:r>
                              <w:rPr>
                                <w:rStyle w:val="24"/>
                                <w:rFonts w:asciiTheme="minorEastAsia" w:hAnsiTheme="minorEastAsia"/>
                              </w:rPr>
                              <w:t>2.3</w:t>
                            </w:r>
                            <w:r>
                              <w:rPr>
                                <w:rStyle w:val="24"/>
                                <w:rFonts w:hint="eastAsia" w:asciiTheme="minorEastAsia" w:hAnsiTheme="minorEastAsia"/>
                              </w:rPr>
                              <w:t>本周国内石脑油价格汇总</w:t>
                            </w:r>
                            <w:r>
                              <w:tab/>
                            </w:r>
                            <w:r>
                              <w:fldChar w:fldCharType="begin"/>
                            </w:r>
                            <w:r>
                              <w:instrText xml:space="preserve"> PAGEREF _Toc505350010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"_Toc505350011" </w:instrText>
                            </w:r>
                            <w:r>
                              <w:fldChar w:fldCharType="separate"/>
                            </w:r>
                            <w:r>
                              <w:rPr>
                                <w:rStyle w:val="24"/>
                                <w:rFonts w:asciiTheme="minorEastAsia" w:hAnsiTheme="minorEastAsia"/>
                              </w:rPr>
                              <w:t>2. 4</w:t>
                            </w:r>
                            <w:r>
                              <w:rPr>
                                <w:rStyle w:val="24"/>
                                <w:rFonts w:hint="eastAsia" w:asciiTheme="minorEastAsia" w:hAnsiTheme="minorEastAsia"/>
                              </w:rPr>
                              <w:t>山东地炼石脑油价格走势图</w:t>
                            </w:r>
                            <w:r>
                              <w:tab/>
                            </w:r>
                            <w:r>
                              <w:fldChar w:fldCharType="begin"/>
                            </w:r>
                            <w:r>
                              <w:instrText xml:space="preserve"> PAGEREF _Toc505350011 \h </w:instrText>
                            </w:r>
                            <w:r>
                              <w:fldChar w:fldCharType="separate"/>
                            </w:r>
                            <w:r>
                              <w:t>16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"_Toc505350012" </w:instrText>
                            </w:r>
                            <w:r>
                              <w:fldChar w:fldCharType="separate"/>
                            </w:r>
                            <w:r>
                              <w:rPr>
                                <w:rStyle w:val="24"/>
                                <w:rFonts w:hint="eastAsia" w:ascii="黑体" w:eastAsia="黑体"/>
                              </w:rPr>
                              <w:t>三、本周国内油品市场分析及预测</w:t>
                            </w:r>
                            <w:r>
                              <w:tab/>
                            </w:r>
                            <w:r>
                              <w:fldChar w:fldCharType="begin"/>
                            </w:r>
                            <w:r>
                              <w:instrText xml:space="preserve"> PAGEREF _Toc505350012 \h </w:instrText>
                            </w:r>
                            <w:r>
                              <w:fldChar w:fldCharType="separate"/>
                            </w:r>
                            <w:r>
                              <w:t>16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"_Toc505350013" </w:instrText>
                            </w:r>
                            <w:r>
                              <w:fldChar w:fldCharType="separate"/>
                            </w:r>
                            <w:r>
                              <w:rPr>
                                <w:rStyle w:val="24"/>
                                <w:rFonts w:ascii="黑体" w:hAnsi="黑体"/>
                              </w:rPr>
                              <w:t>3</w:t>
                            </w:r>
                            <w:r>
                              <w:rPr>
                                <w:rStyle w:val="24"/>
                                <w:rFonts w:hint="eastAsia" w:ascii="黑体" w:hAnsi="黑体"/>
                              </w:rPr>
                              <w:t>．</w:t>
                            </w:r>
                            <w:r>
                              <w:rPr>
                                <w:rStyle w:val="24"/>
                                <w:rFonts w:ascii="黑体" w:hAnsi="黑体"/>
                              </w:rPr>
                              <w:t xml:space="preserve">1  </w:t>
                            </w:r>
                            <w:r>
                              <w:rPr>
                                <w:rStyle w:val="24"/>
                                <w:rFonts w:hint="eastAsia" w:ascii="黑体" w:hAnsi="黑体"/>
                              </w:rPr>
                              <w:t>成品油市场动态</w:t>
                            </w:r>
                            <w:r>
                              <w:tab/>
                            </w:r>
                            <w:r>
                              <w:fldChar w:fldCharType="begin"/>
                            </w:r>
                            <w:r>
                              <w:instrText xml:space="preserve"> PAGEREF _Toc505350013 \h </w:instrText>
                            </w:r>
                            <w:r>
                              <w:fldChar w:fldCharType="separate"/>
                            </w:r>
                            <w:r>
                              <w:t>17</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"_Toc505350014" </w:instrText>
                            </w:r>
                            <w:r>
                              <w:fldChar w:fldCharType="separate"/>
                            </w:r>
                            <w:r>
                              <w:rPr>
                                <w:rStyle w:val="24"/>
                                <w:rFonts w:hint="eastAsia" w:ascii="黑体"/>
                              </w:rPr>
                              <w:t>四、国内溶剂油市场综述</w:t>
                            </w:r>
                            <w:r>
                              <w:tab/>
                            </w:r>
                            <w:r>
                              <w:fldChar w:fldCharType="begin"/>
                            </w:r>
                            <w:r>
                              <w:instrText xml:space="preserve"> PAGEREF _Toc505350014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"_Toc505350015" </w:instrText>
                            </w:r>
                            <w:r>
                              <w:fldChar w:fldCharType="separate"/>
                            </w:r>
                            <w:r>
                              <w:rPr>
                                <w:rStyle w:val="24"/>
                                <w:rFonts w:hint="eastAsia" w:ascii="黑体"/>
                              </w:rPr>
                              <w:t>五、本周国内炼厂溶剂油产品价格对比</w:t>
                            </w:r>
                            <w:r>
                              <w:tab/>
                            </w:r>
                            <w:r>
                              <w:fldChar w:fldCharType="begin"/>
                            </w:r>
                            <w:r>
                              <w:instrText xml:space="preserve"> PAGEREF _Toc505350015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"_Toc505350016" </w:instrText>
                            </w:r>
                            <w:r>
                              <w:fldChar w:fldCharType="separate"/>
                            </w:r>
                            <w:r>
                              <w:rPr>
                                <w:rStyle w:val="24"/>
                                <w:rFonts w:hint="eastAsia" w:ascii="黑体"/>
                              </w:rPr>
                              <w:t>六、</w:t>
                            </w:r>
                            <w:r>
                              <w:rPr>
                                <w:rStyle w:val="24"/>
                                <w:rFonts w:ascii="黑体"/>
                              </w:rPr>
                              <w:t>D</w:t>
                            </w:r>
                            <w:r>
                              <w:rPr>
                                <w:rStyle w:val="24"/>
                                <w:rFonts w:hint="eastAsia" w:ascii="黑体"/>
                              </w:rPr>
                              <w:t>系列特种溶剂油</w:t>
                            </w:r>
                            <w:r>
                              <w:tab/>
                            </w:r>
                            <w:r>
                              <w:fldChar w:fldCharType="begin"/>
                            </w:r>
                            <w:r>
                              <w:instrText xml:space="preserve"> PAGEREF _Toc505350016 \h </w:instrText>
                            </w:r>
                            <w:r>
                              <w:fldChar w:fldCharType="separate"/>
                            </w:r>
                            <w:r>
                              <w:t>23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"_Toc505350017" </w:instrText>
                            </w:r>
                            <w:r>
                              <w:fldChar w:fldCharType="separate"/>
                            </w:r>
                            <w:r>
                              <w:rPr>
                                <w:rStyle w:val="24"/>
                                <w:rFonts w:hint="eastAsia" w:ascii="黑体"/>
                              </w:rPr>
                              <w:t>七、重芳烃溶剂油</w:t>
                            </w:r>
                            <w:r>
                              <w:tab/>
                            </w:r>
                            <w:r>
                              <w:fldChar w:fldCharType="begin"/>
                            </w:r>
                            <w:r>
                              <w:instrText xml:space="preserve"> PAGEREF _Toc505350017 \h </w:instrText>
                            </w:r>
                            <w:r>
                              <w:fldChar w:fldCharType="separate"/>
                            </w:r>
                            <w:r>
                              <w:t>25</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"_Toc505350018" </w:instrText>
                            </w:r>
                            <w:r>
                              <w:fldChar w:fldCharType="separate"/>
                            </w:r>
                            <w:r>
                              <w:rPr>
                                <w:rStyle w:val="24"/>
                                <w:rFonts w:hint="eastAsia" w:ascii="黑体"/>
                              </w:rPr>
                              <w:t>八、正己烷</w:t>
                            </w:r>
                            <w:r>
                              <w:tab/>
                            </w:r>
                            <w:r>
                              <w:fldChar w:fldCharType="begin"/>
                            </w:r>
                            <w:r>
                              <w:instrText xml:space="preserve"> PAGEREF _Toc505350018 \h </w:instrText>
                            </w:r>
                            <w:r>
                              <w:fldChar w:fldCharType="separate"/>
                            </w:r>
                            <w:r>
                              <w:t>26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"_Toc505350019" </w:instrText>
                            </w:r>
                            <w:r>
                              <w:fldChar w:fldCharType="separate"/>
                            </w:r>
                            <w:r>
                              <w:rPr>
                                <w:rStyle w:val="24"/>
                                <w:rFonts w:hint="eastAsia" w:ascii="黑体"/>
                              </w:rPr>
                              <w:t>九、</w:t>
                            </w:r>
                            <w:r>
                              <w:rPr>
                                <w:rStyle w:val="24"/>
                                <w:rFonts w:ascii="黑体"/>
                              </w:rPr>
                              <w:t>201</w:t>
                            </w:r>
                            <w:r>
                              <w:rPr>
                                <w:rStyle w:val="24"/>
                                <w:rFonts w:hint="eastAsia" w:ascii="黑体"/>
                                <w:lang w:val="en-US" w:eastAsia="zh-CN"/>
                              </w:rPr>
                              <w:t>8</w:t>
                            </w:r>
                            <w:r>
                              <w:rPr>
                                <w:rStyle w:val="24"/>
                                <w:rFonts w:hint="eastAsia" w:ascii="黑体"/>
                              </w:rPr>
                              <w:t>年</w:t>
                            </w:r>
                            <w:r>
                              <w:rPr>
                                <w:rStyle w:val="24"/>
                                <w:rFonts w:ascii="黑体"/>
                              </w:rPr>
                              <w:t>1</w:t>
                            </w:r>
                            <w:r>
                              <w:rPr>
                                <w:rStyle w:val="24"/>
                                <w:rFonts w:hint="eastAsia" w:ascii="黑体"/>
                              </w:rPr>
                              <w:t>月中国溶剂油、石脑油进出口数据统计</w:t>
                            </w:r>
                            <w:r>
                              <w:tab/>
                            </w:r>
                            <w:r>
                              <w:fldChar w:fldCharType="begin"/>
                            </w:r>
                            <w:r>
                              <w:instrText xml:space="preserve"> PAGEREF _Toc505350019 \h </w:instrText>
                            </w:r>
                            <w:r>
                              <w:fldChar w:fldCharType="separate"/>
                            </w:r>
                            <w:r>
                              <w:t>26</w:t>
                            </w:r>
                            <w:r>
                              <w:fldChar w:fldCharType="end"/>
                            </w:r>
                            <w:r>
                              <w:fldChar w:fldCharType="end"/>
                            </w:r>
                          </w:p>
                          <w:p>
                            <w:r>
                              <w:rPr>
                                <w:rFonts w:ascii="宋体" w:hAnsi="宋体"/>
                              </w:rPr>
                              <w:fldChar w:fldCharType="end"/>
                            </w:r>
                          </w:p>
                        </w:txbxContent>
                      </wps:txbx>
                      <wps:bodyPr upright="1"/>
                    </wps:wsp>
                  </a:graphicData>
                </a:graphic>
              </wp:anchor>
            </w:drawing>
          </mc:Choice>
          <mc:Fallback>
            <w:pict>
              <v:shape id="文本框 4" o:spid="_x0000_s1026" o:spt="202" type="#_x0000_t202" style="position:absolute;left:0pt;margin-left:-0.9pt;margin-top:34.7pt;height:642.7pt;width:489.15pt;z-index:251659264;mso-width-relative:page;mso-height-relative:page;" filled="f" stroked="f" coordsize="21600,21600"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V+/iJ8BAAAYAwAADgAAAGRycy9lMm9Eb2MueG1srVJL&#10;TiMxEN0jcQfLe+JOi0TQSgcJIdggZiSGAzhuO23Jdlm2SXcuMHODWc2GPefKOaZsQkCwQ2zscn2e&#10;672qxcVoDdnIEDW4lk4nFSXSCei0W7f04df1yRklMXHXcQNOtnQrI71YHh8tBt/IGnownQwEQVxs&#10;Bt/SPiXfMBZFLy2PE/DSYVBBsDzhM6xZF/iA6NawuqrmbIDQ+QBCxojeq5cgXRZ8paRIP5SKMhHT&#10;UuwtlTOUc5VPtlzwZh2477XYt8G/0IXl2uGnB6grnjh5DPoTlNUiQASVJgIsA6W0kIUDsplWH9jc&#10;99zLwgXFif4gU/w+WHG3+RmI7lo6p8RxiyPa/f2z+/e8e/pNTrM8g48NZt17zEvjJYw45ld/RGdm&#10;Papg8418CMZR6O1BXDkmItA5r6d1Xc0oERg7m87r+rzIz97KfYjpRoIl2WhpwOkVUfnmNiZsBVNf&#10;U/JvDq61MWWCxpGhpeezelYKDhGsMC7nyrILe5hM6aX1bKVxNe55rqDbIs1HH/S6xw4KUZaTUP7y&#10;/35V8nzfv9F+v9D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gbKUrYAAAACgEAAA8AAAAAAAAA&#10;AQAgAAAAIgAAAGRycy9kb3ducmV2LnhtbFBLAQIUABQAAAAIAIdO4kD5X7+InwEAABgDAAAOAAAA&#10;AAAAAAEAIAAAACcBAABkcnMvZTJvRG9jLnhtbFBLBQYAAAAABgAGAFkBAAA4BQAAAAA=&#10;">
                <v:fill on="f" focussize="0,0"/>
                <v:stroke on="f"/>
                <v:imagedata o:title=""/>
                <o:lock v:ext="edit" aspectratio="f"/>
                <v:textbox>
                  <w:txbxContent>
                    <w:p>
                      <w:pPr>
                        <w:pStyle w:val="55"/>
                        <w:spacing w:line="480" w:lineRule="auto"/>
                        <w:jc w:val="center"/>
                        <w:rPr>
                          <w:rFonts w:ascii="宋体" w:hAnsi="宋体"/>
                          <w:b/>
                          <w:sz w:val="28"/>
                          <w:szCs w:val="28"/>
                          <w:lang w:eastAsia="zh-CN"/>
                        </w:rPr>
                      </w:pPr>
                      <w:r>
                        <w:rPr>
                          <w:rFonts w:hint="eastAsia" w:ascii="宋体" w:hAnsi="宋体"/>
                          <w:b/>
                          <w:sz w:val="28"/>
                          <w:szCs w:val="28"/>
                          <w:lang w:eastAsia="zh-CN"/>
                        </w:rPr>
                        <w:t>溶剂油市场周报目录</w:t>
                      </w:r>
                    </w:p>
                    <w:p>
                      <w:pPr>
                        <w:pStyle w:val="14"/>
                        <w:rPr>
                          <w:rFonts w:asciiTheme="minorHAnsi" w:hAnsiTheme="minorHAnsi" w:eastAsiaTheme="minorEastAsia" w:cstheme="minorBidi"/>
                          <w:b w:val="0"/>
                          <w:bCs w:val="0"/>
                          <w:caps w:val="0"/>
                          <w:color w:val="auto"/>
                          <w:sz w:val="21"/>
                          <w:szCs w:val="22"/>
                        </w:rPr>
                      </w:pPr>
                      <w:r>
                        <w:rPr>
                          <w:sz w:val="20"/>
                        </w:rPr>
                        <w:fldChar w:fldCharType="begin"/>
                      </w:r>
                      <w:r>
                        <w:rPr>
                          <w:sz w:val="20"/>
                        </w:rPr>
                        <w:instrText xml:space="preserve"> TOC \o "1-3" \h \z \u </w:instrText>
                      </w:r>
                      <w:r>
                        <w:rPr>
                          <w:sz w:val="20"/>
                        </w:rPr>
                        <w:fldChar w:fldCharType="separate"/>
                      </w:r>
                      <w:r>
                        <w:fldChar w:fldCharType="begin"/>
                      </w:r>
                      <w:r>
                        <w:instrText xml:space="preserve"> HYPERLINK "file:///C:\\Users\\Administrator\\Desktop\\原油\\周报、月报\\溶剂油（石脑油）周报2-2.docx" \l "_Toc505349996" </w:instrText>
                      </w:r>
                      <w:r>
                        <w:fldChar w:fldCharType="separate"/>
                      </w:r>
                      <w:r>
                        <w:fldChar w:fldCharType="end"/>
                      </w:r>
                      <w:r>
                        <w:fldChar w:fldCharType="begin"/>
                      </w:r>
                      <w:r>
                        <w:instrText xml:space="preserve"> HYPERLINK \l "_Toc505349997" </w:instrText>
                      </w:r>
                      <w:r>
                        <w:fldChar w:fldCharType="separate"/>
                      </w:r>
                      <w:r>
                        <w:rPr>
                          <w:rStyle w:val="24"/>
                          <w:rFonts w:hint="eastAsia" w:ascii="黑体"/>
                        </w:rPr>
                        <w:t>一、国际原油</w:t>
                      </w:r>
                      <w:r>
                        <w:tab/>
                      </w:r>
                      <w:r>
                        <w:fldChar w:fldCharType="begin"/>
                      </w:r>
                      <w:r>
                        <w:instrText xml:space="preserve"> PAGEREF _Toc505349997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"_Toc505349998" </w:instrText>
                      </w:r>
                      <w:r>
                        <w:fldChar w:fldCharType="separate"/>
                      </w:r>
                      <w:r>
                        <w:rPr>
                          <w:rStyle w:val="24"/>
                          <w:rFonts w:hint="eastAsia" w:ascii="黑体" w:eastAsia="黑体" w:cs="Arial"/>
                          <w:bCs/>
                          <w:kern w:val="0"/>
                        </w:rPr>
                        <w:t>（一）、国际原油市场回顾</w:t>
                      </w:r>
                      <w:r>
                        <w:tab/>
                      </w:r>
                      <w:r>
                        <w:fldChar w:fldCharType="begin"/>
                      </w:r>
                      <w:r>
                        <w:instrText xml:space="preserve"> PAGEREF _Toc505349998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"_Toc505349999" </w:instrText>
                      </w:r>
                      <w:r>
                        <w:fldChar w:fldCharType="separate"/>
                      </w:r>
                      <w:r>
                        <w:rPr>
                          <w:rStyle w:val="24"/>
                          <w:rFonts w:ascii="黑体" w:eastAsia="黑体"/>
                          <w:kern w:val="0"/>
                        </w:rPr>
                        <w:t xml:space="preserve">1. 1  </w:t>
                      </w:r>
                      <w:r>
                        <w:rPr>
                          <w:rStyle w:val="24"/>
                          <w:rFonts w:hint="eastAsia" w:ascii="黑体" w:eastAsia="黑体" w:cs="Arial"/>
                          <w:kern w:val="0"/>
                        </w:rPr>
                        <w:t>国际原油收盘价涨跌情况（单位：美元</w:t>
                      </w:r>
                      <w:r>
                        <w:rPr>
                          <w:rStyle w:val="24"/>
                          <w:rFonts w:ascii="黑体" w:eastAsia="黑体" w:cs="Arial"/>
                          <w:kern w:val="0"/>
                        </w:rPr>
                        <w:t>/</w:t>
                      </w:r>
                      <w:r>
                        <w:rPr>
                          <w:rStyle w:val="24"/>
                          <w:rFonts w:hint="eastAsia" w:ascii="黑体" w:eastAsia="黑体" w:cs="Arial"/>
                          <w:kern w:val="0"/>
                        </w:rPr>
                        <w:t>桶）</w:t>
                      </w:r>
                      <w:r>
                        <w:tab/>
                      </w:r>
                      <w:r>
                        <w:fldChar w:fldCharType="begin"/>
                      </w:r>
                      <w:r>
                        <w:instrText xml:space="preserve"> PAGEREF _Toc505349999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"_Toc505350000" </w:instrText>
                      </w:r>
                      <w:r>
                        <w:fldChar w:fldCharType="separate"/>
                      </w:r>
                      <w:r>
                        <w:rPr>
                          <w:rStyle w:val="24"/>
                          <w:rFonts w:ascii="黑体" w:eastAsia="黑体"/>
                        </w:rPr>
                        <w:t xml:space="preserve">1. 2  </w:t>
                      </w:r>
                      <w:r>
                        <w:rPr>
                          <w:rStyle w:val="24"/>
                          <w:rFonts w:hint="eastAsia" w:ascii="黑体" w:eastAsia="黑体"/>
                        </w:rPr>
                        <w:t>国际原油市场价格走势图</w:t>
                      </w:r>
                      <w:r>
                        <w:tab/>
                      </w:r>
                      <w:r>
                        <w:fldChar w:fldCharType="begin"/>
                      </w:r>
                      <w:r>
                        <w:instrText xml:space="preserve"> PAGEREF _Toc505350000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"_Toc505350001" </w:instrText>
                      </w:r>
                      <w:r>
                        <w:fldChar w:fldCharType="separate"/>
                      </w:r>
                      <w:r>
                        <w:rPr>
                          <w:rStyle w:val="24"/>
                          <w:rFonts w:hint="eastAsia" w:ascii="黑体" w:eastAsia="黑体"/>
                        </w:rPr>
                        <w:t>（二）</w:t>
                      </w:r>
                      <w:r>
                        <w:rPr>
                          <w:rStyle w:val="24"/>
                          <w:rFonts w:ascii="黑体" w:eastAsia="黑体"/>
                        </w:rPr>
                        <w:t>.</w:t>
                      </w:r>
                      <w:r>
                        <w:rPr>
                          <w:rStyle w:val="24"/>
                          <w:rFonts w:hint="eastAsia" w:ascii="黑体" w:eastAsia="黑体"/>
                        </w:rPr>
                        <w:t>近期影响国际原油市场的主要因素</w:t>
                      </w:r>
                      <w:r>
                        <w:tab/>
                      </w:r>
                      <w:r>
                        <w:fldChar w:fldCharType="begin"/>
                      </w:r>
                      <w:r>
                        <w:instrText xml:space="preserve"> PAGEREF _Toc505350001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"_Toc505350002" </w:instrText>
                      </w:r>
                      <w:r>
                        <w:fldChar w:fldCharType="separate"/>
                      </w:r>
                      <w:r>
                        <w:rPr>
                          <w:rStyle w:val="24"/>
                          <w:rFonts w:ascii="黑体" w:eastAsia="黑体"/>
                        </w:rPr>
                        <w:t>1</w:t>
                      </w:r>
                      <w:r>
                        <w:rPr>
                          <w:rStyle w:val="24"/>
                          <w:rFonts w:hint="eastAsia" w:ascii="黑体" w:eastAsia="黑体"/>
                        </w:rPr>
                        <w:t>、美国原油库存情况</w:t>
                      </w:r>
                      <w:r>
                        <w:tab/>
                      </w:r>
                      <w:r>
                        <w:fldChar w:fldCharType="begin"/>
                      </w:r>
                      <w:r>
                        <w:instrText xml:space="preserve"> PAGEREF _Toc505350002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"_Toc505350003" </w:instrText>
                      </w:r>
                      <w:r>
                        <w:fldChar w:fldCharType="separate"/>
                      </w:r>
                      <w:r>
                        <w:rPr>
                          <w:rStyle w:val="24"/>
                          <w:rFonts w:ascii="黑体" w:eastAsia="黑体"/>
                        </w:rPr>
                        <w:t>2</w:t>
                      </w:r>
                      <w:r>
                        <w:rPr>
                          <w:rStyle w:val="24"/>
                          <w:rFonts w:hint="eastAsia" w:ascii="黑体" w:eastAsia="黑体"/>
                        </w:rPr>
                        <w:t>、美国经济形势</w:t>
                      </w:r>
                      <w:r>
                        <w:tab/>
                      </w:r>
                      <w:r>
                        <w:fldChar w:fldCharType="begin"/>
                      </w:r>
                      <w:r>
                        <w:instrText xml:space="preserve"> PAGEREF _Toc505350003 \h </w:instrText>
                      </w:r>
                      <w:r>
                        <w:fldChar w:fldCharType="separate"/>
                      </w:r>
                      <w:r>
                        <w:t>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"_Toc505350004" </w:instrText>
                      </w:r>
                      <w:r>
                        <w:fldChar w:fldCharType="separate"/>
                      </w:r>
                      <w:r>
                        <w:rPr>
                          <w:rStyle w:val="24"/>
                          <w:rFonts w:ascii="黑体" w:eastAsia="黑体"/>
                        </w:rPr>
                        <w:t>3</w:t>
                      </w:r>
                      <w:r>
                        <w:rPr>
                          <w:rStyle w:val="24"/>
                          <w:rFonts w:hint="eastAsia" w:ascii="黑体" w:eastAsia="黑体"/>
                        </w:rPr>
                        <w:t>、世界经济形势</w:t>
                      </w:r>
                      <w:r>
                        <w:tab/>
                      </w:r>
                      <w:r>
                        <w:fldChar w:fldCharType="begin"/>
                      </w:r>
                      <w:r>
                        <w:instrText xml:space="preserve"> PAGEREF _Toc505350004 \h </w:instrText>
                      </w:r>
                      <w:r>
                        <w:fldChar w:fldCharType="separate"/>
                      </w:r>
                      <w:r>
                        <w:t>10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"_Toc505350005" </w:instrText>
                      </w:r>
                      <w:r>
                        <w:fldChar w:fldCharType="separate"/>
                      </w:r>
                      <w:r>
                        <w:rPr>
                          <w:rStyle w:val="24"/>
                          <w:rFonts w:hint="eastAsia" w:ascii="仿宋_GB2312" w:eastAsia="仿宋_GB2312"/>
                        </w:rPr>
                        <w:t>（三）</w:t>
                      </w:r>
                      <w:r>
                        <w:rPr>
                          <w:rStyle w:val="24"/>
                          <w:rFonts w:hint="eastAsia" w:cs="Arial"/>
                          <w:bCs/>
                          <w:kern w:val="0"/>
                        </w:rPr>
                        <w:t>、</w:t>
                      </w:r>
                      <w:r>
                        <w:rPr>
                          <w:rStyle w:val="24"/>
                          <w:rFonts w:cs="Arial"/>
                          <w:bCs/>
                          <w:kern w:val="0"/>
                        </w:rPr>
                        <w:t>201</w:t>
                      </w:r>
                      <w:r>
                        <w:rPr>
                          <w:rStyle w:val="24"/>
                          <w:rFonts w:hint="eastAsia" w:cs="Arial"/>
                          <w:bCs/>
                          <w:kern w:val="0"/>
                          <w:lang w:val="en-US" w:eastAsia="zh-CN"/>
                        </w:rPr>
                        <w:t>8</w:t>
                      </w:r>
                      <w:r>
                        <w:rPr>
                          <w:rStyle w:val="24"/>
                          <w:rFonts w:hint="eastAsia" w:cs="Arial"/>
                          <w:bCs/>
                          <w:kern w:val="0"/>
                        </w:rPr>
                        <w:t>年</w:t>
                      </w:r>
                      <w:r>
                        <w:rPr>
                          <w:rStyle w:val="24"/>
                          <w:rFonts w:cs="Arial"/>
                          <w:bCs/>
                          <w:kern w:val="0"/>
                        </w:rPr>
                        <w:t>1</w:t>
                      </w:r>
                      <w:r>
                        <w:rPr>
                          <w:rStyle w:val="24"/>
                          <w:rFonts w:hint="eastAsia" w:cs="Arial"/>
                          <w:bCs/>
                          <w:kern w:val="0"/>
                        </w:rPr>
                        <w:t>月份全国原油进出口统计数据</w:t>
                      </w:r>
                      <w:r>
                        <w:tab/>
                      </w:r>
                      <w:r>
                        <w:fldChar w:fldCharType="begin"/>
                      </w:r>
                      <w:r>
                        <w:instrText xml:space="preserve"> PAGEREF _Toc505350005 \h </w:instrText>
                      </w:r>
                      <w:r>
                        <w:fldChar w:fldCharType="separate"/>
                      </w:r>
                      <w:r>
                        <w:t>13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"_Toc505350006" </w:instrText>
                      </w:r>
                      <w:r>
                        <w:fldChar w:fldCharType="separate"/>
                      </w:r>
                      <w:r>
                        <w:rPr>
                          <w:rStyle w:val="24"/>
                          <w:rFonts w:hint="eastAsia" w:ascii="仿宋_GB2312" w:eastAsia="仿宋_GB2312" w:cs="Arial"/>
                          <w:bCs/>
                          <w:kern w:val="0"/>
                        </w:rPr>
                        <w:t>（四）、后市预测</w:t>
                      </w:r>
                      <w:r>
                        <w:tab/>
                      </w:r>
                      <w:r>
                        <w:fldChar w:fldCharType="begin"/>
                      </w:r>
                      <w:r>
                        <w:instrText xml:space="preserve"> PAGEREF _Toc505350006 \h </w:instrText>
                      </w:r>
                      <w:r>
                        <w:fldChar w:fldCharType="separate"/>
                      </w:r>
                      <w:r>
                        <w:t>13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"_Toc505350007" </w:instrText>
                      </w:r>
                      <w:r>
                        <w:fldChar w:fldCharType="separate"/>
                      </w:r>
                      <w:r>
                        <w:rPr>
                          <w:rStyle w:val="24"/>
                          <w:rFonts w:hint="eastAsia" w:ascii="黑体" w:eastAsia="黑体"/>
                        </w:rPr>
                        <w:t>二、</w:t>
                      </w:r>
                      <w:r>
                        <w:rPr>
                          <w:rStyle w:val="24"/>
                          <w:rFonts w:ascii="黑体" w:eastAsia="黑体"/>
                        </w:rPr>
                        <w:t xml:space="preserve"> </w:t>
                      </w:r>
                      <w:r>
                        <w:rPr>
                          <w:rStyle w:val="24"/>
                          <w:rFonts w:hint="eastAsia" w:ascii="黑体" w:eastAsia="黑体"/>
                        </w:rPr>
                        <w:t>石脑油</w:t>
                      </w:r>
                      <w:r>
                        <w:tab/>
                      </w:r>
                      <w:r>
                        <w:fldChar w:fldCharType="begin"/>
                      </w:r>
                      <w:r>
                        <w:instrText xml:space="preserve"> PAGEREF _Toc505350007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"_Toc505350008" </w:instrText>
                      </w:r>
                      <w:r>
                        <w:fldChar w:fldCharType="separate"/>
                      </w:r>
                      <w:r>
                        <w:rPr>
                          <w:rStyle w:val="24"/>
                        </w:rPr>
                        <w:t>2. 1</w:t>
                      </w:r>
                      <w:r>
                        <w:rPr>
                          <w:rStyle w:val="24"/>
                          <w:rFonts w:hint="eastAsia"/>
                          <w:kern w:val="0"/>
                        </w:rPr>
                        <w:t>国际石脑油市场价格</w:t>
                      </w:r>
                      <w:r>
                        <w:tab/>
                      </w:r>
                      <w:r>
                        <w:fldChar w:fldCharType="begin"/>
                      </w:r>
                      <w:r>
                        <w:instrText xml:space="preserve"> PAGEREF _Toc505350008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"_Toc505350009" </w:instrText>
                      </w:r>
                      <w:r>
                        <w:fldChar w:fldCharType="separate"/>
                      </w:r>
                      <w:r>
                        <w:rPr>
                          <w:rStyle w:val="24"/>
                          <w:rFonts w:ascii="黑体" w:hAnsi="Times New Roman" w:eastAsia="黑体"/>
                        </w:rPr>
                        <w:t>2.</w:t>
                      </w:r>
                      <w:r>
                        <w:rPr>
                          <w:rStyle w:val="24"/>
                          <w:rFonts w:ascii="黑体" w:eastAsia="黑体"/>
                        </w:rPr>
                        <w:t>2</w:t>
                      </w:r>
                      <w:r>
                        <w:rPr>
                          <w:rStyle w:val="24"/>
                          <w:rFonts w:hint="eastAsia" w:ascii="黑体" w:eastAsia="黑体"/>
                        </w:rPr>
                        <w:t>地炼石脑油市场</w:t>
                      </w:r>
                      <w:r>
                        <w:tab/>
                      </w:r>
                      <w:r>
                        <w:fldChar w:fldCharType="begin"/>
                      </w:r>
                      <w:r>
                        <w:instrText xml:space="preserve"> PAGEREF _Toc505350009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"_Toc505350010" </w:instrText>
                      </w:r>
                      <w:r>
                        <w:fldChar w:fldCharType="separate"/>
                      </w:r>
                      <w:r>
                        <w:rPr>
                          <w:rStyle w:val="24"/>
                          <w:rFonts w:asciiTheme="minorEastAsia" w:hAnsiTheme="minorEastAsia"/>
                        </w:rPr>
                        <w:t>2.3</w:t>
                      </w:r>
                      <w:r>
                        <w:rPr>
                          <w:rStyle w:val="24"/>
                          <w:rFonts w:hint="eastAsia" w:asciiTheme="minorEastAsia" w:hAnsiTheme="minorEastAsia"/>
                        </w:rPr>
                        <w:t>本周国内石脑油价格汇总</w:t>
                      </w:r>
                      <w:r>
                        <w:tab/>
                      </w:r>
                      <w:r>
                        <w:fldChar w:fldCharType="begin"/>
                      </w:r>
                      <w:r>
                        <w:instrText xml:space="preserve"> PAGEREF _Toc505350010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"_Toc505350011" </w:instrText>
                      </w:r>
                      <w:r>
                        <w:fldChar w:fldCharType="separate"/>
                      </w:r>
                      <w:r>
                        <w:rPr>
                          <w:rStyle w:val="24"/>
                          <w:rFonts w:asciiTheme="minorEastAsia" w:hAnsiTheme="minorEastAsia"/>
                        </w:rPr>
                        <w:t>2. 4</w:t>
                      </w:r>
                      <w:r>
                        <w:rPr>
                          <w:rStyle w:val="24"/>
                          <w:rFonts w:hint="eastAsia" w:asciiTheme="minorEastAsia" w:hAnsiTheme="minorEastAsia"/>
                        </w:rPr>
                        <w:t>山东地炼石脑油价格走势图</w:t>
                      </w:r>
                      <w:r>
                        <w:tab/>
                      </w:r>
                      <w:r>
                        <w:fldChar w:fldCharType="begin"/>
                      </w:r>
                      <w:r>
                        <w:instrText xml:space="preserve"> PAGEREF _Toc505350011 \h </w:instrText>
                      </w:r>
                      <w:r>
                        <w:fldChar w:fldCharType="separate"/>
                      </w:r>
                      <w:r>
                        <w:t>16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"_Toc505350012" </w:instrText>
                      </w:r>
                      <w:r>
                        <w:fldChar w:fldCharType="separate"/>
                      </w:r>
                      <w:r>
                        <w:rPr>
                          <w:rStyle w:val="24"/>
                          <w:rFonts w:hint="eastAsia" w:ascii="黑体" w:eastAsia="黑体"/>
                        </w:rPr>
                        <w:t>三、本周国内油品市场分析及预测</w:t>
                      </w:r>
                      <w:r>
                        <w:tab/>
                      </w:r>
                      <w:r>
                        <w:fldChar w:fldCharType="begin"/>
                      </w:r>
                      <w:r>
                        <w:instrText xml:space="preserve"> PAGEREF _Toc505350012 \h </w:instrText>
                      </w:r>
                      <w:r>
                        <w:fldChar w:fldCharType="separate"/>
                      </w:r>
                      <w:r>
                        <w:t>16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"_Toc505350013" </w:instrText>
                      </w:r>
                      <w:r>
                        <w:fldChar w:fldCharType="separate"/>
                      </w:r>
                      <w:r>
                        <w:rPr>
                          <w:rStyle w:val="24"/>
                          <w:rFonts w:ascii="黑体" w:hAnsi="黑体"/>
                        </w:rPr>
                        <w:t>3</w:t>
                      </w:r>
                      <w:r>
                        <w:rPr>
                          <w:rStyle w:val="24"/>
                          <w:rFonts w:hint="eastAsia" w:ascii="黑体" w:hAnsi="黑体"/>
                        </w:rPr>
                        <w:t>．</w:t>
                      </w:r>
                      <w:r>
                        <w:rPr>
                          <w:rStyle w:val="24"/>
                          <w:rFonts w:ascii="黑体" w:hAnsi="黑体"/>
                        </w:rPr>
                        <w:t xml:space="preserve">1  </w:t>
                      </w:r>
                      <w:r>
                        <w:rPr>
                          <w:rStyle w:val="24"/>
                          <w:rFonts w:hint="eastAsia" w:ascii="黑体" w:hAnsi="黑体"/>
                        </w:rPr>
                        <w:t>成品油市场动态</w:t>
                      </w:r>
                      <w:r>
                        <w:tab/>
                      </w:r>
                      <w:r>
                        <w:fldChar w:fldCharType="begin"/>
                      </w:r>
                      <w:r>
                        <w:instrText xml:space="preserve"> PAGEREF _Toc505350013 \h </w:instrText>
                      </w:r>
                      <w:r>
                        <w:fldChar w:fldCharType="separate"/>
                      </w:r>
                      <w:r>
                        <w:t>17</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"_Toc505350014" </w:instrText>
                      </w:r>
                      <w:r>
                        <w:fldChar w:fldCharType="separate"/>
                      </w:r>
                      <w:r>
                        <w:rPr>
                          <w:rStyle w:val="24"/>
                          <w:rFonts w:hint="eastAsia" w:ascii="黑体"/>
                        </w:rPr>
                        <w:t>四、国内溶剂油市场综述</w:t>
                      </w:r>
                      <w:r>
                        <w:tab/>
                      </w:r>
                      <w:r>
                        <w:fldChar w:fldCharType="begin"/>
                      </w:r>
                      <w:r>
                        <w:instrText xml:space="preserve"> PAGEREF _Toc505350014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"_Toc505350015" </w:instrText>
                      </w:r>
                      <w:r>
                        <w:fldChar w:fldCharType="separate"/>
                      </w:r>
                      <w:r>
                        <w:rPr>
                          <w:rStyle w:val="24"/>
                          <w:rFonts w:hint="eastAsia" w:ascii="黑体"/>
                        </w:rPr>
                        <w:t>五、本周国内炼厂溶剂油产品价格对比</w:t>
                      </w:r>
                      <w:r>
                        <w:tab/>
                      </w:r>
                      <w:r>
                        <w:fldChar w:fldCharType="begin"/>
                      </w:r>
                      <w:r>
                        <w:instrText xml:space="preserve"> PAGEREF _Toc505350015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"_Toc505350016" </w:instrText>
                      </w:r>
                      <w:r>
                        <w:fldChar w:fldCharType="separate"/>
                      </w:r>
                      <w:r>
                        <w:rPr>
                          <w:rStyle w:val="24"/>
                          <w:rFonts w:hint="eastAsia" w:ascii="黑体"/>
                        </w:rPr>
                        <w:t>六、</w:t>
                      </w:r>
                      <w:r>
                        <w:rPr>
                          <w:rStyle w:val="24"/>
                          <w:rFonts w:ascii="黑体"/>
                        </w:rPr>
                        <w:t>D</w:t>
                      </w:r>
                      <w:r>
                        <w:rPr>
                          <w:rStyle w:val="24"/>
                          <w:rFonts w:hint="eastAsia" w:ascii="黑体"/>
                        </w:rPr>
                        <w:t>系列特种溶剂油</w:t>
                      </w:r>
                      <w:r>
                        <w:tab/>
                      </w:r>
                      <w:r>
                        <w:fldChar w:fldCharType="begin"/>
                      </w:r>
                      <w:r>
                        <w:instrText xml:space="preserve"> PAGEREF _Toc505350016 \h </w:instrText>
                      </w:r>
                      <w:r>
                        <w:fldChar w:fldCharType="separate"/>
                      </w:r>
                      <w:r>
                        <w:t>23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"_Toc505350017" </w:instrText>
                      </w:r>
                      <w:r>
                        <w:fldChar w:fldCharType="separate"/>
                      </w:r>
                      <w:r>
                        <w:rPr>
                          <w:rStyle w:val="24"/>
                          <w:rFonts w:hint="eastAsia" w:ascii="黑体"/>
                        </w:rPr>
                        <w:t>七、重芳烃溶剂油</w:t>
                      </w:r>
                      <w:r>
                        <w:tab/>
                      </w:r>
                      <w:r>
                        <w:fldChar w:fldCharType="begin"/>
                      </w:r>
                      <w:r>
                        <w:instrText xml:space="preserve"> PAGEREF _Toc505350017 \h </w:instrText>
                      </w:r>
                      <w:r>
                        <w:fldChar w:fldCharType="separate"/>
                      </w:r>
                      <w:r>
                        <w:t>25</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"_Toc505350018" </w:instrText>
                      </w:r>
                      <w:r>
                        <w:fldChar w:fldCharType="separate"/>
                      </w:r>
                      <w:r>
                        <w:rPr>
                          <w:rStyle w:val="24"/>
                          <w:rFonts w:hint="eastAsia" w:ascii="黑体"/>
                        </w:rPr>
                        <w:t>八、正己烷</w:t>
                      </w:r>
                      <w:r>
                        <w:tab/>
                      </w:r>
                      <w:r>
                        <w:fldChar w:fldCharType="begin"/>
                      </w:r>
                      <w:r>
                        <w:instrText xml:space="preserve"> PAGEREF _Toc505350018 \h </w:instrText>
                      </w:r>
                      <w:r>
                        <w:fldChar w:fldCharType="separate"/>
                      </w:r>
                      <w:r>
                        <w:t>26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"_Toc505350019" </w:instrText>
                      </w:r>
                      <w:r>
                        <w:fldChar w:fldCharType="separate"/>
                      </w:r>
                      <w:r>
                        <w:rPr>
                          <w:rStyle w:val="24"/>
                          <w:rFonts w:hint="eastAsia" w:ascii="黑体"/>
                        </w:rPr>
                        <w:t>九、</w:t>
                      </w:r>
                      <w:r>
                        <w:rPr>
                          <w:rStyle w:val="24"/>
                          <w:rFonts w:ascii="黑体"/>
                        </w:rPr>
                        <w:t>201</w:t>
                      </w:r>
                      <w:r>
                        <w:rPr>
                          <w:rStyle w:val="24"/>
                          <w:rFonts w:hint="eastAsia" w:ascii="黑体"/>
                          <w:lang w:val="en-US" w:eastAsia="zh-CN"/>
                        </w:rPr>
                        <w:t>8</w:t>
                      </w:r>
                      <w:r>
                        <w:rPr>
                          <w:rStyle w:val="24"/>
                          <w:rFonts w:hint="eastAsia" w:ascii="黑体"/>
                        </w:rPr>
                        <w:t>年</w:t>
                      </w:r>
                      <w:r>
                        <w:rPr>
                          <w:rStyle w:val="24"/>
                          <w:rFonts w:ascii="黑体"/>
                        </w:rPr>
                        <w:t>1</w:t>
                      </w:r>
                      <w:r>
                        <w:rPr>
                          <w:rStyle w:val="24"/>
                          <w:rFonts w:hint="eastAsia" w:ascii="黑体"/>
                        </w:rPr>
                        <w:t>月中国溶剂油、石脑油进出口数据统计</w:t>
                      </w:r>
                      <w:r>
                        <w:tab/>
                      </w:r>
                      <w:r>
                        <w:fldChar w:fldCharType="begin"/>
                      </w:r>
                      <w:r>
                        <w:instrText xml:space="preserve"> PAGEREF _Toc505350019 \h </w:instrText>
                      </w:r>
                      <w:r>
                        <w:fldChar w:fldCharType="separate"/>
                      </w:r>
                      <w:r>
                        <w:t>26</w:t>
                      </w:r>
                      <w:r>
                        <w:fldChar w:fldCharType="end"/>
                      </w:r>
                      <w:r>
                        <w:fldChar w:fldCharType="end"/>
                      </w:r>
                    </w:p>
                    <w:p>
                      <w:r>
                        <w:rPr>
                          <w:rFonts w:ascii="宋体" w:hAnsi="宋体"/>
                        </w:rPr>
                        <w:fldChar w:fldCharType="end"/>
                      </w:r>
                    </w:p>
                  </w:txbxContent>
                </v:textbox>
              </v:shape>
            </w:pict>
          </mc:Fallback>
        </mc:AlternateContent>
      </w:r>
      <w:r>
        <w:br w:type="page"/>
      </w:r>
      <w:bookmarkEnd w:id="0"/>
      <w:bookmarkStart w:id="1" w:name="_Toc460250399"/>
      <w:bookmarkStart w:id="2" w:name="_Toc505349997"/>
      <w:r>
        <w:rPr>
          <w:rFonts w:hint="eastAsia" w:ascii="黑体" w:hAnsi="宋体"/>
          <w:b/>
          <w:sz w:val="32"/>
          <w:szCs w:val="32"/>
        </w:rPr>
        <w:t>一、国际原油</w:t>
      </w:r>
      <w:bookmarkEnd w:id="1"/>
      <w:bookmarkEnd w:id="2"/>
    </w:p>
    <w:p>
      <w:pPr>
        <w:outlineLvl w:val="1"/>
        <w:rPr>
          <w:b/>
          <w:sz w:val="32"/>
          <w:szCs w:val="32"/>
        </w:rPr>
      </w:pPr>
      <w:bookmarkStart w:id="3" w:name="_Toc505349998"/>
      <w:r>
        <w:rPr>
          <w:rFonts w:hint="eastAsia" w:ascii="黑体" w:hAnsi="宋体" w:eastAsia="黑体" w:cs="Arial"/>
          <w:b/>
          <w:bCs/>
          <w:kern w:val="0"/>
          <w:sz w:val="30"/>
          <w:szCs w:val="30"/>
        </w:rPr>
        <w:t>（一）、国际原油市场回顾</w:t>
      </w:r>
      <w:bookmarkEnd w:id="3"/>
    </w:p>
    <w:p>
      <w:pPr>
        <w:pStyle w:val="3"/>
        <w:spacing w:line="240" w:lineRule="auto"/>
        <w:ind w:firstLine="298" w:firstLineChars="99"/>
      </w:pPr>
      <w:bookmarkStart w:id="4" w:name="_Toc460250400"/>
      <w:bookmarkStart w:id="5" w:name="_Toc281568195"/>
      <w:bookmarkStart w:id="6" w:name="_Toc296600805"/>
      <w:bookmarkStart w:id="7" w:name="_Toc505349999"/>
      <w:r>
        <w:rPr>
          <w:rFonts w:hint="eastAsia" w:ascii="黑体" w:hAnsi="宋体" w:eastAsia="黑体"/>
          <w:kern w:val="0"/>
          <w:sz w:val="30"/>
          <w:szCs w:val="30"/>
        </w:rPr>
        <w:t xml:space="preserve">1. 1  </w:t>
      </w:r>
      <w:bookmarkEnd w:id="4"/>
      <w:bookmarkEnd w:id="5"/>
      <w:bookmarkEnd w:id="6"/>
      <w:r>
        <w:rPr>
          <w:rFonts w:hint="eastAsia" w:ascii="黑体" w:hAnsi="宋体" w:eastAsia="黑体" w:cs="Arial"/>
          <w:b w:val="0"/>
          <w:kern w:val="0"/>
          <w:sz w:val="30"/>
          <w:szCs w:val="30"/>
        </w:rPr>
        <w:t>国际原油收盘价涨跌情况（单位：美元/桶）</w:t>
      </w:r>
      <w:bookmarkEnd w:id="7"/>
    </w:p>
    <w:p>
      <w:pPr>
        <w:ind w:firstLine="400" w:firstLineChars="200"/>
        <w:rPr>
          <w:rFonts w:ascii="宋体" w:hAnsi="宋体" w:cs="宋体"/>
          <w:kern w:val="0"/>
          <w:sz w:val="20"/>
          <w:szCs w:val="20"/>
        </w:rPr>
      </w:pPr>
      <w:r>
        <w:rPr>
          <w:rFonts w:hint="eastAsia" w:ascii="宋体" w:hAnsi="宋体" w:cs="宋体"/>
          <w:kern w:val="0"/>
          <w:sz w:val="20"/>
          <w:szCs w:val="20"/>
        </w:rPr>
        <w:t>单位：美元/桶</w:t>
      </w:r>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21"/>
        <w:gridCol w:w="910"/>
        <w:gridCol w:w="908"/>
        <w:gridCol w:w="6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21"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日期</w:t>
            </w:r>
          </w:p>
        </w:tc>
        <w:tc>
          <w:tcPr>
            <w:tcW w:w="91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纽交所</w:t>
            </w:r>
          </w:p>
        </w:tc>
        <w:tc>
          <w:tcPr>
            <w:tcW w:w="90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伦交所</w:t>
            </w:r>
          </w:p>
        </w:tc>
        <w:tc>
          <w:tcPr>
            <w:tcW w:w="6637"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影响因素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2018-3-14</w:t>
            </w:r>
          </w:p>
        </w:tc>
        <w:tc>
          <w:tcPr>
            <w:tcW w:w="910" w:type="dxa"/>
            <w:tcBorders>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60.96</w:t>
            </w:r>
          </w:p>
        </w:tc>
        <w:tc>
          <w:tcPr>
            <w:tcW w:w="908" w:type="dxa"/>
            <w:tcBorders>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64.89</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上周美国全国商业原油库存增加５００万桶，超出市场预期。但美国汽油库存的减少量也远超预期，抵消了原油库存增加的利空，在当天支撑国际油价上涨。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2018-3-13</w:t>
            </w:r>
          </w:p>
        </w:tc>
        <w:tc>
          <w:tcPr>
            <w:tcW w:w="910" w:type="dxa"/>
            <w:tcBorders>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60.71</w:t>
            </w:r>
          </w:p>
        </w:tc>
        <w:tc>
          <w:tcPr>
            <w:tcW w:w="908" w:type="dxa"/>
            <w:tcBorders>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64.64</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美国能源信息局１２日发布的一份报告预计，４月份美国页岩油产量将增至每天６９５万桶，创历史新高。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2018-3-12</w:t>
            </w:r>
          </w:p>
        </w:tc>
        <w:tc>
          <w:tcPr>
            <w:tcW w:w="910" w:type="dxa"/>
            <w:tcBorders>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61.36</w:t>
            </w:r>
          </w:p>
        </w:tc>
        <w:tc>
          <w:tcPr>
            <w:tcW w:w="908" w:type="dxa"/>
            <w:tcBorders>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64.95</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继前一交易日大涨后，投资者12日获利回吐，国际油价承压下行。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2018-3-9</w:t>
            </w:r>
          </w:p>
        </w:tc>
        <w:tc>
          <w:tcPr>
            <w:tcW w:w="910" w:type="dxa"/>
            <w:tcBorders>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62.04</w:t>
            </w:r>
          </w:p>
        </w:tc>
        <w:tc>
          <w:tcPr>
            <w:tcW w:w="908" w:type="dxa"/>
            <w:tcBorders>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65.49</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美国油田技术服务公司贝克休斯９日发布的报告显示，本周美国运营的油田钻井数量为７９６个，比前一周减少４个。这是该数据７周来首次下降，显示美国页岩油减产。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3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2018-3-8</w:t>
            </w:r>
          </w:p>
        </w:tc>
        <w:tc>
          <w:tcPr>
            <w:tcW w:w="910" w:type="dxa"/>
            <w:tcBorders>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60.12</w:t>
            </w:r>
          </w:p>
        </w:tc>
        <w:tc>
          <w:tcPr>
            <w:tcW w:w="908" w:type="dxa"/>
            <w:tcBorders>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63.61</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美元走强降低了以美元计价的石油的投资吸引力,这是当天国际油价下跌的主要原因。</w:t>
            </w:r>
          </w:p>
        </w:tc>
      </w:tr>
    </w:tbl>
    <w:p>
      <w:pPr>
        <w:rPr>
          <w:rFonts w:ascii="宋体" w:hAnsi="宋体" w:cs="宋体"/>
          <w:kern w:val="0"/>
          <w:sz w:val="20"/>
          <w:szCs w:val="20"/>
        </w:rPr>
      </w:pPr>
    </w:p>
    <w:p>
      <w:pPr>
        <w:spacing w:line="360" w:lineRule="auto"/>
        <w:ind w:firstLine="300" w:firstLineChars="100"/>
        <w:outlineLvl w:val="1"/>
        <w:rPr>
          <w:rFonts w:ascii="黑体" w:eastAsia="黑体"/>
          <w:sz w:val="30"/>
          <w:szCs w:val="30"/>
        </w:rPr>
      </w:pPr>
      <w:bookmarkStart w:id="8" w:name="_Toc505350000"/>
      <w:r>
        <w:rPr>
          <w:rFonts w:hint="eastAsia" w:ascii="黑体" w:eastAsia="黑体"/>
          <w:sz w:val="30"/>
          <w:szCs w:val="30"/>
        </w:rPr>
        <w:t>1. 2  国际原油市场价格走势图</w:t>
      </w:r>
      <w:bookmarkEnd w:id="8"/>
    </w:p>
    <w:p>
      <w:pPr>
        <w:spacing w:line="360" w:lineRule="auto"/>
        <w:jc w:val="center"/>
        <w:rPr>
          <w:sz w:val="20"/>
          <w:szCs w:val="20"/>
        </w:rPr>
      </w:pPr>
    </w:p>
    <w:p>
      <w:pPr>
        <w:spacing w:line="360" w:lineRule="auto"/>
        <w:rPr>
          <w:sz w:val="20"/>
          <w:szCs w:val="20"/>
        </w:rPr>
      </w:pPr>
      <w:r>
        <w:drawing>
          <wp:inline distT="0" distB="0" distL="114300" distR="114300">
            <wp:extent cx="6071870" cy="4066540"/>
            <wp:effectExtent l="0" t="0" r="508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6071870" cy="4066540"/>
                    </a:xfrm>
                    <a:prstGeom prst="rect">
                      <a:avLst/>
                    </a:prstGeom>
                    <a:noFill/>
                    <a:ln w="9525">
                      <a:noFill/>
                    </a:ln>
                  </pic:spPr>
                </pic:pic>
              </a:graphicData>
            </a:graphic>
          </wp:inline>
        </w:drawing>
      </w:r>
    </w:p>
    <w:p>
      <w:pPr>
        <w:numPr>
          <w:ilvl w:val="0"/>
          <w:numId w:val="1"/>
        </w:numPr>
        <w:ind w:firstLine="298" w:firstLineChars="99"/>
        <w:outlineLvl w:val="1"/>
        <w:rPr>
          <w:rFonts w:ascii="黑体" w:hAnsi="宋体" w:eastAsia="黑体"/>
          <w:b/>
          <w:sz w:val="30"/>
          <w:szCs w:val="30"/>
        </w:rPr>
      </w:pPr>
      <w:bookmarkStart w:id="9" w:name="_Toc460250402"/>
      <w:bookmarkStart w:id="10" w:name="_Toc505350001"/>
      <w:bookmarkStart w:id="11" w:name="_Toc281568199"/>
      <w:bookmarkStart w:id="12" w:name="_Toc296600809"/>
      <w:bookmarkStart w:id="13" w:name="_Toc158203127"/>
      <w:bookmarkStart w:id="14" w:name="_Toc239847712"/>
      <w:r>
        <w:rPr>
          <w:rFonts w:hint="eastAsia" w:ascii="黑体" w:hAnsi="宋体" w:eastAsia="黑体"/>
          <w:b/>
          <w:sz w:val="30"/>
          <w:szCs w:val="30"/>
        </w:rPr>
        <w:t>.近期影响国际原油市场的主要因素</w:t>
      </w:r>
      <w:bookmarkEnd w:id="9"/>
      <w:bookmarkEnd w:id="10"/>
    </w:p>
    <w:p>
      <w:pPr>
        <w:numPr>
          <w:ilvl w:val="0"/>
          <w:numId w:val="2"/>
        </w:numPr>
        <w:outlineLvl w:val="1"/>
        <w:rPr>
          <w:rFonts w:ascii="黑体" w:hAnsi="宋体" w:eastAsia="黑体"/>
          <w:b/>
          <w:sz w:val="28"/>
          <w:szCs w:val="28"/>
        </w:rPr>
      </w:pPr>
      <w:bookmarkStart w:id="15" w:name="_Toc504051939"/>
      <w:r>
        <w:rPr>
          <w:rFonts w:hint="eastAsia" w:ascii="黑体" w:hAnsi="宋体" w:eastAsia="黑体"/>
          <w:b/>
          <w:sz w:val="28"/>
          <w:szCs w:val="28"/>
        </w:rPr>
        <w:t>美国原油库存情况</w:t>
      </w:r>
      <w:bookmarkEnd w:id="15"/>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国能源信息署(EIA)数据显示，上周美国原油库存增加，但汽油和馏分油库存下滑。截至3月9日当周，美国原油库存增加502.2万桶，至4.30928亿桶，分析师预估为增加200万桶。NYMEX原油期货交割地库欣原油库存增加33.80万桶至2851.8万桶。截至3月9日当周，美国汽油库存减少627.1万桶，至2.44758亿桶，此前接受调查的分析师预期为减少120万桶。包括柴油和取暖油在内的馏分油库存减少436万桶，至1.33066亿桶，之前预期为减少150万桶。炼厂原油加工量增加43.2万桶/日。炼厂产能利用率提高2%至90%。上周美国原油净进口下滑40.7万桶/日。美国石油协会(API)数据显示，上周美国原油库存增幅小于预期，汽油和馏分油库存下降。截至3月9日当周，美国原油库存增加115.6万桶，至4.57878亿桶，分析师预估为增加200万桶。库欣原油库存减少15.6万桶。截至3月9日当周，美国汽油库存减少130万桶，分析师预估为下滑120万桶;馏分油库存下降430万桶，分析师预估为减少150万桶。上周美国原油进口量增加10.1万桶/日，至790万桶/日。当周炼厂每日炼油量增加8.5万桶。</w:t>
      </w:r>
    </w:p>
    <w:p>
      <w:pPr>
        <w:pStyle w:val="19"/>
        <w:ind w:firstLine="560" w:firstLineChars="200"/>
        <w:rPr>
          <w:rFonts w:hint="eastAsia" w:ascii="华文仿宋" w:hAnsi="华文仿宋" w:eastAsia="华文仿宋"/>
          <w:sz w:val="28"/>
          <w:szCs w:val="28"/>
        </w:rPr>
      </w:pPr>
    </w:p>
    <w:p>
      <w:pPr>
        <w:outlineLvl w:val="1"/>
        <w:rPr>
          <w:rFonts w:hint="eastAsia" w:ascii="黑体" w:hAnsi="宋体" w:eastAsia="黑体"/>
          <w:b/>
          <w:sz w:val="28"/>
          <w:szCs w:val="28"/>
        </w:rPr>
      </w:pPr>
      <w:bookmarkStart w:id="16" w:name="_Toc504051940"/>
      <w:r>
        <w:rPr>
          <w:rFonts w:hint="eastAsia" w:ascii="黑体" w:hAnsi="宋体" w:eastAsia="黑体"/>
          <w:b/>
          <w:sz w:val="28"/>
          <w:szCs w:val="28"/>
        </w:rPr>
        <w:t>2、美国经济形势</w:t>
      </w:r>
      <w:bookmarkEnd w:id="16"/>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北京时间15日凌晨，美股周三午盘走低，主要股指完全抹去早间涨幅，道指一度下跌超过300点。原材料与工业板块领跌。</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美东时间3月14日12：08(北京时间3月15日00：08)，道指跌291.30点，或1.16%，报24，715.73点;标普500指数跌16.80点，或0.61%，报2，748.51点;纳指跌30.45点，或0.41%，报7，480.57点。</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周三早间美国公布的通胀与消费者活动数据均表明美国经济仍在增长，并且暂时没有过热风险。此外投资者同时还在密切关注最近美国政局进展及其对贸易政策可能产生的影响。</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主要股指表现如何?</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周三美股高开，随后主要股指转跌。盘中道指最多曾下跌超过300点，下跌至日低24，695.11点。</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周二美股收跌。当天早间美国总统特朗普宣布解除国务卿雷克斯-蒂勒森(Rex Tillerson)职位，而市场将其作为锁定近来收益的一个机会。</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周二道琼斯工业平均指数收盘下跌171.58点，或0.68%，报收于25，007.03点;标普500指数收盘下跌17.71点，或0.64%，报2，765.31点;纳指收盘下跌77.31点，或1.02%，报7，511.01点。</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市场驱动力量是什么?</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周三早间公布的经济数据表明，美国2月零售销售下跌0.1%，为连续第3个月下降。扣除汽车与汽油销售后的2月零售销售增长0.3%。此前接受MarketWatch调查的经济学家平均预期该数字将增长0.4%。</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周二公布的消费者价格指数(CPI)显示通胀涨势温和，分析师称今天公布的零售销售数据将成为下周美联储会议之前关于美国经济状况的一大考验。</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另一份数据表明，美国2月批发层面的通胀数据——即生产者价格指数(PPI)增长0.2%，高于市场平均预期的0.1%。扣除食品、能源及贸易因素后的核心PPI增长0.4%。在截至2月份的12个月内，美国PPI增长2.8%，核心PPI增长2.7%。</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零售销售与批发库存数据安抚了市场对通胀可能抬头的担忧情绪。如果通胀大幅提高的话，美联储可能将实行更加激进的货币政策，而后者正是许多股市投资者最为担心的问题。</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美股开盘后，美国商务部报告称，美国1月商业库存增长0.6%。12月库存增幅从原先预计的0.4%上修为0.6%。</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此外，在最近白宫发生重大人事变动后，交易商们同时仍在密切关注白宫的局势变化。周二美国总统特朗普宣布将解除蒂勒森的国务卿职务、并以美国中情局(CIA)局长麦克-蓬皮奥(Mike Pompeo)为其继任者。此外，白宫高级官员已开始评估雇佣CNBC评论员Lawrence Kudlow担任特朗普首席经济顾问的可能性。</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最近以来，美股市场上最关心的一个主题就是特朗普政府的贸易保护主义与关税问题。对于特朗普政府最新人事调整是将起到支持抑或是反对这种政策的作用，投资者们将拭目以待。</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市场人士如何说?</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Wunderlich Securities首席市场策略师Art Hogan表示：“整体零售销售数据令人失望，但扣除汽车与汽油价格因素后的核心数据基本符合预期。此外，生产者价格指数(PPI)稍微有点过热，但如果扣除食品与能源因素，核心PPI数据同样也中规中矩。归根结底，这些数据都没有显示美国经济增长放缓，也不会引起市场对通胀的恐慌。即使从最糟糕的角度来看，它们也只能说是良性的，但我认为市场会对它们进行积极的解读。”</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Hogan表示，美国的政局动荡仍是市场最关心的因素之一。“市场已在害怕特朗普政府可能会犯政策错误、并实行贸易保护主义。而在这些恐慌情绪盛行时，白宫的不确定性因素又使其雪上加霜。新的官僚会不会更倾向于贸易保护主义?现在美国经济与盈利增长稳健，但如果我们在贸易或者政策方面犯错的话，会不会造成企业盈利增长放缓、甚至导致经济陷入衰退，从而结束这场牛市盛宴?”Hogan问道。</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券商Baird首席投资策略师Bruce Bittles表示：“当然，美股市场的支持力量是经济状况，以及达到两位数的今年企业盈利增长幅度。我认为，从技术角度来看股市存在阻力，美股的上涨幅度越来越窄。这意味着美股在继续上涨之前，还有可能再次测试今年2月份达到的较低点。”</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伦敦资本集团研究主管Jasper Lawler表示：“可以这么说，由于上周五的非农就业数据显示美国薪资增长及核心通胀率维持在稳定的1.8%，市场认为美联储实行更激进的货币政策的可能性已经大为缩小。”</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他表示：“不过，如果今天的零售销售数据大幅超出预期，那么一些紧张情绪就会重新回到市场。在这种情况下，我们预计美国国债收益率将会提高，推动美元走强、并使美股承压。”</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焦点关注股</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Signet Jewelers(SIG)股价走低，这家Zales、Kay以及Jared等连锁店的母公司公布了未来三年的重组计划。</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博通(AVGO)股价小幅攀升，该公司宣布已放弃了敌意收购高通(QCOM)的要约。本周初，美国总统特朗普阻止了两者的交易，称是处于国家安全的考虑。</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Century Aluminum(CENX)股价上涨，此前JP摩根大通将其股价目标从18美元上调为29美元。</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联合大陆控股公司(UAL)股价下跌。在一名联航机务人员强行将一条宠物犬安排在行李架上致其死亡的消息曝光后，联合大陆控股公司受到了猛烈的抨击。</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其他市场表现如何?</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周三亚洲市场收跌。</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欧洲股市走高，此前欧洲央行行长德拉吉(Mario Draghi)表示，如果欧洲地区的潜在通胀率维持低迷，那么欧洲央行就会继续坚持一项重要的购买债券计划。</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原油期货价格攀升。美元指数上涨。黄金期货价格走低。</w:t>
      </w:r>
    </w:p>
    <w:p>
      <w:pPr>
        <w:outlineLvl w:val="1"/>
        <w:rPr>
          <w:rFonts w:hint="eastAsia" w:ascii="华文仿宋" w:hAnsi="华文仿宋" w:eastAsia="华文仿宋" w:cs="宋体"/>
          <w:kern w:val="0"/>
          <w:sz w:val="28"/>
          <w:szCs w:val="28"/>
        </w:rPr>
      </w:pPr>
    </w:p>
    <w:p>
      <w:pPr>
        <w:pStyle w:val="19"/>
        <w:outlineLvl w:val="1"/>
        <w:rPr>
          <w:rFonts w:hint="eastAsia" w:ascii="黑体" w:eastAsia="黑体"/>
          <w:b/>
          <w:sz w:val="28"/>
          <w:szCs w:val="28"/>
        </w:rPr>
      </w:pPr>
      <w:bookmarkStart w:id="17" w:name="_Toc504051941"/>
      <w:r>
        <w:rPr>
          <w:rFonts w:hint="eastAsia" w:ascii="黑体" w:eastAsia="黑体"/>
          <w:b/>
          <w:sz w:val="28"/>
          <w:szCs w:val="28"/>
        </w:rPr>
        <w:t>3、世界经济形势</w:t>
      </w:r>
      <w:bookmarkEnd w:id="17"/>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经济合作与发展组织13日表示，受益于贸易和投资的强劲增长，2018年全球经济增长将创下七年来最强。经合组织同时警告称，贸易战将对已改善的全球经济前景构成威胁。</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经合组织公布的20国集团(G20)经济体的最新展望,将全球2018年和2019年经济增长率预估从之前预期的增长3.6%，双双提高到3.9%。若这一目标能够实现，将是2011年以来的最快经济增速。</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该组织表示，全球企业投资的反弹，将使今年的全球贸易增幅维持在5%左右。经合组织代理首席经济学家阿尔瓦罗·佩雷拉称，投资的复苏将促进全球增长，同时贸易量也将持续2017年的涨势。“投资归来，这对于就业和经济增长都是好消息。”他说道。</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“我们认为，未来几年经济表现将较为强劲。”佩雷拉表示，“相比过去10年，全球经济已在更大程度上恢复到更正常的环境下。”</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报告上调了今明两年美国、欧元区等主要经济体，以及巴西、印度、墨西哥等大部分新兴经济体的增长预期。报告显示，G20今明两年的增长预期分别上调至4.1%和4.0%。</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经合组织预测，美国经济今明两年将分别增长2.9%和2.8%，减税措施给每年的经济增长贡献0.5-0.75个百分点。在这个背景下，随着通胀上涨，今年美联储很可能不得不加息四次。经合组织此前预估今年加息三次就够了。</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其他经济体方面，法国和德国经济增强，将拉动欧元区整体经济，今年和明年分别增长2.3%和2.1%，经合组织此前的预测是分别增长2.1%和1.9%。德国联合政府提出的财政宽松计划被视作将有助于提振该国经济增长，今明两年的增长率预计提高至2.4%和2.2%。法国总统马克龙提出的社会福利、税收和劳工市场改革计划，料将帮助法国缩小与德国之间的差距，预计今年经济增长率将达2.2%至11年高位，明年料为1.9%。</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不过，英国预计将错过这波全球增长趋势，表现会落后于其他所有G20国家，预计今年增长率仅为1.3%，略高于11月预估的1.2%。鉴于英国将于明年退欧，2019年的经济增长率料进一步放缓至1.1%，与经合组织去年11月预估一致。</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佩雷拉呼吁英国引入更多提高生活水平和平衡地区差异的政策。他表示，“许多投资发生于伦敦，而非其他地区，因此英国其他地区急需增加产能。”</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该组织同时警告说，特朗普政府征收钢铝进口关税之后，全球经济很容易受到突发的贸易紧张局势的影响。佩雷拉表示，显然这会危及复苏。</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佩雷拉认为，任何形势的恶化、任何报复或针锋相对的场景都将非常具有破坏性。重要的是要避免恶化，并促进全球对话，不仅解决钢铁问题，还要避免更大的贸易间接后果。</w:t>
      </w:r>
    </w:p>
    <w:p>
      <w:pPr>
        <w:outlineLvl w:val="1"/>
        <w:rPr>
          <w:rFonts w:ascii="黑体" w:hAnsi="宋体" w:eastAsia="黑体"/>
          <w:b/>
          <w:sz w:val="30"/>
          <w:szCs w:val="30"/>
        </w:rPr>
      </w:pPr>
    </w:p>
    <w:p>
      <w:pPr>
        <w:outlineLvl w:val="1"/>
        <w:rPr>
          <w:rFonts w:ascii="宋体" w:hAnsi="宋体" w:cs="Arial"/>
          <w:b/>
          <w:bCs/>
          <w:kern w:val="0"/>
          <w:sz w:val="32"/>
          <w:szCs w:val="32"/>
        </w:rPr>
      </w:pPr>
      <w:bookmarkStart w:id="18" w:name="_Toc505350005"/>
      <w:r>
        <w:rPr>
          <w:rFonts w:hint="eastAsia" w:ascii="仿宋_GB2312" w:eastAsia="仿宋_GB2312"/>
          <w:b/>
          <w:sz w:val="28"/>
          <w:szCs w:val="28"/>
        </w:rPr>
        <w:t>（三）</w:t>
      </w:r>
      <w:r>
        <w:rPr>
          <w:rFonts w:hint="eastAsia" w:ascii="宋体" w:hAnsi="宋体" w:cs="Arial"/>
          <w:b/>
          <w:bCs/>
          <w:kern w:val="0"/>
          <w:sz w:val="32"/>
          <w:szCs w:val="32"/>
        </w:rPr>
        <w:t>、201</w:t>
      </w:r>
      <w:r>
        <w:rPr>
          <w:rFonts w:hint="eastAsia" w:ascii="宋体" w:hAnsi="宋体" w:cs="Arial"/>
          <w:b/>
          <w:bCs/>
          <w:kern w:val="0"/>
          <w:sz w:val="32"/>
          <w:szCs w:val="32"/>
          <w:lang w:val="en-US" w:eastAsia="zh-CN"/>
        </w:rPr>
        <w:t>8</w:t>
      </w:r>
      <w:r>
        <w:rPr>
          <w:rFonts w:hint="eastAsia" w:ascii="宋体" w:hAnsi="宋体" w:cs="Arial"/>
          <w:b/>
          <w:bCs/>
          <w:kern w:val="0"/>
          <w:sz w:val="32"/>
          <w:szCs w:val="32"/>
        </w:rPr>
        <w:t>年1月份全国原油进出口统计数据</w:t>
      </w:r>
      <w:bookmarkEnd w:id="18"/>
    </w:p>
    <w:p>
      <w:pPr>
        <w:widowControl/>
        <w:spacing w:line="260" w:lineRule="atLeast"/>
        <w:jc w:val="center"/>
        <w:rPr>
          <w:rFonts w:ascii="宋体" w:hAnsi="宋体" w:cs="宋体"/>
          <w:b/>
          <w:bCs/>
          <w:kern w:val="0"/>
          <w:szCs w:val="21"/>
        </w:rPr>
      </w:pPr>
      <w:r>
        <w:rPr>
          <w:rFonts w:hint="eastAsia" w:ascii="宋体" w:hAnsi="宋体" w:cs="宋体"/>
          <w:b/>
          <w:bCs/>
          <w:kern w:val="0"/>
          <w:szCs w:val="21"/>
        </w:rPr>
        <w:t xml:space="preserve">                                                      单位：千克，美元</w:t>
      </w:r>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783"/>
        <w:gridCol w:w="1895"/>
        <w:gridCol w:w="1730"/>
        <w:gridCol w:w="1684"/>
        <w:gridCol w:w="1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产销国</w:t>
            </w:r>
          </w:p>
        </w:tc>
        <w:tc>
          <w:tcPr>
            <w:tcW w:w="1895"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进口数量</w:t>
            </w:r>
          </w:p>
        </w:tc>
        <w:tc>
          <w:tcPr>
            <w:tcW w:w="1730"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进口美元</w:t>
            </w:r>
          </w:p>
        </w:tc>
        <w:tc>
          <w:tcPr>
            <w:tcW w:w="1684"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出口数量</w:t>
            </w:r>
          </w:p>
        </w:tc>
        <w:tc>
          <w:tcPr>
            <w:tcW w:w="1684"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出口美元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伊拉克</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649494341</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295125382</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伊朗</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943366000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421461546</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俄罗斯联邦</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99864784</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49200471</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刚果</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255795196</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107889892</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利比亚</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20672306</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10257774</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加纳</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132671920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66541399</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加蓬</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129756267</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64076661</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南苏丹共和国</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159379482</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72051537</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南非</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266215900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122051485</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印度尼西亚</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41124820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22689795</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厄瓜多尔</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102926111</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45625351</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哈萨克斯坦</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143132970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60868946</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哥伦比亚</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137664807</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62325974</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埃及</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63926475</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32154627</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墨西哥</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68508391</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25765400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委内瑞拉</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816471814</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299596959</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安哥拉</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252105000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131417141</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尼日尔</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68</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175</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巴西</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140424285</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66525116</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挪威</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228951700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118717850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日本</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41961499</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17127955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沙特阿拉伯</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34929719</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15932221</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泰国</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36642535</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18087616</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澳大利亚</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85599910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42682318</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科威特</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119059947</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53705470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美国</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132535675</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59187615</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苏丹</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60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112</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英国</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129555227</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65681207</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蒙古</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3547040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1599605</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赤道几内亚</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137232210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73218356</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越南</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136406400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70399997</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阿拉伯联合酋长国</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82845204</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40150928</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阿曼</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240933340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108399075</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阿根廷</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150477808</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72787884</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马来西亚</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42623042</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21210458</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bl>
    <w:p>
      <w:pPr>
        <w:rPr>
          <w:rFonts w:ascii="宋体" w:hAnsi="宋体"/>
        </w:rPr>
      </w:pPr>
    </w:p>
    <w:p>
      <w:pPr>
        <w:numPr>
          <w:ilvl w:val="0"/>
          <w:numId w:val="0"/>
        </w:numPr>
        <w:tabs>
          <w:tab w:val="left" w:pos="798"/>
        </w:tabs>
        <w:ind w:leftChars="99"/>
        <w:outlineLvl w:val="1"/>
        <w:rPr>
          <w:rFonts w:hint="eastAsia" w:ascii="仿宋_GB2312" w:hAnsi="宋体" w:eastAsia="仿宋_GB2312" w:cs="Arial"/>
          <w:b/>
          <w:bCs/>
          <w:kern w:val="0"/>
          <w:sz w:val="30"/>
          <w:szCs w:val="30"/>
        </w:rPr>
      </w:pPr>
      <w:bookmarkStart w:id="19" w:name="_Toc505350006"/>
      <w:r>
        <w:rPr>
          <w:rFonts w:hint="eastAsia" w:ascii="仿宋_GB2312" w:hAnsi="宋体" w:eastAsia="仿宋_GB2312" w:cs="Arial"/>
          <w:b/>
          <w:bCs/>
          <w:kern w:val="0"/>
          <w:sz w:val="30"/>
          <w:szCs w:val="30"/>
          <w:lang w:eastAsia="zh-CN"/>
        </w:rPr>
        <w:t>（四）</w:t>
      </w:r>
      <w:r>
        <w:rPr>
          <w:rFonts w:hint="eastAsia" w:ascii="仿宋_GB2312" w:hAnsi="宋体" w:eastAsia="仿宋_GB2312" w:cs="Arial"/>
          <w:b/>
          <w:bCs/>
          <w:kern w:val="0"/>
          <w:sz w:val="30"/>
          <w:szCs w:val="30"/>
        </w:rPr>
        <w:t>、后市预测</w:t>
      </w:r>
      <w:bookmarkEnd w:id="19"/>
    </w:p>
    <w:p>
      <w:pPr>
        <w:pStyle w:val="19"/>
        <w:keepNext w:val="0"/>
        <w:keepLines w:val="0"/>
        <w:widowControl/>
        <w:suppressLineNumbers w:val="0"/>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本周WTI原油价格在6</w:t>
      </w:r>
      <w:r>
        <w:rPr>
          <w:rFonts w:hint="eastAsia" w:ascii="华文仿宋" w:hAnsi="华文仿宋" w:eastAsia="华文仿宋"/>
          <w:sz w:val="28"/>
          <w:szCs w:val="28"/>
          <w:lang w:val="en-US" w:eastAsia="zh-CN"/>
        </w:rPr>
        <w:t>0.12</w:t>
      </w:r>
      <w:r>
        <w:rPr>
          <w:rFonts w:hint="eastAsia" w:ascii="华文仿宋" w:hAnsi="华文仿宋" w:eastAsia="华文仿宋"/>
          <w:sz w:val="28"/>
          <w:szCs w:val="28"/>
        </w:rPr>
        <w:t>-6</w:t>
      </w:r>
      <w:r>
        <w:rPr>
          <w:rFonts w:hint="eastAsia" w:ascii="华文仿宋" w:hAnsi="华文仿宋" w:eastAsia="华文仿宋"/>
          <w:sz w:val="28"/>
          <w:szCs w:val="28"/>
          <w:lang w:val="en-US" w:eastAsia="zh-CN"/>
        </w:rPr>
        <w:t>2.04</w:t>
      </w:r>
      <w:r>
        <w:rPr>
          <w:rFonts w:hint="eastAsia" w:ascii="华文仿宋" w:hAnsi="华文仿宋" w:eastAsia="华文仿宋"/>
          <w:sz w:val="28"/>
          <w:szCs w:val="28"/>
        </w:rPr>
        <w:t>美元/桶，布伦特原油价格在</w:t>
      </w:r>
      <w:r>
        <w:rPr>
          <w:rFonts w:hint="eastAsia" w:ascii="华文仿宋" w:hAnsi="华文仿宋" w:eastAsia="华文仿宋"/>
          <w:sz w:val="28"/>
          <w:szCs w:val="28"/>
          <w:lang w:val="en-US" w:eastAsia="zh-CN"/>
        </w:rPr>
        <w:t>63.61</w:t>
      </w:r>
      <w:r>
        <w:rPr>
          <w:rFonts w:hint="eastAsia" w:ascii="华文仿宋" w:hAnsi="华文仿宋" w:eastAsia="华文仿宋"/>
          <w:sz w:val="28"/>
          <w:szCs w:val="28"/>
        </w:rPr>
        <w:t>-6</w:t>
      </w:r>
      <w:r>
        <w:rPr>
          <w:rFonts w:hint="eastAsia" w:ascii="华文仿宋" w:hAnsi="华文仿宋" w:eastAsia="华文仿宋"/>
          <w:sz w:val="28"/>
          <w:szCs w:val="28"/>
          <w:lang w:val="en-US" w:eastAsia="zh-CN"/>
        </w:rPr>
        <w:t>5.49</w:t>
      </w:r>
      <w:r>
        <w:rPr>
          <w:rFonts w:hint="eastAsia" w:ascii="华文仿宋" w:hAnsi="华文仿宋" w:eastAsia="华文仿宋"/>
          <w:sz w:val="28"/>
          <w:szCs w:val="28"/>
        </w:rPr>
        <w:t>美元/桶震荡。周</w:t>
      </w:r>
      <w:r>
        <w:rPr>
          <w:rFonts w:hint="eastAsia" w:ascii="华文仿宋" w:hAnsi="华文仿宋" w:eastAsia="华文仿宋"/>
          <w:sz w:val="28"/>
          <w:szCs w:val="28"/>
          <w:lang w:eastAsia="zh-CN"/>
        </w:rPr>
        <w:t>内</w:t>
      </w:r>
      <w:r>
        <w:rPr>
          <w:rFonts w:hint="eastAsia" w:ascii="华文仿宋" w:hAnsi="华文仿宋" w:eastAsia="华文仿宋"/>
          <w:sz w:val="28"/>
          <w:szCs w:val="28"/>
        </w:rPr>
        <w:t>国际原油价格整体呈现倒“</w:t>
      </w:r>
      <w:r>
        <w:rPr>
          <w:rFonts w:hint="eastAsia" w:ascii="华文仿宋" w:hAnsi="华文仿宋" w:eastAsia="华文仿宋"/>
          <w:sz w:val="28"/>
          <w:szCs w:val="28"/>
          <w:lang w:val="en-US"/>
        </w:rPr>
        <w:t>V</w:t>
      </w:r>
      <w:r>
        <w:rPr>
          <w:rFonts w:hint="eastAsia" w:ascii="华文仿宋" w:hAnsi="华文仿宋" w:eastAsia="华文仿宋"/>
          <w:sz w:val="28"/>
          <w:szCs w:val="28"/>
        </w:rPr>
        <w:t>”型走势。整体看来，周内国际原油市场中仍旧是美国页岩油产量屡刷新高这一利空主导市场，页岩油如洪水猛兽，一味减产的</w:t>
      </w:r>
      <w:r>
        <w:rPr>
          <w:rFonts w:hint="eastAsia" w:ascii="华文仿宋" w:hAnsi="华文仿宋" w:eastAsia="华文仿宋"/>
          <w:sz w:val="28"/>
          <w:szCs w:val="28"/>
          <w:lang w:val="en-US"/>
        </w:rPr>
        <w:t>OPEC</w:t>
      </w:r>
      <w:r>
        <w:rPr>
          <w:rFonts w:hint="eastAsia" w:ascii="华文仿宋" w:hAnsi="华文仿宋" w:eastAsia="华文仿宋"/>
          <w:sz w:val="28"/>
          <w:szCs w:val="28"/>
        </w:rPr>
        <w:t>难敌这场博弈，期货价格呈分歧走势，现货价格全面延续上周跌势。后市预测：近期国际原油市场上方利空消息博弈，主要来看是美国页岩油产量和</w:t>
      </w:r>
      <w:r>
        <w:rPr>
          <w:rFonts w:hint="eastAsia" w:ascii="华文仿宋" w:hAnsi="华文仿宋" w:eastAsia="华文仿宋"/>
          <w:sz w:val="28"/>
          <w:szCs w:val="28"/>
          <w:lang w:val="en-US"/>
        </w:rPr>
        <w:t>OPEC</w:t>
      </w:r>
      <w:r>
        <w:rPr>
          <w:rFonts w:hint="eastAsia" w:ascii="华文仿宋" w:hAnsi="华文仿宋" w:eastAsia="华文仿宋"/>
          <w:sz w:val="28"/>
          <w:szCs w:val="28"/>
        </w:rPr>
        <w:t>减产之间的较量，一方面美国产量在实打实的增加，而另一面</w:t>
      </w:r>
      <w:r>
        <w:rPr>
          <w:rFonts w:hint="eastAsia" w:ascii="华文仿宋" w:hAnsi="华文仿宋" w:eastAsia="华文仿宋"/>
          <w:sz w:val="28"/>
          <w:szCs w:val="28"/>
          <w:lang w:val="en-US"/>
        </w:rPr>
        <w:t>OPEC</w:t>
      </w:r>
      <w:r>
        <w:rPr>
          <w:rFonts w:hint="eastAsia" w:ascii="华文仿宋" w:hAnsi="华文仿宋" w:eastAsia="华文仿宋"/>
          <w:sz w:val="28"/>
          <w:szCs w:val="28"/>
        </w:rPr>
        <w:t>却似乎没有更好的实际行动来阻止页岩油的增产，且其已就减产问题内部出现分歧。但美国方面特朗普的商人政治思维也不断给市场带来“惊喜”，“进口税”还没完全平息又出现了“离职潮”，这料将为油价带来良好支撑。综合来看，近期国际油市深陷拉锯战，原油价格料以区间盘整为主，下探可能性仍旧较大。预计下周</w:t>
      </w:r>
      <w:r>
        <w:rPr>
          <w:rFonts w:hint="eastAsia" w:ascii="华文仿宋" w:hAnsi="华文仿宋" w:eastAsia="华文仿宋"/>
          <w:sz w:val="28"/>
          <w:szCs w:val="28"/>
          <w:lang w:val="en-US"/>
        </w:rPr>
        <w:t>WTI</w:t>
      </w:r>
      <w:r>
        <w:rPr>
          <w:rFonts w:hint="eastAsia" w:ascii="华文仿宋" w:hAnsi="华文仿宋" w:eastAsia="华文仿宋"/>
          <w:sz w:val="28"/>
          <w:szCs w:val="28"/>
        </w:rPr>
        <w:t>原油期货均价在</w:t>
      </w:r>
      <w:r>
        <w:rPr>
          <w:rFonts w:hint="eastAsia" w:ascii="华文仿宋" w:hAnsi="华文仿宋" w:eastAsia="华文仿宋"/>
          <w:sz w:val="28"/>
          <w:szCs w:val="28"/>
          <w:lang w:val="en-US"/>
        </w:rPr>
        <w:t>60</w:t>
      </w:r>
      <w:r>
        <w:rPr>
          <w:rFonts w:hint="eastAsia" w:ascii="华文仿宋" w:hAnsi="华文仿宋" w:eastAsia="华文仿宋"/>
          <w:sz w:val="28"/>
          <w:szCs w:val="28"/>
        </w:rPr>
        <w:t>～</w:t>
      </w:r>
      <w:r>
        <w:rPr>
          <w:rFonts w:hint="eastAsia" w:ascii="华文仿宋" w:hAnsi="华文仿宋" w:eastAsia="华文仿宋"/>
          <w:sz w:val="28"/>
          <w:szCs w:val="28"/>
          <w:lang w:val="en-US"/>
        </w:rPr>
        <w:t>62</w:t>
      </w:r>
      <w:r>
        <w:rPr>
          <w:rFonts w:hint="eastAsia" w:ascii="华文仿宋" w:hAnsi="华文仿宋" w:eastAsia="华文仿宋"/>
          <w:sz w:val="28"/>
          <w:szCs w:val="28"/>
        </w:rPr>
        <w:t>美元</w:t>
      </w:r>
      <w:r>
        <w:rPr>
          <w:rFonts w:hint="eastAsia" w:ascii="华文仿宋" w:hAnsi="华文仿宋" w:eastAsia="华文仿宋"/>
          <w:sz w:val="28"/>
          <w:szCs w:val="28"/>
          <w:lang w:val="en-US"/>
        </w:rPr>
        <w:t>/</w:t>
      </w:r>
      <w:r>
        <w:rPr>
          <w:rFonts w:hint="eastAsia" w:ascii="华文仿宋" w:hAnsi="华文仿宋" w:eastAsia="华文仿宋"/>
          <w:sz w:val="28"/>
          <w:szCs w:val="28"/>
        </w:rPr>
        <w:t>桶之间浮动，布伦特原油期货均价在</w:t>
      </w:r>
      <w:r>
        <w:rPr>
          <w:rFonts w:hint="eastAsia" w:ascii="华文仿宋" w:hAnsi="华文仿宋" w:eastAsia="华文仿宋"/>
          <w:sz w:val="28"/>
          <w:szCs w:val="28"/>
          <w:lang w:val="en-US"/>
        </w:rPr>
        <w:t>64</w:t>
      </w:r>
      <w:r>
        <w:rPr>
          <w:rFonts w:hint="eastAsia" w:ascii="华文仿宋" w:hAnsi="华文仿宋" w:eastAsia="华文仿宋"/>
          <w:sz w:val="28"/>
          <w:szCs w:val="28"/>
        </w:rPr>
        <w:t>～</w:t>
      </w:r>
      <w:r>
        <w:rPr>
          <w:rFonts w:hint="eastAsia" w:ascii="华文仿宋" w:hAnsi="华文仿宋" w:eastAsia="华文仿宋"/>
          <w:sz w:val="28"/>
          <w:szCs w:val="28"/>
          <w:lang w:val="en-US"/>
        </w:rPr>
        <w:t>66</w:t>
      </w:r>
      <w:r>
        <w:rPr>
          <w:rFonts w:hint="eastAsia" w:ascii="华文仿宋" w:hAnsi="华文仿宋" w:eastAsia="华文仿宋"/>
          <w:sz w:val="28"/>
          <w:szCs w:val="28"/>
        </w:rPr>
        <w:t>美元</w:t>
      </w:r>
      <w:r>
        <w:rPr>
          <w:rFonts w:hint="eastAsia" w:ascii="华文仿宋" w:hAnsi="华文仿宋" w:eastAsia="华文仿宋"/>
          <w:sz w:val="28"/>
          <w:szCs w:val="28"/>
          <w:lang w:val="en-US"/>
        </w:rPr>
        <w:t>/</w:t>
      </w:r>
      <w:r>
        <w:rPr>
          <w:rFonts w:hint="eastAsia" w:ascii="华文仿宋" w:hAnsi="华文仿宋" w:eastAsia="华文仿宋"/>
          <w:sz w:val="28"/>
          <w:szCs w:val="28"/>
        </w:rPr>
        <w:t>桶之间浮动。</w:t>
      </w:r>
    </w:p>
    <w:p>
      <w:pPr>
        <w:numPr>
          <w:ilvl w:val="0"/>
          <w:numId w:val="0"/>
        </w:numPr>
        <w:ind w:leftChars="99"/>
        <w:outlineLvl w:val="1"/>
        <w:rPr>
          <w:rFonts w:hint="eastAsia" w:ascii="仿宋_GB2312" w:hAnsi="宋体" w:eastAsia="仿宋_GB2312" w:cs="Arial"/>
          <w:b/>
          <w:bCs/>
          <w:kern w:val="0"/>
          <w:sz w:val="30"/>
          <w:szCs w:val="30"/>
        </w:rPr>
      </w:pPr>
    </w:p>
    <w:p>
      <w:pPr>
        <w:spacing w:line="360" w:lineRule="auto"/>
        <w:outlineLvl w:val="0"/>
        <w:rPr>
          <w:rFonts w:hint="eastAsia" w:ascii="黑体" w:hAnsi="宋体" w:eastAsia="黑体"/>
          <w:b/>
          <w:sz w:val="28"/>
          <w:szCs w:val="28"/>
        </w:rPr>
      </w:pPr>
      <w:bookmarkStart w:id="20" w:name="_Toc505350007"/>
      <w:r>
        <w:rPr>
          <w:rFonts w:hint="eastAsia" w:ascii="黑体" w:hAnsi="宋体" w:eastAsia="黑体"/>
          <w:b/>
          <w:sz w:val="28"/>
          <w:szCs w:val="28"/>
        </w:rPr>
        <w:t>二、 石脑油</w:t>
      </w:r>
      <w:bookmarkEnd w:id="20"/>
    </w:p>
    <w:p>
      <w:pPr>
        <w:spacing w:line="360" w:lineRule="auto"/>
        <w:outlineLvl w:val="0"/>
        <w:rPr>
          <w:rFonts w:hint="eastAsia" w:ascii="黑体" w:hAnsi="宋体" w:eastAsia="黑体"/>
          <w:b/>
          <w:sz w:val="28"/>
          <w:szCs w:val="28"/>
        </w:rPr>
      </w:pPr>
    </w:p>
    <w:p>
      <w:pPr>
        <w:pStyle w:val="3"/>
        <w:spacing w:line="240" w:lineRule="auto"/>
        <w:rPr>
          <w:rFonts w:ascii="宋体" w:hAnsi="宋体" w:cs="Arial"/>
          <w:b w:val="0"/>
          <w:bCs w:val="0"/>
          <w:kern w:val="0"/>
          <w:szCs w:val="28"/>
        </w:rPr>
      </w:pPr>
      <w:bookmarkStart w:id="21" w:name="_Toc505350008"/>
      <w:bookmarkStart w:id="22" w:name="_Toc460250404"/>
      <w:r>
        <w:rPr>
          <w:rFonts w:hint="eastAsia"/>
        </w:rPr>
        <w:t>2. 1</w:t>
      </w:r>
      <w:r>
        <w:rPr>
          <w:rFonts w:hint="eastAsia"/>
          <w:kern w:val="0"/>
        </w:rPr>
        <w:t>国际石脑油市场价格</w:t>
      </w:r>
      <w:bookmarkEnd w:id="11"/>
      <w:bookmarkEnd w:id="12"/>
      <w:bookmarkEnd w:id="21"/>
      <w:bookmarkEnd w:id="22"/>
    </w:p>
    <w:p>
      <w:pPr>
        <w:widowControl/>
        <w:jc w:val="center"/>
        <w:rPr>
          <w:rFonts w:ascii="宋体" w:hAnsi="宋体" w:cs="宋体"/>
          <w:sz w:val="20"/>
          <w:szCs w:val="20"/>
        </w:rPr>
      </w:pPr>
      <w:r>
        <w:rPr>
          <w:rFonts w:hint="eastAsia" w:ascii="宋体" w:hAnsi="宋体" w:cs="宋体"/>
          <w:sz w:val="20"/>
          <w:szCs w:val="20"/>
        </w:rPr>
        <w:t xml:space="preserve">                                                                 单位：美元/吨  ①单位：美元/桶</w:t>
      </w:r>
    </w:p>
    <w:p>
      <w:pPr>
        <w:widowControl/>
        <w:rPr>
          <w:rFonts w:ascii="宋体" w:hAnsi="宋体" w:cs="宋体"/>
          <w:sz w:val="20"/>
          <w:szCs w:val="20"/>
        </w:rPr>
      </w:pPr>
    </w:p>
    <w:tbl>
      <w:tblPr>
        <w:tblStyle w:val="25"/>
        <w:tblW w:w="9956" w:type="dxa"/>
        <w:tblInd w:w="0" w:type="dxa"/>
        <w:shd w:val="clear" w:color="auto" w:fill="FFFFFF"/>
        <w:tblLayout w:type="fixed"/>
        <w:tblCellMar>
          <w:top w:w="0" w:type="dxa"/>
          <w:left w:w="0" w:type="dxa"/>
          <w:bottom w:w="0" w:type="dxa"/>
          <w:right w:w="0" w:type="dxa"/>
        </w:tblCellMar>
      </w:tblPr>
      <w:tblGrid>
        <w:gridCol w:w="1279"/>
        <w:gridCol w:w="2236"/>
        <w:gridCol w:w="2652"/>
        <w:gridCol w:w="1393"/>
        <w:gridCol w:w="2396"/>
      </w:tblGrid>
      <w:tr>
        <w:tblPrEx>
          <w:shd w:val="clear" w:color="auto" w:fill="FFFFFF"/>
          <w:tblLayout w:type="fixed"/>
          <w:tblCellMar>
            <w:top w:w="0" w:type="dxa"/>
            <w:left w:w="0" w:type="dxa"/>
            <w:bottom w:w="0" w:type="dxa"/>
            <w:right w:w="0" w:type="dxa"/>
          </w:tblCellMar>
        </w:tblPrEx>
        <w:trPr>
          <w:trHeight w:val="675" w:hRule="atLeast"/>
        </w:trPr>
        <w:tc>
          <w:tcPr>
            <w:tcW w:w="1279"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宋体"/>
                <w:kern w:val="0"/>
                <w:sz w:val="28"/>
                <w:szCs w:val="28"/>
                <w:lang w:val="en-US" w:eastAsia="zh-CN" w:bidi="ar-SA"/>
              </w:rPr>
            </w:pPr>
            <w:bookmarkStart w:id="23" w:name="_Toc239847715"/>
            <w:bookmarkStart w:id="24" w:name="_Toc281568202"/>
            <w:bookmarkStart w:id="25" w:name="_Toc296600812"/>
            <w:bookmarkStart w:id="26" w:name="_Toc460250405"/>
            <w:bookmarkStart w:id="27" w:name="_Toc505350009"/>
            <w:r>
              <w:rPr>
                <w:rFonts w:hint="eastAsia" w:ascii="华文仿宋" w:hAnsi="华文仿宋" w:eastAsia="华文仿宋" w:cs="宋体"/>
                <w:kern w:val="0"/>
                <w:sz w:val="28"/>
                <w:szCs w:val="28"/>
                <w:lang w:val="en-US" w:eastAsia="zh-CN" w:bidi="ar-SA"/>
              </w:rPr>
              <w:t>3月15日</w:t>
            </w:r>
          </w:p>
        </w:tc>
        <w:tc>
          <w:tcPr>
            <w:tcW w:w="2236"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低端价（美元/吨）</w:t>
            </w:r>
          </w:p>
        </w:tc>
        <w:tc>
          <w:tcPr>
            <w:tcW w:w="2652"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高端价（美元/吨）</w:t>
            </w:r>
          </w:p>
        </w:tc>
        <w:tc>
          <w:tcPr>
            <w:tcW w:w="1393"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均价涨跌幅</w:t>
            </w:r>
          </w:p>
        </w:tc>
        <w:tc>
          <w:tcPr>
            <w:tcW w:w="2396"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美分/加仑</w:t>
            </w:r>
          </w:p>
        </w:tc>
      </w:tr>
      <w:tr>
        <w:tblPrEx>
          <w:tblLayout w:type="fixed"/>
          <w:tblCellMar>
            <w:top w:w="0" w:type="dxa"/>
            <w:left w:w="0" w:type="dxa"/>
            <w:bottom w:w="0" w:type="dxa"/>
            <w:right w:w="0" w:type="dxa"/>
          </w:tblCellMar>
        </w:tblPrEx>
        <w:trPr>
          <w:trHeight w:val="285" w:hRule="atLeast"/>
        </w:trPr>
        <w:tc>
          <w:tcPr>
            <w:tcW w:w="127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keepNext w:val="0"/>
              <w:keepLines w:val="0"/>
              <w:widowControl/>
              <w:suppressLineNumbers w:val="0"/>
              <w:spacing w:before="0" w:beforeAutospacing="0" w:after="0" w:afterAutospacing="0"/>
              <w:ind w:left="0" w:right="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新加坡</w:t>
            </w:r>
          </w:p>
        </w:tc>
        <w:tc>
          <w:tcPr>
            <w:tcW w:w="223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keepNext w:val="0"/>
              <w:keepLines w:val="0"/>
              <w:widowControl/>
              <w:suppressLineNumbers w:val="0"/>
              <w:spacing w:before="0" w:beforeAutospacing="0" w:after="0" w:afterAutospacing="0"/>
              <w:ind w:left="0" w:right="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62.04美元/桶</w:t>
            </w:r>
          </w:p>
        </w:tc>
        <w:tc>
          <w:tcPr>
            <w:tcW w:w="26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keepNext w:val="0"/>
              <w:keepLines w:val="0"/>
              <w:widowControl/>
              <w:suppressLineNumbers w:val="0"/>
              <w:spacing w:before="0" w:beforeAutospacing="0" w:after="0" w:afterAutospacing="0"/>
              <w:ind w:left="0" w:right="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62.08美元/桶</w:t>
            </w:r>
          </w:p>
        </w:tc>
        <w:tc>
          <w:tcPr>
            <w:tcW w:w="13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keepNext w:val="0"/>
              <w:keepLines w:val="0"/>
              <w:widowControl/>
              <w:suppressLineNumbers w:val="0"/>
              <w:spacing w:before="0" w:beforeAutospacing="0" w:after="0" w:afterAutospacing="0"/>
              <w:ind w:left="0" w:right="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0.68美元/桶</w:t>
            </w:r>
          </w:p>
        </w:tc>
        <w:tc>
          <w:tcPr>
            <w:tcW w:w="239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keepNext w:val="0"/>
              <w:keepLines w:val="0"/>
              <w:widowControl/>
              <w:suppressLineNumbers w:val="0"/>
              <w:spacing w:before="0" w:beforeAutospacing="0" w:after="0" w:afterAutospacing="0"/>
              <w:ind w:left="0" w:right="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147.714-147.810</w:t>
            </w:r>
          </w:p>
        </w:tc>
      </w:tr>
      <w:tr>
        <w:tblPrEx>
          <w:tblLayout w:type="fixed"/>
          <w:tblCellMar>
            <w:top w:w="0" w:type="dxa"/>
            <w:left w:w="0" w:type="dxa"/>
            <w:bottom w:w="0" w:type="dxa"/>
            <w:right w:w="0" w:type="dxa"/>
          </w:tblCellMar>
        </w:tblPrEx>
        <w:trPr>
          <w:trHeight w:val="285" w:hRule="atLeast"/>
        </w:trPr>
        <w:tc>
          <w:tcPr>
            <w:tcW w:w="127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keepNext w:val="0"/>
              <w:keepLines w:val="0"/>
              <w:widowControl/>
              <w:suppressLineNumbers w:val="0"/>
              <w:spacing w:before="0" w:beforeAutospacing="0" w:after="0" w:afterAutospacing="0"/>
              <w:ind w:left="0" w:right="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日本</w:t>
            </w:r>
          </w:p>
        </w:tc>
        <w:tc>
          <w:tcPr>
            <w:tcW w:w="223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keepNext w:val="0"/>
              <w:keepLines w:val="0"/>
              <w:widowControl/>
              <w:suppressLineNumbers w:val="0"/>
              <w:spacing w:before="0" w:beforeAutospacing="0" w:after="0" w:afterAutospacing="0"/>
              <w:ind w:left="0" w:right="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568.50</w:t>
            </w:r>
          </w:p>
        </w:tc>
        <w:tc>
          <w:tcPr>
            <w:tcW w:w="26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keepNext w:val="0"/>
              <w:keepLines w:val="0"/>
              <w:widowControl/>
              <w:suppressLineNumbers w:val="0"/>
              <w:spacing w:before="0" w:beforeAutospacing="0" w:after="0" w:afterAutospacing="0"/>
              <w:ind w:left="0" w:right="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572.00</w:t>
            </w:r>
          </w:p>
        </w:tc>
        <w:tc>
          <w:tcPr>
            <w:tcW w:w="13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keepNext w:val="0"/>
              <w:keepLines w:val="0"/>
              <w:widowControl/>
              <w:suppressLineNumbers w:val="0"/>
              <w:spacing w:before="0" w:beforeAutospacing="0" w:after="0" w:afterAutospacing="0"/>
              <w:ind w:left="0" w:right="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6.25</w:t>
            </w:r>
          </w:p>
        </w:tc>
        <w:tc>
          <w:tcPr>
            <w:tcW w:w="239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keepNext w:val="0"/>
              <w:keepLines w:val="0"/>
              <w:widowControl/>
              <w:suppressLineNumbers w:val="0"/>
              <w:spacing w:before="0" w:beforeAutospacing="0" w:after="0" w:afterAutospacing="0"/>
              <w:ind w:left="0" w:right="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150.397-151.323</w:t>
            </w:r>
          </w:p>
        </w:tc>
      </w:tr>
      <w:tr>
        <w:tblPrEx>
          <w:tblLayout w:type="fixed"/>
          <w:tblCellMar>
            <w:top w:w="0" w:type="dxa"/>
            <w:left w:w="0" w:type="dxa"/>
            <w:bottom w:w="0" w:type="dxa"/>
            <w:right w:w="0" w:type="dxa"/>
          </w:tblCellMar>
        </w:tblPrEx>
        <w:trPr>
          <w:trHeight w:val="285" w:hRule="atLeast"/>
        </w:trPr>
        <w:tc>
          <w:tcPr>
            <w:tcW w:w="127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keepNext w:val="0"/>
              <w:keepLines w:val="0"/>
              <w:widowControl/>
              <w:suppressLineNumbers w:val="0"/>
              <w:spacing w:before="0" w:beforeAutospacing="0" w:after="0" w:afterAutospacing="0"/>
              <w:ind w:left="0" w:right="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阿拉伯海湾</w:t>
            </w:r>
          </w:p>
        </w:tc>
        <w:tc>
          <w:tcPr>
            <w:tcW w:w="223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keepNext w:val="0"/>
              <w:keepLines w:val="0"/>
              <w:widowControl/>
              <w:suppressLineNumbers w:val="0"/>
              <w:spacing w:before="0" w:beforeAutospacing="0" w:after="0" w:afterAutospacing="0"/>
              <w:ind w:left="0" w:right="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544.72</w:t>
            </w:r>
          </w:p>
        </w:tc>
        <w:tc>
          <w:tcPr>
            <w:tcW w:w="26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keepNext w:val="0"/>
              <w:keepLines w:val="0"/>
              <w:widowControl/>
              <w:suppressLineNumbers w:val="0"/>
              <w:spacing w:before="0" w:beforeAutospacing="0" w:after="0" w:afterAutospacing="0"/>
              <w:ind w:left="0" w:right="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548.22</w:t>
            </w:r>
          </w:p>
        </w:tc>
        <w:tc>
          <w:tcPr>
            <w:tcW w:w="13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keepNext w:val="0"/>
              <w:keepLines w:val="0"/>
              <w:widowControl/>
              <w:suppressLineNumbers w:val="0"/>
              <w:spacing w:before="0" w:beforeAutospacing="0" w:after="0" w:afterAutospacing="0"/>
              <w:ind w:left="0" w:right="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6.36</w:t>
            </w:r>
          </w:p>
        </w:tc>
        <w:tc>
          <w:tcPr>
            <w:tcW w:w="239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keepNext w:val="0"/>
              <w:keepLines w:val="0"/>
              <w:widowControl/>
              <w:suppressLineNumbers w:val="0"/>
              <w:spacing w:before="0" w:beforeAutospacing="0" w:after="0" w:afterAutospacing="0"/>
              <w:ind w:left="0" w:right="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 144.106-145.032</w:t>
            </w:r>
          </w:p>
        </w:tc>
      </w:tr>
      <w:tr>
        <w:tblPrEx>
          <w:tblLayout w:type="fixed"/>
          <w:tblCellMar>
            <w:top w:w="0" w:type="dxa"/>
            <w:left w:w="0" w:type="dxa"/>
            <w:bottom w:w="0" w:type="dxa"/>
            <w:right w:w="0" w:type="dxa"/>
          </w:tblCellMar>
        </w:tblPrEx>
        <w:trPr>
          <w:trHeight w:val="675" w:hRule="atLeast"/>
        </w:trPr>
        <w:tc>
          <w:tcPr>
            <w:tcW w:w="127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keepNext w:val="0"/>
              <w:keepLines w:val="0"/>
              <w:widowControl/>
              <w:suppressLineNumbers w:val="0"/>
              <w:spacing w:before="0" w:beforeAutospacing="0" w:after="0" w:afterAutospacing="0"/>
              <w:ind w:left="0" w:right="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阿姆斯特丹、鹿特丹、安特卫普到岸价</w:t>
            </w:r>
          </w:p>
        </w:tc>
        <w:tc>
          <w:tcPr>
            <w:tcW w:w="223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keepNext w:val="0"/>
              <w:keepLines w:val="0"/>
              <w:widowControl/>
              <w:suppressLineNumbers w:val="0"/>
              <w:spacing w:before="0" w:beforeAutospacing="0" w:after="0" w:afterAutospacing="0"/>
              <w:ind w:left="0" w:right="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561.75</w:t>
            </w:r>
          </w:p>
        </w:tc>
        <w:tc>
          <w:tcPr>
            <w:tcW w:w="26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keepNext w:val="0"/>
              <w:keepLines w:val="0"/>
              <w:widowControl/>
              <w:suppressLineNumbers w:val="0"/>
              <w:spacing w:before="0" w:beforeAutospacing="0" w:after="0" w:afterAutospacing="0"/>
              <w:ind w:left="0" w:right="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562.25</w:t>
            </w:r>
          </w:p>
        </w:tc>
        <w:tc>
          <w:tcPr>
            <w:tcW w:w="13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keepNext w:val="0"/>
              <w:keepLines w:val="0"/>
              <w:widowControl/>
              <w:suppressLineNumbers w:val="0"/>
              <w:spacing w:before="0" w:beforeAutospacing="0" w:after="0" w:afterAutospacing="0"/>
              <w:ind w:left="0" w:right="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3.25</w:t>
            </w:r>
          </w:p>
        </w:tc>
        <w:tc>
          <w:tcPr>
            <w:tcW w:w="239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keepNext w:val="0"/>
              <w:keepLines w:val="0"/>
              <w:widowControl/>
              <w:suppressLineNumbers w:val="0"/>
              <w:spacing w:before="0" w:beforeAutospacing="0" w:after="0" w:afterAutospacing="0"/>
              <w:ind w:left="0" w:right="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150.201-150.334</w:t>
            </w:r>
          </w:p>
        </w:tc>
      </w:tr>
      <w:tr>
        <w:tblPrEx>
          <w:tblLayout w:type="fixed"/>
        </w:tblPrEx>
        <w:trPr>
          <w:trHeight w:val="285" w:hRule="atLeast"/>
        </w:trPr>
        <w:tc>
          <w:tcPr>
            <w:tcW w:w="127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keepNext w:val="0"/>
              <w:keepLines w:val="0"/>
              <w:widowControl/>
              <w:suppressLineNumbers w:val="0"/>
              <w:spacing w:before="0" w:beforeAutospacing="0" w:after="0" w:afterAutospacing="0"/>
              <w:ind w:left="0" w:right="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鹿特丹船货价</w:t>
            </w:r>
          </w:p>
        </w:tc>
        <w:tc>
          <w:tcPr>
            <w:tcW w:w="223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keepNext w:val="0"/>
              <w:keepLines w:val="0"/>
              <w:widowControl/>
              <w:suppressLineNumbers w:val="0"/>
              <w:spacing w:before="0" w:beforeAutospacing="0" w:after="0" w:afterAutospacing="0"/>
              <w:ind w:left="0" w:right="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557.75</w:t>
            </w:r>
          </w:p>
        </w:tc>
        <w:tc>
          <w:tcPr>
            <w:tcW w:w="26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keepNext w:val="0"/>
              <w:keepLines w:val="0"/>
              <w:widowControl/>
              <w:suppressLineNumbers w:val="0"/>
              <w:spacing w:before="0" w:beforeAutospacing="0" w:after="0" w:afterAutospacing="0"/>
              <w:ind w:left="0" w:right="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558.25</w:t>
            </w:r>
          </w:p>
        </w:tc>
        <w:tc>
          <w:tcPr>
            <w:tcW w:w="13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keepNext w:val="0"/>
              <w:keepLines w:val="0"/>
              <w:widowControl/>
              <w:suppressLineNumbers w:val="0"/>
              <w:spacing w:before="0" w:beforeAutospacing="0" w:after="0" w:afterAutospacing="0"/>
              <w:ind w:left="0" w:right="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3.25</w:t>
            </w:r>
          </w:p>
        </w:tc>
        <w:tc>
          <w:tcPr>
            <w:tcW w:w="239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keepNext w:val="0"/>
              <w:keepLines w:val="0"/>
              <w:widowControl/>
              <w:suppressLineNumbers w:val="0"/>
              <w:spacing w:before="0" w:beforeAutospacing="0" w:after="0" w:afterAutospacing="0"/>
              <w:ind w:left="0" w:right="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149.131-149.265</w:t>
            </w:r>
          </w:p>
        </w:tc>
      </w:tr>
      <w:tr>
        <w:tblPrEx>
          <w:tblLayout w:type="fixed"/>
          <w:tblCellMar>
            <w:top w:w="0" w:type="dxa"/>
            <w:left w:w="0" w:type="dxa"/>
            <w:bottom w:w="0" w:type="dxa"/>
            <w:right w:w="0" w:type="dxa"/>
          </w:tblCellMar>
        </w:tblPrEx>
        <w:trPr>
          <w:trHeight w:val="285" w:hRule="atLeast"/>
        </w:trPr>
        <w:tc>
          <w:tcPr>
            <w:tcW w:w="127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keepNext w:val="0"/>
              <w:keepLines w:val="0"/>
              <w:widowControl/>
              <w:suppressLineNumbers w:val="0"/>
              <w:spacing w:before="0" w:beforeAutospacing="0" w:after="0" w:afterAutospacing="0"/>
              <w:ind w:left="0" w:right="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地中海离岸价</w:t>
            </w:r>
          </w:p>
        </w:tc>
        <w:tc>
          <w:tcPr>
            <w:tcW w:w="223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keepNext w:val="0"/>
              <w:keepLines w:val="0"/>
              <w:widowControl/>
              <w:suppressLineNumbers w:val="0"/>
              <w:spacing w:before="0" w:beforeAutospacing="0" w:after="0" w:afterAutospacing="0"/>
              <w:ind w:left="0" w:right="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543.00</w:t>
            </w:r>
          </w:p>
        </w:tc>
        <w:tc>
          <w:tcPr>
            <w:tcW w:w="26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keepNext w:val="0"/>
              <w:keepLines w:val="0"/>
              <w:widowControl/>
              <w:suppressLineNumbers w:val="0"/>
              <w:spacing w:before="0" w:beforeAutospacing="0" w:after="0" w:afterAutospacing="0"/>
              <w:ind w:left="0" w:right="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543.50</w:t>
            </w:r>
          </w:p>
        </w:tc>
        <w:tc>
          <w:tcPr>
            <w:tcW w:w="13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keepNext w:val="0"/>
              <w:keepLines w:val="0"/>
              <w:widowControl/>
              <w:suppressLineNumbers w:val="0"/>
              <w:spacing w:before="0" w:beforeAutospacing="0" w:after="0" w:afterAutospacing="0"/>
              <w:ind w:left="0" w:right="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3.75</w:t>
            </w:r>
          </w:p>
        </w:tc>
        <w:tc>
          <w:tcPr>
            <w:tcW w:w="239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keepNext w:val="0"/>
              <w:keepLines w:val="0"/>
              <w:widowControl/>
              <w:suppressLineNumbers w:val="0"/>
              <w:spacing w:before="0" w:beforeAutospacing="0" w:after="0" w:afterAutospacing="0"/>
              <w:ind w:left="0" w:right="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145.187-145.321</w:t>
            </w:r>
          </w:p>
        </w:tc>
      </w:tr>
      <w:tr>
        <w:tblPrEx>
          <w:tblLayout w:type="fixed"/>
          <w:tblCellMar>
            <w:top w:w="0" w:type="dxa"/>
            <w:left w:w="0" w:type="dxa"/>
            <w:bottom w:w="0" w:type="dxa"/>
            <w:right w:w="0" w:type="dxa"/>
          </w:tblCellMar>
        </w:tblPrEx>
        <w:trPr>
          <w:trHeight w:val="285" w:hRule="atLeast"/>
        </w:trPr>
        <w:tc>
          <w:tcPr>
            <w:tcW w:w="127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keepNext w:val="0"/>
              <w:keepLines w:val="0"/>
              <w:widowControl/>
              <w:suppressLineNumbers w:val="0"/>
              <w:spacing w:before="0" w:beforeAutospacing="0" w:after="0" w:afterAutospacing="0"/>
              <w:ind w:left="0" w:right="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热那亚到岸价</w:t>
            </w:r>
          </w:p>
        </w:tc>
        <w:tc>
          <w:tcPr>
            <w:tcW w:w="223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keepNext w:val="0"/>
              <w:keepLines w:val="0"/>
              <w:widowControl/>
              <w:suppressLineNumbers w:val="0"/>
              <w:spacing w:before="0" w:beforeAutospacing="0" w:after="0" w:afterAutospacing="0"/>
              <w:ind w:left="0" w:right="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553.75</w:t>
            </w:r>
          </w:p>
        </w:tc>
        <w:tc>
          <w:tcPr>
            <w:tcW w:w="26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keepNext w:val="0"/>
              <w:keepLines w:val="0"/>
              <w:widowControl/>
              <w:suppressLineNumbers w:val="0"/>
              <w:spacing w:before="0" w:beforeAutospacing="0" w:after="0" w:afterAutospacing="0"/>
              <w:ind w:left="0" w:right="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554.25</w:t>
            </w:r>
          </w:p>
        </w:tc>
        <w:tc>
          <w:tcPr>
            <w:tcW w:w="13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keepNext w:val="0"/>
              <w:keepLines w:val="0"/>
              <w:widowControl/>
              <w:suppressLineNumbers w:val="0"/>
              <w:spacing w:before="0" w:beforeAutospacing="0" w:after="0" w:afterAutospacing="0"/>
              <w:ind w:left="0" w:right="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3.25</w:t>
            </w:r>
          </w:p>
        </w:tc>
        <w:tc>
          <w:tcPr>
            <w:tcW w:w="239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keepNext w:val="0"/>
              <w:keepLines w:val="0"/>
              <w:widowControl/>
              <w:suppressLineNumbers w:val="0"/>
              <w:spacing w:before="0" w:beforeAutospacing="0" w:after="0" w:afterAutospacing="0"/>
              <w:ind w:left="0" w:right="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148.061-148.195</w:t>
            </w:r>
          </w:p>
        </w:tc>
      </w:tr>
      <w:tr>
        <w:tblPrEx>
          <w:tblLayout w:type="fixed"/>
          <w:tblCellMar>
            <w:top w:w="0" w:type="dxa"/>
            <w:left w:w="0" w:type="dxa"/>
            <w:bottom w:w="0" w:type="dxa"/>
            <w:right w:w="0" w:type="dxa"/>
          </w:tblCellMar>
        </w:tblPrEx>
        <w:trPr>
          <w:trHeight w:val="285" w:hRule="atLeast"/>
        </w:trPr>
        <w:tc>
          <w:tcPr>
            <w:tcW w:w="127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keepNext w:val="0"/>
              <w:keepLines w:val="0"/>
              <w:widowControl/>
              <w:suppressLineNumbers w:val="0"/>
              <w:spacing w:before="0" w:beforeAutospacing="0" w:after="0" w:afterAutospacing="0"/>
              <w:ind w:left="0" w:right="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美国墨西哥湾</w:t>
            </w:r>
          </w:p>
        </w:tc>
        <w:tc>
          <w:tcPr>
            <w:tcW w:w="223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keepNext w:val="0"/>
              <w:keepLines w:val="0"/>
              <w:widowControl/>
              <w:suppressLineNumbers w:val="0"/>
              <w:spacing w:before="0" w:beforeAutospacing="0" w:after="0" w:afterAutospacing="0"/>
              <w:ind w:left="0" w:right="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550.29</w:t>
            </w:r>
          </w:p>
        </w:tc>
        <w:tc>
          <w:tcPr>
            <w:tcW w:w="26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keepNext w:val="0"/>
              <w:keepLines w:val="0"/>
              <w:widowControl/>
              <w:suppressLineNumbers w:val="0"/>
              <w:spacing w:before="0" w:beforeAutospacing="0" w:after="0" w:afterAutospacing="0"/>
              <w:ind w:left="0" w:right="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550.39</w:t>
            </w:r>
          </w:p>
        </w:tc>
        <w:tc>
          <w:tcPr>
            <w:tcW w:w="13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keepNext w:val="0"/>
              <w:keepLines w:val="0"/>
              <w:widowControl/>
              <w:suppressLineNumbers w:val="0"/>
              <w:spacing w:before="0" w:beforeAutospacing="0" w:after="0" w:afterAutospacing="0"/>
              <w:ind w:left="0" w:right="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0.20美分/加仑</w:t>
            </w:r>
          </w:p>
        </w:tc>
        <w:tc>
          <w:tcPr>
            <w:tcW w:w="239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keepNext w:val="0"/>
              <w:keepLines w:val="0"/>
              <w:widowControl/>
              <w:suppressLineNumbers w:val="0"/>
              <w:spacing w:before="0" w:beforeAutospacing="0" w:after="0" w:afterAutospacing="0"/>
              <w:ind w:left="0" w:right="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157.180-157.280</w:t>
            </w:r>
          </w:p>
        </w:tc>
      </w:tr>
      <w:tr>
        <w:tblPrEx>
          <w:tblLayout w:type="fixed"/>
          <w:tblCellMar>
            <w:top w:w="0" w:type="dxa"/>
            <w:left w:w="0" w:type="dxa"/>
            <w:bottom w:w="0" w:type="dxa"/>
            <w:right w:w="0" w:type="dxa"/>
          </w:tblCellMar>
        </w:tblPrEx>
        <w:trPr>
          <w:trHeight w:val="285" w:hRule="atLeast"/>
        </w:trPr>
        <w:tc>
          <w:tcPr>
            <w:tcW w:w="127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keepNext w:val="0"/>
              <w:keepLines w:val="0"/>
              <w:widowControl/>
              <w:suppressLineNumbers w:val="0"/>
              <w:spacing w:before="0" w:beforeAutospacing="0" w:after="0" w:afterAutospacing="0"/>
              <w:ind w:left="0" w:right="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加勒比海</w:t>
            </w:r>
          </w:p>
        </w:tc>
        <w:tc>
          <w:tcPr>
            <w:tcW w:w="223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keepNext w:val="0"/>
              <w:keepLines w:val="0"/>
              <w:widowControl/>
              <w:suppressLineNumbers w:val="0"/>
              <w:spacing w:before="0" w:beforeAutospacing="0" w:after="0" w:afterAutospacing="0"/>
              <w:ind w:left="0" w:right="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w:t>
            </w:r>
          </w:p>
        </w:tc>
        <w:tc>
          <w:tcPr>
            <w:tcW w:w="26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keepNext w:val="0"/>
              <w:keepLines w:val="0"/>
              <w:widowControl/>
              <w:suppressLineNumbers w:val="0"/>
              <w:spacing w:before="0" w:beforeAutospacing="0" w:after="0" w:afterAutospacing="0"/>
              <w:ind w:left="0" w:right="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w:t>
            </w:r>
          </w:p>
        </w:tc>
        <w:tc>
          <w:tcPr>
            <w:tcW w:w="13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keepNext w:val="0"/>
              <w:keepLines w:val="0"/>
              <w:widowControl/>
              <w:suppressLineNumbers w:val="0"/>
              <w:spacing w:before="0" w:beforeAutospacing="0" w:after="0" w:afterAutospacing="0"/>
              <w:ind w:left="0" w:right="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w:t>
            </w:r>
          </w:p>
        </w:tc>
        <w:tc>
          <w:tcPr>
            <w:tcW w:w="239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keepNext w:val="0"/>
              <w:keepLines w:val="0"/>
              <w:widowControl/>
              <w:suppressLineNumbers w:val="0"/>
              <w:spacing w:before="0" w:beforeAutospacing="0" w:after="0" w:afterAutospacing="0"/>
              <w:ind w:left="0" w:right="0"/>
              <w:jc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w:t>
            </w:r>
          </w:p>
        </w:tc>
      </w:tr>
    </w:tbl>
    <w:p>
      <w:pPr>
        <w:pStyle w:val="3"/>
        <w:spacing w:line="240" w:lineRule="auto"/>
        <w:rPr>
          <w:rFonts w:ascii="华文仿宋" w:hAnsi="华文仿宋" w:eastAsia="华文仿宋" w:cs="宋体"/>
          <w:b w:val="0"/>
          <w:bCs w:val="0"/>
          <w:kern w:val="0"/>
          <w:szCs w:val="28"/>
        </w:rPr>
      </w:pPr>
    </w:p>
    <w:p>
      <w:pPr>
        <w:pStyle w:val="3"/>
        <w:spacing w:line="240" w:lineRule="auto"/>
        <w:rPr>
          <w:rFonts w:hint="eastAsia" w:ascii="黑体" w:eastAsia="黑体"/>
          <w:b w:val="0"/>
          <w:sz w:val="30"/>
          <w:szCs w:val="30"/>
        </w:rPr>
      </w:pPr>
      <w:r>
        <w:rPr>
          <w:rFonts w:hint="eastAsia" w:ascii="黑体" w:hAnsi="Times New Roman" w:eastAsia="黑体"/>
          <w:b w:val="0"/>
          <w:bCs w:val="0"/>
          <w:sz w:val="30"/>
          <w:szCs w:val="30"/>
        </w:rPr>
        <w:t>.</w:t>
      </w:r>
      <w:r>
        <w:rPr>
          <w:rFonts w:hint="eastAsia" w:ascii="黑体" w:eastAsia="黑体"/>
          <w:b w:val="0"/>
          <w:sz w:val="30"/>
          <w:szCs w:val="30"/>
        </w:rPr>
        <w:t>2地炼石脑油市场</w:t>
      </w:r>
      <w:bookmarkEnd w:id="13"/>
      <w:bookmarkEnd w:id="14"/>
      <w:bookmarkEnd w:id="23"/>
      <w:bookmarkEnd w:id="24"/>
      <w:bookmarkEnd w:id="25"/>
      <w:bookmarkEnd w:id="26"/>
      <w:bookmarkEnd w:id="27"/>
      <w:r>
        <w:rPr>
          <w:rFonts w:hint="eastAsia" w:ascii="黑体" w:eastAsia="黑体"/>
          <w:b w:val="0"/>
          <w:sz w:val="30"/>
          <w:szCs w:val="30"/>
        </w:rPr>
        <w:t xml:space="preserve"> </w:t>
      </w:r>
    </w:p>
    <w:p>
      <w:pPr>
        <w:pStyle w:val="19"/>
        <w:keepNext w:val="0"/>
        <w:keepLines w:val="0"/>
        <w:widowControl/>
        <w:suppressLineNumbers w:val="0"/>
        <w:ind w:firstLine="840" w:firstLineChars="300"/>
        <w:rPr>
          <w:rFonts w:hint="eastAsia" w:ascii="华文仿宋" w:hAnsi="华文仿宋" w:eastAsia="华文仿宋"/>
          <w:sz w:val="28"/>
          <w:szCs w:val="28"/>
        </w:rPr>
      </w:pPr>
      <w:r>
        <w:rPr>
          <w:rFonts w:hint="eastAsia" w:ascii="华文仿宋" w:hAnsi="华文仿宋" w:eastAsia="华文仿宋"/>
          <w:sz w:val="28"/>
          <w:szCs w:val="28"/>
        </w:rPr>
        <w:t>本周国内地炼石脑油市场以弱势下</w:t>
      </w:r>
      <w:r>
        <w:rPr>
          <w:rFonts w:hint="eastAsia" w:ascii="华文仿宋" w:hAnsi="华文仿宋" w:eastAsia="华文仿宋"/>
          <w:sz w:val="28"/>
          <w:szCs w:val="28"/>
          <w:lang w:eastAsia="zh-CN"/>
        </w:rPr>
        <w:t>调</w:t>
      </w:r>
      <w:bookmarkStart w:id="80" w:name="_GoBack"/>
      <w:bookmarkEnd w:id="80"/>
      <w:r>
        <w:rPr>
          <w:rFonts w:hint="eastAsia" w:ascii="华文仿宋" w:hAnsi="华文仿宋" w:eastAsia="华文仿宋"/>
          <w:sz w:val="28"/>
          <w:szCs w:val="28"/>
        </w:rPr>
        <w:t>为主。周内国际原油价格整体呈现倒“V”型走势。WTI原油价格在60.12-62.04美元/桶，布伦特原油价格在63.61-65.49美元/桶震荡。亚洲石脑油市场方面，近期MOPJ价格运行趋于稳定，主要采购商稳定购进四月中下旬船货，市场递价水平短期内将保持稳态，这意味着本周期内中国主营石脑油结算价变化将以微幅调整为主，据悉近期中石化下属贸易公司中联化向BP销售了2.5万吨石脑油5月下半月船货，而2018年以来中国进口石脑油数量偏低，后期市场流通将继续依赖国内资产资源。本周国内地炼石脑油市场以弱势下修为主，但市场成交价格变化有限，相对于其他石油制品来讲，石脑油供需基本面平稳，目前西北资源供应充裕，下周价格可能出现进一步滑坡。目前中国南部大型民营芳烃企业正在试图通过采购凝析油产品以弥补进口资源缺口，但国内该类资源偏少，不过据悉四月份将有部分进口资源进入中国市场。</w:t>
      </w:r>
    </w:p>
    <w:p>
      <w:pPr>
        <w:pStyle w:val="19"/>
        <w:keepNext w:val="0"/>
        <w:keepLines w:val="0"/>
        <w:widowControl/>
        <w:suppressLineNumbers w:val="0"/>
        <w:ind w:firstLine="560" w:firstLineChars="200"/>
        <w:rPr>
          <w:rFonts w:hint="eastAsia" w:ascii="华文仿宋" w:hAnsi="华文仿宋" w:eastAsia="华文仿宋"/>
          <w:sz w:val="28"/>
          <w:szCs w:val="28"/>
        </w:rPr>
      </w:pPr>
    </w:p>
    <w:p/>
    <w:p>
      <w:pPr>
        <w:outlineLvl w:val="1"/>
        <w:rPr>
          <w:rFonts w:asciiTheme="minorEastAsia" w:hAnsiTheme="minorEastAsia" w:eastAsiaTheme="minorEastAsia"/>
          <w:b/>
          <w:sz w:val="28"/>
          <w:szCs w:val="28"/>
        </w:rPr>
      </w:pPr>
      <w:bookmarkStart w:id="28" w:name="_Toc281568203"/>
      <w:bookmarkStart w:id="29" w:name="_Toc296600813"/>
      <w:bookmarkStart w:id="30" w:name="_Toc460250406"/>
      <w:bookmarkStart w:id="31" w:name="_Toc505350010"/>
      <w:r>
        <w:rPr>
          <w:rFonts w:hint="eastAsia" w:asciiTheme="minorEastAsia" w:hAnsiTheme="minorEastAsia" w:eastAsiaTheme="minorEastAsia"/>
          <w:b/>
          <w:sz w:val="28"/>
          <w:szCs w:val="28"/>
        </w:rPr>
        <w:t>2.3本周国内石脑油价格汇总</w:t>
      </w:r>
      <w:bookmarkEnd w:id="28"/>
      <w:bookmarkEnd w:id="29"/>
      <w:bookmarkEnd w:id="30"/>
      <w:bookmarkEnd w:id="31"/>
      <w:r>
        <w:rPr>
          <w:rFonts w:hint="eastAsia" w:asciiTheme="minorEastAsia" w:hAnsiTheme="minorEastAsia" w:eastAsiaTheme="minorEastAsia"/>
          <w:b/>
          <w:sz w:val="28"/>
          <w:szCs w:val="28"/>
        </w:rPr>
        <w:t xml:space="preserve"> </w:t>
      </w:r>
    </w:p>
    <w:p>
      <w:pPr>
        <w:rPr>
          <w:rFonts w:ascii="宋体" w:hAnsi="宋体" w:cs="Arial"/>
          <w:kern w:val="0"/>
          <w:sz w:val="20"/>
          <w:szCs w:val="20"/>
        </w:rPr>
      </w:pPr>
    </w:p>
    <w:p>
      <w:pPr>
        <w:tabs>
          <w:tab w:val="left" w:pos="810"/>
          <w:tab w:val="center" w:pos="4851"/>
        </w:tabs>
        <w:autoSpaceDE w:val="0"/>
        <w:autoSpaceDN w:val="0"/>
        <w:adjustRightInd w:val="0"/>
        <w:rPr>
          <w:rFonts w:ascii="黑体" w:hAnsi="宋体" w:eastAsia="黑体" w:cs="Arial"/>
          <w:kern w:val="0"/>
          <w:sz w:val="24"/>
          <w:szCs w:val="24"/>
        </w:rPr>
      </w:pPr>
      <w:r>
        <w:rPr>
          <w:rFonts w:hint="eastAsia" w:ascii="黑体" w:hAnsi="宋体" w:eastAsia="黑体" w:cs="Arial"/>
          <w:kern w:val="0"/>
          <w:sz w:val="24"/>
          <w:szCs w:val="24"/>
        </w:rPr>
        <w:t>山东地炼石脑油价格汇总</w:t>
      </w:r>
    </w:p>
    <w:p>
      <w:pPr>
        <w:tabs>
          <w:tab w:val="left" w:pos="810"/>
          <w:tab w:val="center" w:pos="4851"/>
        </w:tabs>
        <w:autoSpaceDE w:val="0"/>
        <w:autoSpaceDN w:val="0"/>
        <w:adjustRightInd w:val="0"/>
        <w:ind w:firstLine="520" w:firstLineChars="260"/>
        <w:jc w:val="center"/>
        <w:rPr>
          <w:rFonts w:ascii="宋体" w:hAnsi="宋体" w:cs="Arial"/>
          <w:kern w:val="0"/>
          <w:sz w:val="20"/>
          <w:szCs w:val="20"/>
        </w:rPr>
      </w:pPr>
    </w:p>
    <w:p>
      <w:pPr>
        <w:rPr>
          <w:rFonts w:hint="eastAsia" w:ascii="宋体" w:hAnsi="宋体" w:cs="Arial"/>
          <w:kern w:val="0"/>
          <w:sz w:val="20"/>
          <w:szCs w:val="20"/>
        </w:rPr>
      </w:pPr>
      <w:r>
        <w:rPr>
          <w:rFonts w:hint="eastAsia" w:ascii="宋体" w:hAnsi="宋体" w:cs="Arial"/>
          <w:kern w:val="0"/>
          <w:sz w:val="20"/>
          <w:szCs w:val="20"/>
        </w:rPr>
        <w:t xml:space="preserve"> 单</w:t>
      </w: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69"/>
        <w:gridCol w:w="1370"/>
        <w:gridCol w:w="1369"/>
        <w:gridCol w:w="1370"/>
        <w:gridCol w:w="1369"/>
        <w:gridCol w:w="1560"/>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37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37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56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2018-3-16</w:t>
            </w:r>
          </w:p>
        </w:tc>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恒源石化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4850</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中海石化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弘润石化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华星石化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海科石化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广饶石化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5020</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鑫泰石化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6150</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利津石化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安邦石化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日照源丰</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富海石化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5210</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京博石化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昌邑石化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6050</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垦利石化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寿光石化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神驰石化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汇丰石化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5730</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宝塔石化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滨化石化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高青宏远石化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河口实业</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rPr>
          <w:rFonts w:ascii="宋体" w:hAnsi="宋体" w:cs="Arial"/>
          <w:kern w:val="0"/>
          <w:sz w:val="20"/>
          <w:szCs w:val="20"/>
        </w:rPr>
      </w:pPr>
      <w:r>
        <w:rPr>
          <w:rFonts w:hint="eastAsia" w:ascii="宋体" w:hAnsi="宋体" w:cs="Arial"/>
          <w:kern w:val="0"/>
          <w:sz w:val="20"/>
          <w:szCs w:val="20"/>
        </w:rPr>
        <w:t>位：元/吨</w:t>
      </w:r>
    </w:p>
    <w:p>
      <w:pPr>
        <w:pStyle w:val="3"/>
        <w:spacing w:line="240" w:lineRule="auto"/>
        <w:jc w:val="left"/>
        <w:rPr>
          <w:rFonts w:ascii="宋体" w:hAnsi="宋体"/>
          <w:b w:val="0"/>
          <w:szCs w:val="28"/>
        </w:rPr>
      </w:pPr>
      <w:bookmarkStart w:id="32" w:name="_Toc281568204"/>
      <w:bookmarkStart w:id="33" w:name="_Toc296600814"/>
      <w:bookmarkStart w:id="34" w:name="_Toc460250407"/>
      <w:bookmarkStart w:id="35" w:name="_Toc158203132"/>
      <w:bookmarkStart w:id="36" w:name="_Toc239847719"/>
    </w:p>
    <w:p>
      <w:pPr>
        <w:pStyle w:val="3"/>
        <w:spacing w:line="240" w:lineRule="auto"/>
        <w:jc w:val="left"/>
        <w:rPr>
          <w:rFonts w:asciiTheme="minorEastAsia" w:hAnsiTheme="minorEastAsia" w:eastAsiaTheme="minorEastAsia"/>
        </w:rPr>
      </w:pPr>
      <w:bookmarkStart w:id="37" w:name="_Toc505350011"/>
      <w:r>
        <w:rPr>
          <w:rFonts w:hint="eastAsia" w:asciiTheme="minorEastAsia" w:hAnsiTheme="minorEastAsia" w:eastAsiaTheme="minorEastAsia"/>
          <w:szCs w:val="28"/>
        </w:rPr>
        <w:t>2.</w:t>
      </w:r>
      <w:r>
        <w:rPr>
          <w:rFonts w:hint="eastAsia" w:asciiTheme="minorEastAsia" w:hAnsiTheme="minorEastAsia" w:eastAsiaTheme="minorEastAsia"/>
          <w:bCs w:val="0"/>
          <w:szCs w:val="28"/>
        </w:rPr>
        <w:t xml:space="preserve"> </w:t>
      </w:r>
      <w:r>
        <w:rPr>
          <w:rFonts w:hint="eastAsia" w:asciiTheme="minorEastAsia" w:hAnsiTheme="minorEastAsia" w:eastAsiaTheme="minorEastAsia"/>
          <w:szCs w:val="28"/>
        </w:rPr>
        <w:t>4山东地炼石脑油价格走势图</w:t>
      </w:r>
      <w:bookmarkEnd w:id="32"/>
      <w:bookmarkEnd w:id="33"/>
      <w:bookmarkEnd w:id="34"/>
      <w:bookmarkEnd w:id="37"/>
    </w:p>
    <w:p>
      <w:pPr>
        <w:widowControl/>
        <w:jc w:val="left"/>
        <w:rPr>
          <w:rFonts w:ascii="宋体" w:hAnsi="宋体" w:cs="宋体"/>
          <w:kern w:val="0"/>
          <w:sz w:val="24"/>
          <w:szCs w:val="24"/>
        </w:rPr>
      </w:pPr>
      <w:r>
        <w:drawing>
          <wp:inline distT="0" distB="0" distL="114300" distR="114300">
            <wp:extent cx="5800725" cy="5928360"/>
            <wp:effectExtent l="0" t="0" r="9525" b="15240"/>
            <wp:docPr id="623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rPr>
          <w:sz w:val="20"/>
          <w:szCs w:val="20"/>
        </w:rPr>
      </w:pPr>
    </w:p>
    <w:p>
      <w:pPr>
        <w:rPr>
          <w:sz w:val="20"/>
          <w:szCs w:val="20"/>
        </w:rPr>
      </w:pPr>
    </w:p>
    <w:bookmarkEnd w:id="35"/>
    <w:bookmarkEnd w:id="36"/>
    <w:p>
      <w:pPr>
        <w:outlineLvl w:val="0"/>
        <w:rPr>
          <w:rFonts w:ascii="黑体" w:eastAsia="黑体"/>
          <w:b/>
          <w:sz w:val="28"/>
          <w:szCs w:val="28"/>
        </w:rPr>
      </w:pPr>
      <w:bookmarkStart w:id="38" w:name="_Toc296600816"/>
      <w:bookmarkStart w:id="39" w:name="_Toc237428455"/>
      <w:bookmarkStart w:id="40" w:name="_Toc281568206"/>
      <w:bookmarkStart w:id="41" w:name="_Toc505350012"/>
      <w:bookmarkStart w:id="42" w:name="_Toc460250408"/>
      <w:r>
        <w:rPr>
          <w:rFonts w:hint="eastAsia" w:ascii="黑体" w:eastAsia="黑体"/>
          <w:b/>
          <w:sz w:val="28"/>
          <w:szCs w:val="28"/>
        </w:rPr>
        <w:t>三、本周国内油品市场分析及预测</w:t>
      </w:r>
      <w:bookmarkEnd w:id="38"/>
      <w:bookmarkEnd w:id="39"/>
      <w:bookmarkEnd w:id="40"/>
      <w:bookmarkEnd w:id="41"/>
      <w:bookmarkEnd w:id="42"/>
      <w:bookmarkStart w:id="43" w:name="_Toc281568207"/>
      <w:bookmarkStart w:id="44" w:name="_Toc296600817"/>
      <w:bookmarkStart w:id="45" w:name="_Toc460250409"/>
      <w:bookmarkStart w:id="46" w:name="_Toc176571903"/>
      <w:bookmarkStart w:id="47" w:name="_Toc237428456"/>
    </w:p>
    <w:p>
      <w:pPr>
        <w:pStyle w:val="2"/>
        <w:spacing w:line="360" w:lineRule="auto"/>
        <w:rPr>
          <w:rFonts w:hint="eastAsia" w:ascii="黑体" w:hAnsi="黑体"/>
          <w:b w:val="0"/>
          <w:kern w:val="2"/>
          <w:sz w:val="28"/>
          <w:szCs w:val="28"/>
        </w:rPr>
      </w:pPr>
      <w:bookmarkStart w:id="48" w:name="_Toc505350013"/>
      <w:r>
        <w:rPr>
          <w:rFonts w:hint="eastAsia" w:ascii="黑体" w:hAnsi="黑体"/>
          <w:b w:val="0"/>
          <w:kern w:val="2"/>
          <w:sz w:val="28"/>
          <w:szCs w:val="28"/>
        </w:rPr>
        <w:t>3．1  成品油市场动态</w:t>
      </w:r>
      <w:bookmarkEnd w:id="43"/>
      <w:bookmarkEnd w:id="44"/>
      <w:bookmarkEnd w:id="45"/>
      <w:bookmarkEnd w:id="48"/>
    </w:p>
    <w:p>
      <w:pPr>
        <w:pStyle w:val="19"/>
        <w:keepNext w:val="0"/>
        <w:keepLines w:val="0"/>
        <w:widowControl/>
        <w:suppressLineNumbers w:val="0"/>
        <w:rPr>
          <w:rFonts w:hint="eastAsia" w:ascii="华文仿宋" w:hAnsi="华文仿宋" w:eastAsia="华文仿宋" w:cs="华文仿宋"/>
          <w:sz w:val="28"/>
          <w:szCs w:val="28"/>
        </w:rPr>
      </w:pPr>
      <w:r>
        <w:rPr>
          <w:sz w:val="21"/>
          <w:szCs w:val="21"/>
        </w:rPr>
        <w:t>　</w:t>
      </w:r>
      <w:r>
        <w:rPr>
          <w:rFonts w:hint="eastAsia" w:ascii="华文仿宋" w:hAnsi="华文仿宋" w:eastAsia="华文仿宋" w:cs="华文仿宋"/>
          <w:sz w:val="28"/>
          <w:szCs w:val="28"/>
        </w:rPr>
        <w:t>　本周，国际原油价格以三角形区间震荡为主。周内，国际原油市场整体氛围偏空，虽然前期美朝关系缓和有效提振了市场风险情绪，同时美国石油活跃钻井数也录得7周来首次下降也助力油价在周初实现强势反弹，但随后美国能源信息署(EIA)公布的数据显示，上周美国国内原油产量在连续3周录得增长后续刷历史新高，该组织同时预计4月份美国七大页岩油田的产量将会继续增加，有关美国原油产量不断攀升的悲观预期施压油价自高位回落，此外，石油输出国组织(OPEC)将其对2018年非欧佩克产油国的原油产量预期进行上调，进一步打压市场氛围。</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国际原油期货震荡运行，受此影响，国内成品油市场购销氛围清淡，部分地区主营汽柴油价格下调。与此同时，山东地区汽柴油行情弱势下行，各炼厂报价频频走低且成交保持100元/吨左右优惠。具体来看出货方面：受原油弱势以及需求不足打压，区内油市观望气氛浓厚，终端用户及贸易商购进意向淡薄，因此地炼整体出货表现不佳，库存量普遍有所升高。后市前瞻：进入下周，国际原油期价下跌为主，WTI运行区间在58-62(均值60)美元/桶之间。在缺少实质性利好提振下，山东地区成品油行情弱势难改，买卖双方操作谨慎，市场交投气氛平淡。综上所述，预计下周山东地炼汽柴油价格上涨乏力。</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华东地区成品油行情逐步承压走低，市场交投较为清淡。具体来看，近期国际油价震荡下行，零售价未作调整，消息面对市场难有支撑。而下游终端企业复工进度迟缓，需求回升不及预期，且前期备货较为充足，近期仍主要消化库存，入市采购难见大单。华东区内主营出货普遍不畅，且进入月中，主营销售压力增加，汽柴油价格或明或暗中降价促销，不过鉴于地炼汽柴价格偏低，主营销售难有改观，市场整体购销气氛平淡。后市而言，国际原油或仍维持弱势区间震荡，消息面对市场仍难有明显指引。且随着主营出货压力与日俱增，预计下周华东汽柴行情或仍有下行空间，主营销售政策灵活。</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华南地区成品油行情继续下探，市场交投气氛清淡不已。具体来看，国际原油期货震荡走低，零售价调整搁浅，消息方面难寻支撑。与此同时，下游需求复苏缓慢，业者消库观望为主，主营单位出货普遍不畅，汽柴油价格承压继续下探，市场交投气氛难言乐观。后市来看，国际原油期货或继续震荡下行，变化率负向区间运行，消息方面利空油市。与此同时，步入中下旬，主营单位销售压力增大。因此预计下周华南地区成品油行情下行压力犹存。</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华北地区成品油行情震荡回落，整体成交延续疲软。具体来看，国际原油走势较为震荡，周内发改委调价搁浅，消息面对市场走势难有支撑。另外，受环保限产等影响，下游行业开工不足，柴油需求持续疲软。而汽油市场缺乏有力刺激，需求亦处于低位。中下游业者前期备货消耗速度较慢，入市采购趋于谨慎。再考虑到，当前部分地区主营单位销售进度完成欠佳，为增加销量，价格顺势下调。后市来看，新一轮变化率负向波动，加之需求恢复难以提速，业者仍消耗前期备货为主，整体成交难有明显改善，部分单位出货价格或继续下调。</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华中地区汽柴油价格稳中下行，整体购销欠佳。具体来看，本周国际原油弱势震荡为主，且因变化率未触及调价红线导致本次调价搁浅，消息面欠缺明确指引。区内主营为追赶出货进度，汽柴价格承压下调。但因终端需求恢复缓慢，且前期业者备货充足，现仍处于消库阶段，加之地方炼厂仍有价格优势，部分业者采购提量有限，故市场整体购销气氛冷淡。后市来看，部分炼厂即将进入检修阶段，供应量有所收窄，且柴油刚需陆续恢复，汽油则相对平淡，故华中地区主营成品油价格有上升空间且呈现“柴强汽弱”的走势。</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西南地区汽柴行情震荡下行，整体交投氛围平淡。分析来看：周内国际原油维持区间震荡，变化率0附近波动，本周三零售价窗口未能如期开启，消息面对市场难有指引。同时，主营销售压力逐步增加，为促进成交，部分单位价格下调。虽然个别单位报价未有回落，但实际成交暗中增加优惠，汽柴行情整体下移。然下游需求恢复缓慢，业者操作心态维持谨慎，观望之余按需采购为主，市场成交难有明显提升。后市而言，国际原油或震荡下行，变化率负向区间波动，后市行情仍不乐观。另外，进入中下旬，主营单位出货压力进一步增加，因此预计下周西南地区汽柴价格仍有下跌空间。业者逢低适量补货，市场成交波动不大。</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预计下周国际原油价格下跌为主。就最新掌握的情况，造成油价下跌的主要因素主要有两方面：其一，OPEC公布的月报来看，由于美国及其它产油国产量的回升，OPEC 的减产或很难持续有效地清除过剩库存。 其二，库欣库存开始出现回升。从最近WTI的远期价格结构可以看出，WTI从此前的远月贴水转变成目前几乎平水的格局，表明最近一段时间由于库欣地区库存的回升而使得WTI近端价格承压，未来或是WTI油价承压的一个重要因素。此外，未来仍需关注宏观方面的动态。近期美股与原油关联性仍旧较高，下周美国FOMC决议或对近期的汇率及股市造成较大影响，需持续关注。</w:t>
      </w:r>
    </w:p>
    <w:p/>
    <w:bookmarkEnd w:id="46"/>
    <w:bookmarkEnd w:id="47"/>
    <w:p>
      <w:pPr>
        <w:numPr>
          <w:ilvl w:val="0"/>
          <w:numId w:val="3"/>
        </w:numPr>
        <w:outlineLvl w:val="0"/>
        <w:rPr>
          <w:rFonts w:ascii="黑体"/>
          <w:b/>
          <w:bCs/>
          <w:sz w:val="28"/>
          <w:szCs w:val="28"/>
        </w:rPr>
      </w:pPr>
      <w:bookmarkStart w:id="49" w:name="_Toc505350014"/>
      <w:bookmarkStart w:id="50" w:name="_Toc296600818"/>
      <w:bookmarkStart w:id="51" w:name="_Toc369858747"/>
      <w:bookmarkStart w:id="52" w:name="_Toc460250410"/>
      <w:bookmarkStart w:id="53" w:name="_Toc180485827"/>
      <w:bookmarkStart w:id="54" w:name="_Toc281568208"/>
      <w:bookmarkStart w:id="55" w:name="_Toc281568211"/>
      <w:bookmarkStart w:id="56" w:name="_Toc296600819"/>
      <w:r>
        <w:rPr>
          <w:rFonts w:hint="eastAsia" w:ascii="黑体"/>
          <w:b/>
          <w:bCs/>
          <w:sz w:val="28"/>
          <w:szCs w:val="28"/>
        </w:rPr>
        <w:t>国内溶剂油市场综述</w:t>
      </w:r>
      <w:bookmarkEnd w:id="49"/>
    </w:p>
    <w:p>
      <w:pPr>
        <w:pStyle w:val="19"/>
        <w:keepNext w:val="0"/>
        <w:keepLines w:val="0"/>
        <w:widowControl/>
        <w:suppressLineNumbers w:val="0"/>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本周溶剂油市场弱稳运行，市场整体仍旧处于一个缓慢复苏的阶段。市场行情整体以持稳为主，价格稳中有跌。周初，溶剂油市场平稳运行，价格稳中无明显变动。业者操作心态谨慎，大单采购有限，市场成交难有提升。市场成交清淡，多小单为主，需求始终疲软状况难改，持续萎靡。原油价格走势区间震荡，整体价格变化率呈负向变动，消息面利空市场，对溶剂油市场难有支撑，指引作用偏弱。临近周末，溶剂油市场弱势运行，需求持续萎靡，少数商家多根据自身库存情况灵活小幅调整价格，溶剂油市场行情趋稳。汽柴油对应实现下调，政策面利空。前期溶剂油厂家多库存高位，本周依然消耗缓慢，下游需求持续萎靡，业者多消耗库存为主。市场大单成交稀少，交投气氛清淡。商家报价稳中零星下调。整体而言，溶剂油市场弱稳延续，需求持续疲软。预测：进入三月中旬，下游厂家会有部分备货行为，在消耗库存的同时将小幅提振溶剂油市场价格，国际油价震荡，就目前来看整体价格变化稳中运行。原油价格震荡运行，整体价格变化率呈正向区间变动，但消息面难以支撑溶剂油市场，对溶剂油市场指引作用偏弱，溶剂油市场整体持稳，目前溶剂油市场交投气氛欠佳，业者多持币谨慎观望，市场需求始终疲软，整体出货不佳，下游业者入市操作积极性不高，成交多以小单为主，溶剂油市场行情趋稳。下周原油价格或呈稳中上行走势，支撑溶剂油价格上行。然而年前的库位高存，将对溶剂油市场行情存在一定抑制作用，限制溶剂油价格涨幅。三月有关成品油消费税的消息落实，政策面利好。但是考虑到市场疲软状态难改，出货欠佳，以及国际油价震荡的不确定性等诸多因素，利好对市场行情指引作用偏弱。因此百川预测下周溶剂油市场平稳运行，市场价格大稳小动。</w:t>
      </w:r>
    </w:p>
    <w:p>
      <w:pPr>
        <w:pStyle w:val="19"/>
        <w:ind w:firstLine="560" w:firstLineChars="200"/>
        <w:rPr>
          <w:rFonts w:ascii="华文仿宋" w:hAnsi="华文仿宋" w:eastAsia="华文仿宋" w:cs="Times New Roman"/>
          <w:kern w:val="2"/>
          <w:sz w:val="28"/>
          <w:szCs w:val="28"/>
        </w:rPr>
      </w:pPr>
    </w:p>
    <w:p>
      <w:pPr>
        <w:outlineLvl w:val="0"/>
        <w:rPr>
          <w:rFonts w:ascii="黑体"/>
          <w:b/>
          <w:bCs/>
          <w:sz w:val="28"/>
          <w:szCs w:val="28"/>
        </w:rPr>
      </w:pPr>
    </w:p>
    <w:bookmarkEnd w:id="50"/>
    <w:bookmarkEnd w:id="51"/>
    <w:bookmarkEnd w:id="52"/>
    <w:bookmarkEnd w:id="53"/>
    <w:bookmarkEnd w:id="54"/>
    <w:p>
      <w:pPr>
        <w:pStyle w:val="2"/>
        <w:spacing w:line="360" w:lineRule="auto"/>
        <w:rPr>
          <w:rFonts w:hint="eastAsia" w:ascii="Microsoft YaHei" w:hAnsi="Microsoft YaHei" w:cs="宋体"/>
          <w:kern w:val="0"/>
          <w:sz w:val="23"/>
          <w:szCs w:val="23"/>
        </w:rPr>
      </w:pPr>
      <w:bookmarkStart w:id="57" w:name="_Toc505350015"/>
      <w:bookmarkStart w:id="58" w:name="_Toc460250411"/>
      <w:r>
        <w:rPr>
          <w:rFonts w:hint="eastAsia" w:ascii="黑体" w:hAnsi="宋体"/>
          <w:sz w:val="28"/>
          <w:szCs w:val="28"/>
        </w:rPr>
        <w:t>五、本周国内炼厂溶剂油产品价格对比</w:t>
      </w:r>
      <w:bookmarkEnd w:id="55"/>
      <w:bookmarkEnd w:id="56"/>
      <w:bookmarkEnd w:id="57"/>
      <w:bookmarkEnd w:id="58"/>
    </w:p>
    <w:p>
      <w:pPr>
        <w:rPr>
          <w:rFonts w:ascii="宋体" w:hAnsi="宋体"/>
          <w:sz w:val="20"/>
          <w:szCs w:val="20"/>
        </w:rPr>
      </w:pPr>
      <w:r>
        <w:rPr>
          <w:rFonts w:hint="eastAsia" w:ascii="宋体" w:hAnsi="宋体"/>
          <w:sz w:val="20"/>
          <w:szCs w:val="20"/>
        </w:rPr>
        <w:t>单位：元/吨</w:t>
      </w:r>
    </w:p>
    <w:p>
      <w:pPr>
        <w:rPr>
          <w:rFonts w:ascii="宋体" w:hAnsi="宋体"/>
          <w:sz w:val="20"/>
          <w:szCs w:val="20"/>
        </w:rPr>
      </w:pP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95"/>
        <w:gridCol w:w="1961"/>
        <w:gridCol w:w="1095"/>
        <w:gridCol w:w="1094"/>
        <w:gridCol w:w="1095"/>
        <w:gridCol w:w="1095"/>
        <w:gridCol w:w="1246"/>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961"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095"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094"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095"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095"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246"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2018-3-16</w:t>
            </w:r>
          </w:p>
        </w:tc>
        <w:tc>
          <w:tcPr>
            <w:tcW w:w="1095"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-5300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-5300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140#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280#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山东集兴化工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山东集兴化工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青岛石化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济南炼厂</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东明石化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7050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扬子石化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扬子石化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镇海炼化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镇海炼化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高桥石化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高桥石化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杭州炼厂</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泰州石化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金陵烷基苯厂</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扬州石化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广州赫尔普公司</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广州赫尔普公司</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南海志德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南海志德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南方石油</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南方石油</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茂名华粤</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茂名华粤</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福建联合</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5850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巴陵石化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110#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巴陵石化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南阳石化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武汉石化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武汉石化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独山子石化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独山子石化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新疆康佳投资(集团)</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新疆康佳投资(集团)</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南充炼厂</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widowControl/>
        <w:jc w:val="center"/>
        <w:rPr>
          <w:rFonts w:hint="eastAsia"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59" w:name="_Toc296600821"/>
      <w:bookmarkStart w:id="60" w:name="_Toc505350016"/>
      <w:bookmarkStart w:id="61" w:name="_Toc460250412"/>
      <w:bookmarkStart w:id="62" w:name="_Toc281568213"/>
      <w:r>
        <w:rPr>
          <w:rFonts w:hint="eastAsia" w:ascii="黑体" w:hAnsi="宋体"/>
          <w:sz w:val="28"/>
          <w:szCs w:val="28"/>
        </w:rPr>
        <w:t>六、D系列特种溶剂油</w:t>
      </w:r>
      <w:bookmarkEnd w:id="59"/>
      <w:bookmarkEnd w:id="60"/>
      <w:bookmarkEnd w:id="61"/>
      <w:bookmarkEnd w:id="62"/>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本周国内D系列溶剂油价格汇总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单位：元/吨</w:t>
      </w: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209"/>
        <w:gridCol w:w="1232"/>
        <w:gridCol w:w="1233"/>
        <w:gridCol w:w="1233"/>
        <w:gridCol w:w="1232"/>
        <w:gridCol w:w="1404"/>
        <w:gridCol w:w="1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23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23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23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23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404"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2018-3-16</w:t>
            </w:r>
          </w:p>
        </w:tc>
        <w:tc>
          <w:tcPr>
            <w:tcW w:w="123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D20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6930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7530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D75</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7930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8530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8530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D95</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8530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D105</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7930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8530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D110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7930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D120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7530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D140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8100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8500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8500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D110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D130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D130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D70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D95</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D65</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Cs w:val="0"/>
          <w:kern w:val="2"/>
          <w:sz w:val="28"/>
          <w:szCs w:val="28"/>
        </w:rPr>
      </w:pPr>
      <w:bookmarkStart w:id="63" w:name="_Toc281568214"/>
      <w:bookmarkStart w:id="64" w:name="_Toc505350017"/>
      <w:bookmarkStart w:id="65" w:name="_Toc460250413"/>
      <w:bookmarkStart w:id="66" w:name="_Toc296600822"/>
      <w:r>
        <w:rPr>
          <w:rFonts w:hint="eastAsia" w:ascii="华文仿宋" w:hAnsi="华文仿宋" w:eastAsia="华文仿宋"/>
          <w:bCs w:val="0"/>
          <w:kern w:val="2"/>
          <w:sz w:val="28"/>
          <w:szCs w:val="28"/>
        </w:rPr>
        <w:t>七、重芳烃溶剂油</w:t>
      </w:r>
      <w:bookmarkEnd w:id="63"/>
      <w:bookmarkEnd w:id="64"/>
      <w:bookmarkEnd w:id="65"/>
      <w:bookmarkEnd w:id="66"/>
    </w:p>
    <w:p>
      <w:pPr>
        <w:autoSpaceDE w:val="0"/>
        <w:autoSpaceDN w:val="0"/>
        <w:adjustRightInd w:val="0"/>
        <w:ind w:firstLine="140" w:firstLineChars="50"/>
        <w:rPr>
          <w:rFonts w:ascii="华文仿宋" w:hAnsi="华文仿宋" w:eastAsia="华文仿宋"/>
          <w:sz w:val="28"/>
          <w:szCs w:val="28"/>
        </w:rPr>
      </w:pPr>
      <w:r>
        <w:rPr>
          <w:rFonts w:hint="eastAsia" w:ascii="华文仿宋" w:hAnsi="华文仿宋" w:eastAsia="华文仿宋"/>
          <w:sz w:val="28"/>
          <w:szCs w:val="28"/>
        </w:rPr>
        <w:t>单位：元/吨</w:t>
      </w:r>
    </w:p>
    <w:tbl>
      <w:tblPr>
        <w:tblpPr w:leftFromText="180" w:rightFromText="180" w:vertAnchor="text" w:horzAnchor="page" w:tblpX="1074" w:tblpY="632"/>
        <w:tblOverlap w:val="neve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114"/>
        <w:gridCol w:w="1653"/>
        <w:gridCol w:w="1315"/>
        <w:gridCol w:w="1114"/>
        <w:gridCol w:w="1114"/>
        <w:gridCol w:w="1083"/>
        <w:gridCol w:w="1269"/>
        <w:gridCol w:w="1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65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315"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114"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114"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08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2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2018-3-16</w:t>
            </w:r>
          </w:p>
        </w:tc>
        <w:tc>
          <w:tcPr>
            <w:tcW w:w="1114"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混合芳烃</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燕化高新</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燕化高新</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S100A</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S100B</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混三甲苯-1</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混三甲苯-3</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混四甲苯</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S-2300#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-300</w:t>
            </w: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S1001#</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S1501#</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S1800A</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S1800B</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S100#A</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S100#B</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S100#C</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混合甲乙苯</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混合三甲苯</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洛阳宇晶</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4300</w:t>
            </w: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4300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洛阳宇晶</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4000</w:t>
            </w: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九江华庐</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C9</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九江华庐</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C10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widowControl/>
        <w:jc w:val="center"/>
        <w:rPr>
          <w:rFonts w:hint="eastAsia" w:ascii="华文仿宋" w:hAnsi="华文仿宋" w:eastAsia="华文仿宋"/>
          <w:sz w:val="28"/>
          <w:szCs w:val="28"/>
          <w:lang w:val="en-US" w:eastAsia="zh-CN"/>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Cs w:val="0"/>
          <w:kern w:val="2"/>
          <w:sz w:val="28"/>
          <w:szCs w:val="28"/>
        </w:rPr>
      </w:pPr>
      <w:bookmarkStart w:id="67" w:name="_Toc296600823"/>
      <w:bookmarkStart w:id="68" w:name="_Toc281568215"/>
      <w:bookmarkStart w:id="69" w:name="_Toc505350018"/>
      <w:bookmarkStart w:id="70" w:name="_Toc460250414"/>
      <w:bookmarkStart w:id="71" w:name="_Toc180485835"/>
      <w:r>
        <w:rPr>
          <w:rFonts w:hint="eastAsia" w:ascii="华文仿宋" w:hAnsi="华文仿宋" w:eastAsia="华文仿宋"/>
          <w:bCs w:val="0"/>
          <w:kern w:val="2"/>
          <w:sz w:val="28"/>
          <w:szCs w:val="28"/>
        </w:rPr>
        <w:t>八、正己烷</w:t>
      </w:r>
      <w:bookmarkEnd w:id="67"/>
      <w:bookmarkEnd w:id="68"/>
      <w:bookmarkEnd w:id="69"/>
      <w:bookmarkEnd w:id="70"/>
      <w:bookmarkEnd w:id="71"/>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hAnsi="华文仿宋" w:eastAsia="华文仿宋"/>
          <w:sz w:val="28"/>
          <w:szCs w:val="28"/>
        </w:rPr>
      </w:pPr>
      <w:r>
        <w:rPr>
          <w:rFonts w:hint="eastAsia" w:ascii="华文仿宋" w:hAnsi="华文仿宋" w:eastAsia="华文仿宋"/>
          <w:sz w:val="28"/>
          <w:szCs w:val="28"/>
        </w:rPr>
        <w:t>本周国内正己烷价格汇总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 xml:space="preserve">单位：元/吨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33"/>
        <w:gridCol w:w="1592"/>
        <w:gridCol w:w="1333"/>
        <w:gridCol w:w="1334"/>
        <w:gridCol w:w="1333"/>
        <w:gridCol w:w="1518"/>
        <w:gridCol w:w="1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59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33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334"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33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518"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2018-3-16</w:t>
            </w:r>
          </w:p>
        </w:tc>
        <w:tc>
          <w:tcPr>
            <w:tcW w:w="133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59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大连石化</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33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59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辽阳石化</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33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59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辽阳裕丰</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33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8000</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59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辽阳亿鑫</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33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9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燕山石化</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33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9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燕山集联</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33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59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扬子石化</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33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59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广州赫尔普</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33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59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岳阳金瀚</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33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59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兰州石化</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33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59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克拉玛依</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33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 w:val="0"/>
          <w:bCs w:val="0"/>
          <w:kern w:val="2"/>
          <w:sz w:val="28"/>
          <w:szCs w:val="28"/>
        </w:rPr>
      </w:pPr>
      <w:bookmarkStart w:id="72" w:name="_Toc281568216"/>
      <w:bookmarkStart w:id="73" w:name="_Toc460250415"/>
      <w:bookmarkStart w:id="74" w:name="_Toc296600824"/>
      <w:bookmarkStart w:id="75" w:name="_Toc505350019"/>
      <w:r>
        <w:rPr>
          <w:rFonts w:hint="eastAsia" w:ascii="华文仿宋" w:hAnsi="华文仿宋" w:eastAsia="华文仿宋"/>
          <w:b w:val="0"/>
          <w:bCs w:val="0"/>
          <w:kern w:val="2"/>
          <w:sz w:val="28"/>
          <w:szCs w:val="28"/>
        </w:rPr>
        <w:t>九、201</w:t>
      </w:r>
      <w:r>
        <w:rPr>
          <w:rFonts w:hint="eastAsia" w:ascii="华文仿宋" w:hAnsi="华文仿宋" w:eastAsia="华文仿宋"/>
          <w:b w:val="0"/>
          <w:bCs w:val="0"/>
          <w:kern w:val="2"/>
          <w:sz w:val="28"/>
          <w:szCs w:val="28"/>
          <w:lang w:val="en-US" w:eastAsia="zh-CN"/>
        </w:rPr>
        <w:t>8</w:t>
      </w:r>
      <w:r>
        <w:rPr>
          <w:rFonts w:hint="eastAsia" w:ascii="华文仿宋" w:hAnsi="华文仿宋" w:eastAsia="华文仿宋"/>
          <w:b w:val="0"/>
          <w:bCs w:val="0"/>
          <w:kern w:val="2"/>
          <w:sz w:val="28"/>
          <w:szCs w:val="28"/>
        </w:rPr>
        <w:t>年1月中国溶剂油、石脑油进出口数据统计</w:t>
      </w:r>
      <w:bookmarkEnd w:id="72"/>
      <w:bookmarkEnd w:id="73"/>
      <w:bookmarkEnd w:id="74"/>
      <w:bookmarkEnd w:id="75"/>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bookmarkStart w:id="76" w:name="_Toc296600826"/>
      <w:bookmarkStart w:id="77" w:name="_Toc281568218"/>
      <w:r>
        <w:rPr>
          <w:rFonts w:hint="eastAsia" w:ascii="华文仿宋" w:hAnsi="华文仿宋" w:eastAsia="华文仿宋"/>
          <w:sz w:val="28"/>
          <w:szCs w:val="28"/>
        </w:rPr>
        <w:t>201</w:t>
      </w:r>
      <w:r>
        <w:rPr>
          <w:rFonts w:hint="eastAsia" w:ascii="华文仿宋" w:hAnsi="华文仿宋" w:eastAsia="华文仿宋"/>
          <w:sz w:val="28"/>
          <w:szCs w:val="28"/>
          <w:lang w:val="en-US" w:eastAsia="zh-CN"/>
        </w:rPr>
        <w:t>8</w:t>
      </w:r>
      <w:r>
        <w:rPr>
          <w:rFonts w:hint="eastAsia" w:ascii="华文仿宋" w:hAnsi="华文仿宋" w:eastAsia="华文仿宋"/>
          <w:sz w:val="28"/>
          <w:szCs w:val="28"/>
        </w:rPr>
        <w:t>年1月中国</w:t>
      </w:r>
      <w:r>
        <w:rPr>
          <w:rFonts w:ascii="华文仿宋" w:hAnsi="华文仿宋" w:eastAsia="华文仿宋"/>
          <w:sz w:val="28"/>
          <w:szCs w:val="28"/>
        </w:rPr>
        <w:t>橡胶溶剂油、油漆溶剂油、抽提溶剂油</w:t>
      </w:r>
      <w:bookmarkEnd w:id="76"/>
      <w:bookmarkEnd w:id="77"/>
      <w:r>
        <w:rPr>
          <w:rFonts w:hint="eastAsia" w:ascii="华文仿宋" w:hAnsi="华文仿宋" w:eastAsia="华文仿宋"/>
          <w:sz w:val="28"/>
          <w:szCs w:val="28"/>
        </w:rPr>
        <w:t>进出口数据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r>
        <w:rPr>
          <w:rFonts w:hint="eastAsia" w:ascii="华文仿宋" w:hAnsi="华文仿宋" w:eastAsia="华文仿宋"/>
          <w:sz w:val="28"/>
          <w:szCs w:val="28"/>
        </w:rPr>
        <w:t>(数量单位：千克/升 金额单位: 美元)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880"/>
        <w:gridCol w:w="1790"/>
        <w:gridCol w:w="1621"/>
        <w:gridCol w:w="1743"/>
        <w:gridCol w:w="1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产销国</w:t>
            </w:r>
          </w:p>
        </w:tc>
        <w:tc>
          <w:tcPr>
            <w:tcW w:w="1790"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进口数量</w:t>
            </w:r>
          </w:p>
        </w:tc>
        <w:tc>
          <w:tcPr>
            <w:tcW w:w="1621"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进口美元</w:t>
            </w:r>
          </w:p>
        </w:tc>
        <w:tc>
          <w:tcPr>
            <w:tcW w:w="1743"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出口数量</w:t>
            </w:r>
          </w:p>
        </w:tc>
        <w:tc>
          <w:tcPr>
            <w:tcW w:w="1742"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出口美元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乌兹别克斯坦</w:t>
            </w:r>
          </w:p>
        </w:tc>
        <w:tc>
          <w:tcPr>
            <w:tcW w:w="1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7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以色列</w:t>
            </w:r>
          </w:p>
        </w:tc>
        <w:tc>
          <w:tcPr>
            <w:tcW w:w="1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4000</w:t>
            </w:r>
          </w:p>
        </w:tc>
        <w:tc>
          <w:tcPr>
            <w:tcW w:w="17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11320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台湾省</w:t>
            </w:r>
          </w:p>
        </w:tc>
        <w:tc>
          <w:tcPr>
            <w:tcW w:w="1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10560</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23760</w:t>
            </w:r>
          </w:p>
        </w:tc>
        <w:tc>
          <w:tcPr>
            <w:tcW w:w="1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巴基斯坦</w:t>
            </w:r>
          </w:p>
        </w:tc>
        <w:tc>
          <w:tcPr>
            <w:tcW w:w="1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w:t>
            </w:r>
          </w:p>
        </w:tc>
        <w:tc>
          <w:tcPr>
            <w:tcW w:w="17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德国</w:t>
            </w:r>
          </w:p>
        </w:tc>
        <w:tc>
          <w:tcPr>
            <w:tcW w:w="1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14420</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40392</w:t>
            </w:r>
          </w:p>
        </w:tc>
        <w:tc>
          <w:tcPr>
            <w:tcW w:w="1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新加坡</w:t>
            </w:r>
          </w:p>
        </w:tc>
        <w:tc>
          <w:tcPr>
            <w:tcW w:w="1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90240</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114010</w:t>
            </w:r>
          </w:p>
        </w:tc>
        <w:tc>
          <w:tcPr>
            <w:tcW w:w="1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日本</w:t>
            </w:r>
          </w:p>
        </w:tc>
        <w:tc>
          <w:tcPr>
            <w:tcW w:w="1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35</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362</w:t>
            </w:r>
          </w:p>
        </w:tc>
        <w:tc>
          <w:tcPr>
            <w:tcW w:w="1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比利时</w:t>
            </w:r>
          </w:p>
        </w:tc>
        <w:tc>
          <w:tcPr>
            <w:tcW w:w="1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2559</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8014</w:t>
            </w:r>
          </w:p>
        </w:tc>
        <w:tc>
          <w:tcPr>
            <w:tcW w:w="1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泰国</w:t>
            </w:r>
          </w:p>
        </w:tc>
        <w:tc>
          <w:tcPr>
            <w:tcW w:w="1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12400</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12276</w:t>
            </w:r>
          </w:p>
        </w:tc>
        <w:tc>
          <w:tcPr>
            <w:tcW w:w="1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瑞士</w:t>
            </w:r>
          </w:p>
        </w:tc>
        <w:tc>
          <w:tcPr>
            <w:tcW w:w="1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169</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2396</w:t>
            </w:r>
          </w:p>
        </w:tc>
        <w:tc>
          <w:tcPr>
            <w:tcW w:w="1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美国</w:t>
            </w:r>
          </w:p>
        </w:tc>
        <w:tc>
          <w:tcPr>
            <w:tcW w:w="1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374</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1580</w:t>
            </w:r>
          </w:p>
        </w:tc>
        <w:tc>
          <w:tcPr>
            <w:tcW w:w="1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英国</w:t>
            </w:r>
          </w:p>
        </w:tc>
        <w:tc>
          <w:tcPr>
            <w:tcW w:w="1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320</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573</w:t>
            </w:r>
          </w:p>
        </w:tc>
        <w:tc>
          <w:tcPr>
            <w:tcW w:w="1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荷兰</w:t>
            </w:r>
          </w:p>
        </w:tc>
        <w:tc>
          <w:tcPr>
            <w:tcW w:w="1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1216</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3993</w:t>
            </w:r>
          </w:p>
        </w:tc>
        <w:tc>
          <w:tcPr>
            <w:tcW w:w="1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越南</w:t>
            </w:r>
          </w:p>
        </w:tc>
        <w:tc>
          <w:tcPr>
            <w:tcW w:w="1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1738</w:t>
            </w:r>
          </w:p>
        </w:tc>
        <w:tc>
          <w:tcPr>
            <w:tcW w:w="17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韩国</w:t>
            </w:r>
          </w:p>
        </w:tc>
        <w:tc>
          <w:tcPr>
            <w:tcW w:w="1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11100</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31051</w:t>
            </w:r>
          </w:p>
        </w:tc>
        <w:tc>
          <w:tcPr>
            <w:tcW w:w="1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香港</w:t>
            </w:r>
          </w:p>
        </w:tc>
        <w:tc>
          <w:tcPr>
            <w:tcW w:w="1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99840</w:t>
            </w:r>
          </w:p>
        </w:tc>
        <w:tc>
          <w:tcPr>
            <w:tcW w:w="17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165734</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r>
        <w:rPr>
          <w:rFonts w:hint="eastAsia" w:ascii="华文仿宋" w:hAnsi="华文仿宋" w:eastAsia="华文仿宋"/>
          <w:sz w:val="28"/>
          <w:szCs w:val="28"/>
        </w:rPr>
        <w:t>201</w:t>
      </w:r>
      <w:r>
        <w:rPr>
          <w:rFonts w:hint="eastAsia" w:ascii="华文仿宋" w:hAnsi="华文仿宋" w:eastAsia="华文仿宋"/>
          <w:sz w:val="28"/>
          <w:szCs w:val="28"/>
          <w:lang w:val="en-US" w:eastAsia="zh-CN"/>
        </w:rPr>
        <w:t>8</w:t>
      </w:r>
      <w:r>
        <w:rPr>
          <w:rFonts w:hint="eastAsia" w:ascii="华文仿宋" w:hAnsi="华文仿宋" w:eastAsia="华文仿宋"/>
          <w:sz w:val="28"/>
          <w:szCs w:val="28"/>
        </w:rPr>
        <w:t>年1月石脑油进出口数据(数量单位：千克/升 金额单位: 美元)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tbl>
      <w:tblPr>
        <w:tblW w:w="97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935"/>
        <w:gridCol w:w="1997"/>
        <w:gridCol w:w="1948"/>
        <w:gridCol w:w="1948"/>
        <w:gridCol w:w="1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935"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产销国</w:t>
            </w:r>
          </w:p>
        </w:tc>
        <w:tc>
          <w:tcPr>
            <w:tcW w:w="1997"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进口数量</w:t>
            </w:r>
          </w:p>
        </w:tc>
        <w:tc>
          <w:tcPr>
            <w:tcW w:w="1948"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进口美元</w:t>
            </w:r>
          </w:p>
        </w:tc>
        <w:tc>
          <w:tcPr>
            <w:tcW w:w="1948"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出口数量</w:t>
            </w:r>
          </w:p>
        </w:tc>
        <w:tc>
          <w:tcPr>
            <w:tcW w:w="1947"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出口美元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俄罗斯联邦</w:t>
            </w:r>
          </w:p>
        </w:tc>
        <w:tc>
          <w:tcPr>
            <w:tcW w:w="1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91520133</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52872055</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印度</w:t>
            </w:r>
          </w:p>
        </w:tc>
        <w:tc>
          <w:tcPr>
            <w:tcW w:w="1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29864172</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18784540</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巴布亚新几内亚</w:t>
            </w:r>
          </w:p>
        </w:tc>
        <w:tc>
          <w:tcPr>
            <w:tcW w:w="1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3139971</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1980568</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新加坡</w:t>
            </w:r>
          </w:p>
        </w:tc>
        <w:tc>
          <w:tcPr>
            <w:tcW w:w="1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29385635</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18690600</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日本</w:t>
            </w:r>
          </w:p>
        </w:tc>
        <w:tc>
          <w:tcPr>
            <w:tcW w:w="1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35044463</w:t>
            </w:r>
          </w:p>
        </w:tc>
        <w:tc>
          <w:tcPr>
            <w:tcW w:w="1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20448444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泰国</w:t>
            </w:r>
          </w:p>
        </w:tc>
        <w:tc>
          <w:tcPr>
            <w:tcW w:w="1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6169059</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3891196</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美国</w:t>
            </w:r>
          </w:p>
        </w:tc>
        <w:tc>
          <w:tcPr>
            <w:tcW w:w="1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37842752</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23000446</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韩国</w:t>
            </w:r>
          </w:p>
        </w:tc>
        <w:tc>
          <w:tcPr>
            <w:tcW w:w="19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32516337</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20685284</w:t>
            </w:r>
          </w:p>
        </w:tc>
        <w:tc>
          <w:tcPr>
            <w:tcW w:w="19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widowControl/>
        <w:jc w:val="center"/>
        <w:rPr>
          <w:rFonts w:ascii="华文仿宋" w:hAnsi="华文仿宋" w:eastAsia="华文仿宋"/>
          <w:sz w:val="28"/>
          <w:szCs w:val="28"/>
        </w:rPr>
      </w:pPr>
    </w:p>
    <w:sectPr>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Arial Unicode MS">
    <w:altName w:val="宋体"/>
    <w:panose1 w:val="020B0604020202020204"/>
    <w:charset w:val="86"/>
    <w:family w:val="swiss"/>
    <w:pitch w:val="default"/>
    <w:sig w:usb0="00000000" w:usb1="00000000" w:usb2="0000003F" w:usb3="00000000" w:csb0="003F01FF" w:csb1="0000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Microsoft YaHei">
    <w:altName w:val="Courier New"/>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ourier New">
    <w:panose1 w:val="02070309020205020404"/>
    <w:charset w:val="00"/>
    <w:family w:val="roman"/>
    <w:pitch w:val="default"/>
    <w:sig w:usb0="00007A87" w:usb1="80000000" w:usb2="00000008" w:usb3="00000000" w:csb0="400001FF" w:csb1="FFFF0000"/>
  </w:font>
  <w:font w:name="华文中宋">
    <w:panose1 w:val="02010600040101010101"/>
    <w:charset w:val="86"/>
    <w:family w:val="auto"/>
    <w:pitch w:val="default"/>
    <w:sig w:usb0="00000287" w:usb1="080F0000" w:usb2="00000000" w:usb3="00000000" w:csb0="0004009F" w:csb1="DFD70000"/>
  </w:font>
  <w:font w:name="Arial Unicode MS">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44</w:t>
    </w:r>
    <w:r>
      <w:rPr>
        <w:b/>
        <w:bCs/>
        <w:sz w:val="24"/>
        <w:szCs w:val="24"/>
      </w:rPr>
      <w:fldChar w:fldCharType="end"/>
    </w:r>
  </w:p>
  <w:p>
    <w:pPr>
      <w:pStyle w:val="1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pPr>
      <w:pStyle w:val="13"/>
      <w:pBdr>
        <w:bottom w:val="none" w:color="auto" w:sz="0" w:space="0"/>
      </w:pBdr>
    </w:pPr>
  </w:p>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7D6932"/>
    <w:multiLevelType w:val="singleLevel"/>
    <w:tmpl w:val="F97D6932"/>
    <w:lvl w:ilvl="0" w:tentative="0">
      <w:start w:val="1"/>
      <w:numFmt w:val="decimal"/>
      <w:suff w:val="nothing"/>
      <w:lvlText w:val="%1、"/>
      <w:lvlJc w:val="left"/>
    </w:lvl>
  </w:abstractNum>
  <w:abstractNum w:abstractNumId="1">
    <w:nsid w:val="37716F8E"/>
    <w:multiLevelType w:val="singleLevel"/>
    <w:tmpl w:val="37716F8E"/>
    <w:lvl w:ilvl="0" w:tentative="0">
      <w:start w:val="2"/>
      <w:numFmt w:val="chineseCounting"/>
      <w:suff w:val="nothing"/>
      <w:lvlText w:val="（%1）"/>
      <w:lvlJc w:val="left"/>
      <w:rPr>
        <w:rFonts w:hint="eastAsia"/>
      </w:rPr>
    </w:lvl>
  </w:abstractNum>
  <w:abstractNum w:abstractNumId="2">
    <w:nsid w:val="3E7CA3C5"/>
    <w:multiLevelType w:val="singleLevel"/>
    <w:tmpl w:val="3E7CA3C5"/>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4CFF"/>
    <w:rsid w:val="000071C7"/>
    <w:rsid w:val="00007808"/>
    <w:rsid w:val="000121DE"/>
    <w:rsid w:val="00013FDF"/>
    <w:rsid w:val="00037E49"/>
    <w:rsid w:val="000425F6"/>
    <w:rsid w:val="000436BC"/>
    <w:rsid w:val="000516D9"/>
    <w:rsid w:val="00052A4E"/>
    <w:rsid w:val="0005567F"/>
    <w:rsid w:val="00057ECC"/>
    <w:rsid w:val="00060511"/>
    <w:rsid w:val="00061563"/>
    <w:rsid w:val="00062A8E"/>
    <w:rsid w:val="00063B35"/>
    <w:rsid w:val="00064D33"/>
    <w:rsid w:val="000654E9"/>
    <w:rsid w:val="000672ED"/>
    <w:rsid w:val="000824CA"/>
    <w:rsid w:val="000828AD"/>
    <w:rsid w:val="00085917"/>
    <w:rsid w:val="000862A0"/>
    <w:rsid w:val="00087B10"/>
    <w:rsid w:val="00096A95"/>
    <w:rsid w:val="00097DEF"/>
    <w:rsid w:val="000A0D0E"/>
    <w:rsid w:val="000B1002"/>
    <w:rsid w:val="000B1594"/>
    <w:rsid w:val="000B2483"/>
    <w:rsid w:val="000B4670"/>
    <w:rsid w:val="000C4C8D"/>
    <w:rsid w:val="000D02E6"/>
    <w:rsid w:val="000D3893"/>
    <w:rsid w:val="000D6DB7"/>
    <w:rsid w:val="000D7C1F"/>
    <w:rsid w:val="000E12DD"/>
    <w:rsid w:val="000E3ED3"/>
    <w:rsid w:val="000E4486"/>
    <w:rsid w:val="000F4930"/>
    <w:rsid w:val="000F6AFC"/>
    <w:rsid w:val="00100B41"/>
    <w:rsid w:val="001028D9"/>
    <w:rsid w:val="00103D77"/>
    <w:rsid w:val="001045A7"/>
    <w:rsid w:val="00111DD8"/>
    <w:rsid w:val="00111F37"/>
    <w:rsid w:val="00113D3C"/>
    <w:rsid w:val="00114C42"/>
    <w:rsid w:val="00114D13"/>
    <w:rsid w:val="00123276"/>
    <w:rsid w:val="00130438"/>
    <w:rsid w:val="001316A0"/>
    <w:rsid w:val="001351B0"/>
    <w:rsid w:val="00137FFE"/>
    <w:rsid w:val="00147D86"/>
    <w:rsid w:val="00167025"/>
    <w:rsid w:val="00183F2A"/>
    <w:rsid w:val="00194FF2"/>
    <w:rsid w:val="00195689"/>
    <w:rsid w:val="001A3318"/>
    <w:rsid w:val="001A58F5"/>
    <w:rsid w:val="001B0F30"/>
    <w:rsid w:val="001B2E5D"/>
    <w:rsid w:val="001B32BE"/>
    <w:rsid w:val="001B7F7D"/>
    <w:rsid w:val="001C077C"/>
    <w:rsid w:val="001C20CD"/>
    <w:rsid w:val="001C37E2"/>
    <w:rsid w:val="001C5CC6"/>
    <w:rsid w:val="001D1279"/>
    <w:rsid w:val="001D2FA8"/>
    <w:rsid w:val="001D35A4"/>
    <w:rsid w:val="001D3943"/>
    <w:rsid w:val="001D408B"/>
    <w:rsid w:val="001D48F1"/>
    <w:rsid w:val="001E2FF2"/>
    <w:rsid w:val="001E7175"/>
    <w:rsid w:val="001F0235"/>
    <w:rsid w:val="001F24AD"/>
    <w:rsid w:val="001F325D"/>
    <w:rsid w:val="001F3557"/>
    <w:rsid w:val="00200758"/>
    <w:rsid w:val="00212A13"/>
    <w:rsid w:val="00214955"/>
    <w:rsid w:val="0021517F"/>
    <w:rsid w:val="00216D04"/>
    <w:rsid w:val="00225CE6"/>
    <w:rsid w:val="00227F5A"/>
    <w:rsid w:val="00234D42"/>
    <w:rsid w:val="002366DE"/>
    <w:rsid w:val="00237B6C"/>
    <w:rsid w:val="00240DF6"/>
    <w:rsid w:val="002447EA"/>
    <w:rsid w:val="00244F15"/>
    <w:rsid w:val="002477D4"/>
    <w:rsid w:val="002502CA"/>
    <w:rsid w:val="002517C0"/>
    <w:rsid w:val="00251F8B"/>
    <w:rsid w:val="00260BDE"/>
    <w:rsid w:val="002614B0"/>
    <w:rsid w:val="00261884"/>
    <w:rsid w:val="00262F32"/>
    <w:rsid w:val="00274D99"/>
    <w:rsid w:val="00277D2C"/>
    <w:rsid w:val="002828E1"/>
    <w:rsid w:val="00290A13"/>
    <w:rsid w:val="0029167F"/>
    <w:rsid w:val="0029698F"/>
    <w:rsid w:val="002A0B34"/>
    <w:rsid w:val="002A1698"/>
    <w:rsid w:val="002B018D"/>
    <w:rsid w:val="002B3AF4"/>
    <w:rsid w:val="002C3203"/>
    <w:rsid w:val="002D0CDE"/>
    <w:rsid w:val="002D1062"/>
    <w:rsid w:val="002D12FA"/>
    <w:rsid w:val="002D67FA"/>
    <w:rsid w:val="002E1DC1"/>
    <w:rsid w:val="002E38DB"/>
    <w:rsid w:val="002F33D8"/>
    <w:rsid w:val="002F4F0E"/>
    <w:rsid w:val="002F5234"/>
    <w:rsid w:val="002F54D8"/>
    <w:rsid w:val="00307354"/>
    <w:rsid w:val="0032110B"/>
    <w:rsid w:val="003240B9"/>
    <w:rsid w:val="00324F27"/>
    <w:rsid w:val="00327FC0"/>
    <w:rsid w:val="00344452"/>
    <w:rsid w:val="003530D9"/>
    <w:rsid w:val="00355C68"/>
    <w:rsid w:val="003572B9"/>
    <w:rsid w:val="0035738C"/>
    <w:rsid w:val="0036061A"/>
    <w:rsid w:val="00361079"/>
    <w:rsid w:val="00365DE0"/>
    <w:rsid w:val="00370336"/>
    <w:rsid w:val="00370DF6"/>
    <w:rsid w:val="0037670E"/>
    <w:rsid w:val="00377F89"/>
    <w:rsid w:val="00380D44"/>
    <w:rsid w:val="00381DF6"/>
    <w:rsid w:val="00384C31"/>
    <w:rsid w:val="00387771"/>
    <w:rsid w:val="00391FCD"/>
    <w:rsid w:val="00394660"/>
    <w:rsid w:val="00397D27"/>
    <w:rsid w:val="003A05B5"/>
    <w:rsid w:val="003A177D"/>
    <w:rsid w:val="003A4492"/>
    <w:rsid w:val="003B2552"/>
    <w:rsid w:val="003B4A54"/>
    <w:rsid w:val="003C393A"/>
    <w:rsid w:val="003D18AF"/>
    <w:rsid w:val="003D6166"/>
    <w:rsid w:val="003D632C"/>
    <w:rsid w:val="003E2A66"/>
    <w:rsid w:val="003F15E2"/>
    <w:rsid w:val="003F26E1"/>
    <w:rsid w:val="003F30FD"/>
    <w:rsid w:val="003F5F7C"/>
    <w:rsid w:val="003F6DCC"/>
    <w:rsid w:val="003F76C3"/>
    <w:rsid w:val="00407D07"/>
    <w:rsid w:val="0041068E"/>
    <w:rsid w:val="0041230B"/>
    <w:rsid w:val="00412C3D"/>
    <w:rsid w:val="00417CA3"/>
    <w:rsid w:val="00420769"/>
    <w:rsid w:val="00421410"/>
    <w:rsid w:val="004220B2"/>
    <w:rsid w:val="00424E11"/>
    <w:rsid w:val="004326DA"/>
    <w:rsid w:val="00432A38"/>
    <w:rsid w:val="00437B9F"/>
    <w:rsid w:val="00445837"/>
    <w:rsid w:val="00447890"/>
    <w:rsid w:val="00452199"/>
    <w:rsid w:val="00452E7F"/>
    <w:rsid w:val="004535CF"/>
    <w:rsid w:val="00455FD1"/>
    <w:rsid w:val="00465A63"/>
    <w:rsid w:val="0047082D"/>
    <w:rsid w:val="00474BA0"/>
    <w:rsid w:val="00475BC4"/>
    <w:rsid w:val="00476DE0"/>
    <w:rsid w:val="00476F38"/>
    <w:rsid w:val="004774BB"/>
    <w:rsid w:val="00485005"/>
    <w:rsid w:val="0049171C"/>
    <w:rsid w:val="00491A4E"/>
    <w:rsid w:val="00494524"/>
    <w:rsid w:val="004A2527"/>
    <w:rsid w:val="004A6E28"/>
    <w:rsid w:val="004A7473"/>
    <w:rsid w:val="004A7B5F"/>
    <w:rsid w:val="004B078A"/>
    <w:rsid w:val="004B2762"/>
    <w:rsid w:val="004B4629"/>
    <w:rsid w:val="004B5ABD"/>
    <w:rsid w:val="004C0320"/>
    <w:rsid w:val="004C1F94"/>
    <w:rsid w:val="004C2578"/>
    <w:rsid w:val="004C515D"/>
    <w:rsid w:val="004D1EB5"/>
    <w:rsid w:val="004D3C9D"/>
    <w:rsid w:val="004D6F1B"/>
    <w:rsid w:val="004E0D9B"/>
    <w:rsid w:val="004E2F19"/>
    <w:rsid w:val="004F3817"/>
    <w:rsid w:val="004F491D"/>
    <w:rsid w:val="004F57CD"/>
    <w:rsid w:val="004F7B37"/>
    <w:rsid w:val="0050120B"/>
    <w:rsid w:val="00501686"/>
    <w:rsid w:val="00501DD8"/>
    <w:rsid w:val="00504E0E"/>
    <w:rsid w:val="00510901"/>
    <w:rsid w:val="0051359C"/>
    <w:rsid w:val="00517918"/>
    <w:rsid w:val="0052375A"/>
    <w:rsid w:val="00524DE5"/>
    <w:rsid w:val="00527E80"/>
    <w:rsid w:val="00530810"/>
    <w:rsid w:val="0053224A"/>
    <w:rsid w:val="00533757"/>
    <w:rsid w:val="005351E4"/>
    <w:rsid w:val="005429EE"/>
    <w:rsid w:val="00542C07"/>
    <w:rsid w:val="005579EC"/>
    <w:rsid w:val="00565438"/>
    <w:rsid w:val="005666EC"/>
    <w:rsid w:val="005670E7"/>
    <w:rsid w:val="005673DC"/>
    <w:rsid w:val="00581114"/>
    <w:rsid w:val="00581F9C"/>
    <w:rsid w:val="00585C56"/>
    <w:rsid w:val="00587D98"/>
    <w:rsid w:val="00595E1A"/>
    <w:rsid w:val="0059652E"/>
    <w:rsid w:val="005965F5"/>
    <w:rsid w:val="00597232"/>
    <w:rsid w:val="005A4B85"/>
    <w:rsid w:val="005B12A5"/>
    <w:rsid w:val="005B36D7"/>
    <w:rsid w:val="005B4843"/>
    <w:rsid w:val="005B5D5F"/>
    <w:rsid w:val="005B67FC"/>
    <w:rsid w:val="005C1130"/>
    <w:rsid w:val="005C1227"/>
    <w:rsid w:val="005C2613"/>
    <w:rsid w:val="005C5518"/>
    <w:rsid w:val="005C6091"/>
    <w:rsid w:val="005D7C50"/>
    <w:rsid w:val="005E01E3"/>
    <w:rsid w:val="005E1F2A"/>
    <w:rsid w:val="005E2512"/>
    <w:rsid w:val="00612F43"/>
    <w:rsid w:val="006145D2"/>
    <w:rsid w:val="00623E59"/>
    <w:rsid w:val="00627BE6"/>
    <w:rsid w:val="00630ED3"/>
    <w:rsid w:val="0063461D"/>
    <w:rsid w:val="00640ACF"/>
    <w:rsid w:val="00650197"/>
    <w:rsid w:val="00650D2E"/>
    <w:rsid w:val="00660BE8"/>
    <w:rsid w:val="00660FA3"/>
    <w:rsid w:val="00661E23"/>
    <w:rsid w:val="00672B6D"/>
    <w:rsid w:val="00673BF4"/>
    <w:rsid w:val="00674F58"/>
    <w:rsid w:val="00677A2A"/>
    <w:rsid w:val="006813E0"/>
    <w:rsid w:val="00685F6D"/>
    <w:rsid w:val="00690DD2"/>
    <w:rsid w:val="00693C56"/>
    <w:rsid w:val="00695E69"/>
    <w:rsid w:val="006A3863"/>
    <w:rsid w:val="006A3B86"/>
    <w:rsid w:val="006B315F"/>
    <w:rsid w:val="006B389F"/>
    <w:rsid w:val="006B4454"/>
    <w:rsid w:val="006B4F5F"/>
    <w:rsid w:val="006C0BE2"/>
    <w:rsid w:val="006C745D"/>
    <w:rsid w:val="006D0372"/>
    <w:rsid w:val="006D0B7F"/>
    <w:rsid w:val="006D0C94"/>
    <w:rsid w:val="006D23A3"/>
    <w:rsid w:val="006D6ABD"/>
    <w:rsid w:val="006E195D"/>
    <w:rsid w:val="006E58D9"/>
    <w:rsid w:val="006E7999"/>
    <w:rsid w:val="006F2697"/>
    <w:rsid w:val="006F7170"/>
    <w:rsid w:val="00720A30"/>
    <w:rsid w:val="00721AE4"/>
    <w:rsid w:val="00723454"/>
    <w:rsid w:val="007271CA"/>
    <w:rsid w:val="00730BB5"/>
    <w:rsid w:val="007314A0"/>
    <w:rsid w:val="00731F5F"/>
    <w:rsid w:val="007326DF"/>
    <w:rsid w:val="00742A37"/>
    <w:rsid w:val="00763F6F"/>
    <w:rsid w:val="00765F8B"/>
    <w:rsid w:val="00767C71"/>
    <w:rsid w:val="007752FF"/>
    <w:rsid w:val="00776D2B"/>
    <w:rsid w:val="007815C0"/>
    <w:rsid w:val="00782BC6"/>
    <w:rsid w:val="00783A4E"/>
    <w:rsid w:val="00785313"/>
    <w:rsid w:val="00785EE7"/>
    <w:rsid w:val="007873C3"/>
    <w:rsid w:val="00793DD7"/>
    <w:rsid w:val="00797A26"/>
    <w:rsid w:val="007A3B57"/>
    <w:rsid w:val="007A73BE"/>
    <w:rsid w:val="007A78BE"/>
    <w:rsid w:val="007B38A5"/>
    <w:rsid w:val="007B3E0D"/>
    <w:rsid w:val="007B4C66"/>
    <w:rsid w:val="007C001C"/>
    <w:rsid w:val="007C0E95"/>
    <w:rsid w:val="007C32F6"/>
    <w:rsid w:val="007C748B"/>
    <w:rsid w:val="007D28DE"/>
    <w:rsid w:val="007E52C7"/>
    <w:rsid w:val="007E6808"/>
    <w:rsid w:val="007F0394"/>
    <w:rsid w:val="007F1029"/>
    <w:rsid w:val="007F4B19"/>
    <w:rsid w:val="00806040"/>
    <w:rsid w:val="008156F9"/>
    <w:rsid w:val="008161B2"/>
    <w:rsid w:val="00832565"/>
    <w:rsid w:val="008336D0"/>
    <w:rsid w:val="00835D26"/>
    <w:rsid w:val="00836111"/>
    <w:rsid w:val="00837F73"/>
    <w:rsid w:val="00837FE5"/>
    <w:rsid w:val="008400E1"/>
    <w:rsid w:val="00844D40"/>
    <w:rsid w:val="0085080D"/>
    <w:rsid w:val="00851423"/>
    <w:rsid w:val="00851E9E"/>
    <w:rsid w:val="008526E8"/>
    <w:rsid w:val="00853E97"/>
    <w:rsid w:val="00863FA6"/>
    <w:rsid w:val="00867B6F"/>
    <w:rsid w:val="00871AD9"/>
    <w:rsid w:val="00881178"/>
    <w:rsid w:val="00881E5D"/>
    <w:rsid w:val="0088710F"/>
    <w:rsid w:val="00887728"/>
    <w:rsid w:val="00887BB7"/>
    <w:rsid w:val="00890FEA"/>
    <w:rsid w:val="00894685"/>
    <w:rsid w:val="00897839"/>
    <w:rsid w:val="008A0EA8"/>
    <w:rsid w:val="008A71DE"/>
    <w:rsid w:val="008D3798"/>
    <w:rsid w:val="008D4C33"/>
    <w:rsid w:val="008D6398"/>
    <w:rsid w:val="008E2155"/>
    <w:rsid w:val="008E2C6F"/>
    <w:rsid w:val="008E6CAE"/>
    <w:rsid w:val="008F047D"/>
    <w:rsid w:val="008F309D"/>
    <w:rsid w:val="008F4D12"/>
    <w:rsid w:val="009136FA"/>
    <w:rsid w:val="009166B6"/>
    <w:rsid w:val="00917A6A"/>
    <w:rsid w:val="00920F2D"/>
    <w:rsid w:val="00921A1B"/>
    <w:rsid w:val="00922FF4"/>
    <w:rsid w:val="009347F0"/>
    <w:rsid w:val="00935F33"/>
    <w:rsid w:val="0093638A"/>
    <w:rsid w:val="009378FF"/>
    <w:rsid w:val="00940754"/>
    <w:rsid w:val="00944A63"/>
    <w:rsid w:val="00945B4E"/>
    <w:rsid w:val="00947B06"/>
    <w:rsid w:val="00947B15"/>
    <w:rsid w:val="00952E08"/>
    <w:rsid w:val="00954B41"/>
    <w:rsid w:val="00956005"/>
    <w:rsid w:val="00956999"/>
    <w:rsid w:val="00964933"/>
    <w:rsid w:val="009717D1"/>
    <w:rsid w:val="00974FDE"/>
    <w:rsid w:val="00975BF1"/>
    <w:rsid w:val="00980E9A"/>
    <w:rsid w:val="00987DE6"/>
    <w:rsid w:val="00993180"/>
    <w:rsid w:val="009A3031"/>
    <w:rsid w:val="009A6AB7"/>
    <w:rsid w:val="009B11C6"/>
    <w:rsid w:val="009D30D0"/>
    <w:rsid w:val="009D3DF0"/>
    <w:rsid w:val="009D4EB3"/>
    <w:rsid w:val="009F05BF"/>
    <w:rsid w:val="009F1D70"/>
    <w:rsid w:val="009F5944"/>
    <w:rsid w:val="00A0021E"/>
    <w:rsid w:val="00A0658F"/>
    <w:rsid w:val="00A13F55"/>
    <w:rsid w:val="00A140B5"/>
    <w:rsid w:val="00A2031A"/>
    <w:rsid w:val="00A20C84"/>
    <w:rsid w:val="00A26CD6"/>
    <w:rsid w:val="00A31F3B"/>
    <w:rsid w:val="00A33138"/>
    <w:rsid w:val="00A36CBA"/>
    <w:rsid w:val="00A42D38"/>
    <w:rsid w:val="00A4389F"/>
    <w:rsid w:val="00A4409F"/>
    <w:rsid w:val="00A44808"/>
    <w:rsid w:val="00A504C2"/>
    <w:rsid w:val="00A5136B"/>
    <w:rsid w:val="00A51A65"/>
    <w:rsid w:val="00A53FC4"/>
    <w:rsid w:val="00A6075D"/>
    <w:rsid w:val="00A63181"/>
    <w:rsid w:val="00A74C7D"/>
    <w:rsid w:val="00A773DA"/>
    <w:rsid w:val="00A77796"/>
    <w:rsid w:val="00A77E3A"/>
    <w:rsid w:val="00A81F35"/>
    <w:rsid w:val="00A8382F"/>
    <w:rsid w:val="00A8579A"/>
    <w:rsid w:val="00A93708"/>
    <w:rsid w:val="00AA2A31"/>
    <w:rsid w:val="00AA4211"/>
    <w:rsid w:val="00AA5F39"/>
    <w:rsid w:val="00AB0F41"/>
    <w:rsid w:val="00AB4BB0"/>
    <w:rsid w:val="00AB5344"/>
    <w:rsid w:val="00AC0BBE"/>
    <w:rsid w:val="00AC2EAE"/>
    <w:rsid w:val="00AE6B0A"/>
    <w:rsid w:val="00AF044A"/>
    <w:rsid w:val="00AF2497"/>
    <w:rsid w:val="00AF6EDC"/>
    <w:rsid w:val="00B002B8"/>
    <w:rsid w:val="00B049AB"/>
    <w:rsid w:val="00B079E9"/>
    <w:rsid w:val="00B16FDE"/>
    <w:rsid w:val="00B1736E"/>
    <w:rsid w:val="00B2427E"/>
    <w:rsid w:val="00B26353"/>
    <w:rsid w:val="00B32F59"/>
    <w:rsid w:val="00B330CE"/>
    <w:rsid w:val="00B34DB9"/>
    <w:rsid w:val="00B3655C"/>
    <w:rsid w:val="00B36918"/>
    <w:rsid w:val="00B37BD5"/>
    <w:rsid w:val="00B4089B"/>
    <w:rsid w:val="00B41501"/>
    <w:rsid w:val="00B4252A"/>
    <w:rsid w:val="00B43FD3"/>
    <w:rsid w:val="00B54753"/>
    <w:rsid w:val="00B56DAC"/>
    <w:rsid w:val="00B66525"/>
    <w:rsid w:val="00B7201D"/>
    <w:rsid w:val="00B72D56"/>
    <w:rsid w:val="00B73385"/>
    <w:rsid w:val="00B7660A"/>
    <w:rsid w:val="00B80D78"/>
    <w:rsid w:val="00B80F1F"/>
    <w:rsid w:val="00B81D14"/>
    <w:rsid w:val="00B86CFA"/>
    <w:rsid w:val="00B87EBA"/>
    <w:rsid w:val="00B92B61"/>
    <w:rsid w:val="00B969D4"/>
    <w:rsid w:val="00BA7BA1"/>
    <w:rsid w:val="00BC087F"/>
    <w:rsid w:val="00BC23E1"/>
    <w:rsid w:val="00BC2882"/>
    <w:rsid w:val="00BC31D3"/>
    <w:rsid w:val="00BC3AF2"/>
    <w:rsid w:val="00BC4513"/>
    <w:rsid w:val="00BC476E"/>
    <w:rsid w:val="00BD1EE5"/>
    <w:rsid w:val="00BD3E25"/>
    <w:rsid w:val="00BE0143"/>
    <w:rsid w:val="00BE088D"/>
    <w:rsid w:val="00BE60C2"/>
    <w:rsid w:val="00BF4005"/>
    <w:rsid w:val="00BF56EB"/>
    <w:rsid w:val="00BF5FDD"/>
    <w:rsid w:val="00C010CC"/>
    <w:rsid w:val="00C04234"/>
    <w:rsid w:val="00C143F0"/>
    <w:rsid w:val="00C15280"/>
    <w:rsid w:val="00C21042"/>
    <w:rsid w:val="00C22F47"/>
    <w:rsid w:val="00C25298"/>
    <w:rsid w:val="00C263DA"/>
    <w:rsid w:val="00C30738"/>
    <w:rsid w:val="00C558A1"/>
    <w:rsid w:val="00C56029"/>
    <w:rsid w:val="00C5695E"/>
    <w:rsid w:val="00C63E4A"/>
    <w:rsid w:val="00C7198C"/>
    <w:rsid w:val="00C7213E"/>
    <w:rsid w:val="00C76F2B"/>
    <w:rsid w:val="00C771C0"/>
    <w:rsid w:val="00C820FE"/>
    <w:rsid w:val="00C8580D"/>
    <w:rsid w:val="00C876BD"/>
    <w:rsid w:val="00C91326"/>
    <w:rsid w:val="00C91B70"/>
    <w:rsid w:val="00C95585"/>
    <w:rsid w:val="00CA0E82"/>
    <w:rsid w:val="00CA705C"/>
    <w:rsid w:val="00CB17C8"/>
    <w:rsid w:val="00CB2F62"/>
    <w:rsid w:val="00CB3130"/>
    <w:rsid w:val="00CB4928"/>
    <w:rsid w:val="00CD06D5"/>
    <w:rsid w:val="00CD5F66"/>
    <w:rsid w:val="00CE2915"/>
    <w:rsid w:val="00CE48BB"/>
    <w:rsid w:val="00CF1CB7"/>
    <w:rsid w:val="00CF7DD5"/>
    <w:rsid w:val="00D013C8"/>
    <w:rsid w:val="00D03E8B"/>
    <w:rsid w:val="00D06BE0"/>
    <w:rsid w:val="00D13DC7"/>
    <w:rsid w:val="00D16B1B"/>
    <w:rsid w:val="00D30499"/>
    <w:rsid w:val="00D340ED"/>
    <w:rsid w:val="00D414AB"/>
    <w:rsid w:val="00D56268"/>
    <w:rsid w:val="00D57F76"/>
    <w:rsid w:val="00D766DC"/>
    <w:rsid w:val="00D853F5"/>
    <w:rsid w:val="00D859DE"/>
    <w:rsid w:val="00D87D5F"/>
    <w:rsid w:val="00D919D9"/>
    <w:rsid w:val="00D9238E"/>
    <w:rsid w:val="00D9776A"/>
    <w:rsid w:val="00DA4501"/>
    <w:rsid w:val="00DA4F2B"/>
    <w:rsid w:val="00DA5FEE"/>
    <w:rsid w:val="00DA6C7F"/>
    <w:rsid w:val="00DB1006"/>
    <w:rsid w:val="00DB57C9"/>
    <w:rsid w:val="00DB79D6"/>
    <w:rsid w:val="00DC59D6"/>
    <w:rsid w:val="00DC60AC"/>
    <w:rsid w:val="00DD364C"/>
    <w:rsid w:val="00DD4EB3"/>
    <w:rsid w:val="00DD7167"/>
    <w:rsid w:val="00DD7E7D"/>
    <w:rsid w:val="00DE139B"/>
    <w:rsid w:val="00DE34F1"/>
    <w:rsid w:val="00DE40FB"/>
    <w:rsid w:val="00DF65D2"/>
    <w:rsid w:val="00E0381A"/>
    <w:rsid w:val="00E2087D"/>
    <w:rsid w:val="00E222B8"/>
    <w:rsid w:val="00E30A09"/>
    <w:rsid w:val="00E33D32"/>
    <w:rsid w:val="00E36209"/>
    <w:rsid w:val="00E4010A"/>
    <w:rsid w:val="00E508F5"/>
    <w:rsid w:val="00E54015"/>
    <w:rsid w:val="00E57AE9"/>
    <w:rsid w:val="00E6086B"/>
    <w:rsid w:val="00E6237C"/>
    <w:rsid w:val="00E70F83"/>
    <w:rsid w:val="00E71E4A"/>
    <w:rsid w:val="00E73393"/>
    <w:rsid w:val="00E74D23"/>
    <w:rsid w:val="00E75CFD"/>
    <w:rsid w:val="00E8370B"/>
    <w:rsid w:val="00E83EC9"/>
    <w:rsid w:val="00E87184"/>
    <w:rsid w:val="00E87533"/>
    <w:rsid w:val="00E944D7"/>
    <w:rsid w:val="00E94998"/>
    <w:rsid w:val="00EA5E30"/>
    <w:rsid w:val="00EC02F1"/>
    <w:rsid w:val="00EE7555"/>
    <w:rsid w:val="00EE78E5"/>
    <w:rsid w:val="00EF05B9"/>
    <w:rsid w:val="00EF59C3"/>
    <w:rsid w:val="00EF749C"/>
    <w:rsid w:val="00F0222D"/>
    <w:rsid w:val="00F036AB"/>
    <w:rsid w:val="00F051D9"/>
    <w:rsid w:val="00F07784"/>
    <w:rsid w:val="00F137E6"/>
    <w:rsid w:val="00F14617"/>
    <w:rsid w:val="00F14661"/>
    <w:rsid w:val="00F22426"/>
    <w:rsid w:val="00F2698F"/>
    <w:rsid w:val="00F4011D"/>
    <w:rsid w:val="00F4237A"/>
    <w:rsid w:val="00F42600"/>
    <w:rsid w:val="00F43FF4"/>
    <w:rsid w:val="00F53EB5"/>
    <w:rsid w:val="00F54A24"/>
    <w:rsid w:val="00F54FEA"/>
    <w:rsid w:val="00F553FB"/>
    <w:rsid w:val="00F611CA"/>
    <w:rsid w:val="00F61215"/>
    <w:rsid w:val="00F61D33"/>
    <w:rsid w:val="00F6247A"/>
    <w:rsid w:val="00F656E7"/>
    <w:rsid w:val="00F66767"/>
    <w:rsid w:val="00F67AE8"/>
    <w:rsid w:val="00F72F22"/>
    <w:rsid w:val="00F733F0"/>
    <w:rsid w:val="00F80C18"/>
    <w:rsid w:val="00F8269A"/>
    <w:rsid w:val="00F87D35"/>
    <w:rsid w:val="00F9529D"/>
    <w:rsid w:val="00FA0050"/>
    <w:rsid w:val="00FA0D01"/>
    <w:rsid w:val="00FC7592"/>
    <w:rsid w:val="00FC770F"/>
    <w:rsid w:val="00FD2679"/>
    <w:rsid w:val="00FD40EB"/>
    <w:rsid w:val="00FD46B2"/>
    <w:rsid w:val="00FD63AC"/>
    <w:rsid w:val="00FE1CDB"/>
    <w:rsid w:val="00FE2B19"/>
    <w:rsid w:val="00FE3BE9"/>
    <w:rsid w:val="00FE6042"/>
    <w:rsid w:val="00FE6C55"/>
    <w:rsid w:val="00FF269E"/>
    <w:rsid w:val="00FF3251"/>
    <w:rsid w:val="00FF3578"/>
    <w:rsid w:val="0C6F4F00"/>
    <w:rsid w:val="14BD6DE9"/>
    <w:rsid w:val="151B0610"/>
    <w:rsid w:val="15A51265"/>
    <w:rsid w:val="1602563E"/>
    <w:rsid w:val="1871150E"/>
    <w:rsid w:val="193B0DD2"/>
    <w:rsid w:val="1A4B0BD2"/>
    <w:rsid w:val="1DBC2256"/>
    <w:rsid w:val="21467DDF"/>
    <w:rsid w:val="272712C8"/>
    <w:rsid w:val="29CF7033"/>
    <w:rsid w:val="390E2AE7"/>
    <w:rsid w:val="3D5C793D"/>
    <w:rsid w:val="3EC639AA"/>
    <w:rsid w:val="532F052B"/>
    <w:rsid w:val="54A90501"/>
    <w:rsid w:val="552402CA"/>
    <w:rsid w:val="58343EAC"/>
    <w:rsid w:val="5B920EBC"/>
    <w:rsid w:val="5D0D24D3"/>
    <w:rsid w:val="5DB45A4D"/>
    <w:rsid w:val="5F5C54EB"/>
    <w:rsid w:val="66AD6F06"/>
    <w:rsid w:val="68CB2404"/>
    <w:rsid w:val="6FE46FB1"/>
    <w:rsid w:val="7A085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3"/>
    <w:qFormat/>
    <w:uiPriority w:val="9"/>
    <w:pPr>
      <w:keepNext/>
      <w:keepLines/>
      <w:spacing w:before="340" w:after="330" w:line="578" w:lineRule="auto"/>
      <w:outlineLvl w:val="0"/>
    </w:pPr>
    <w:rPr>
      <w:rFonts w:eastAsia="黑体"/>
      <w:b/>
      <w:bCs/>
      <w:kern w:val="44"/>
      <w:sz w:val="32"/>
      <w:szCs w:val="44"/>
    </w:rPr>
  </w:style>
  <w:style w:type="paragraph" w:styleId="3">
    <w:name w:val="heading 2"/>
    <w:basedOn w:val="1"/>
    <w:next w:val="1"/>
    <w:link w:val="30"/>
    <w:qFormat/>
    <w:uiPriority w:val="9"/>
    <w:pPr>
      <w:keepNext/>
      <w:keepLines/>
      <w:spacing w:before="260" w:after="260" w:line="416" w:lineRule="auto"/>
      <w:outlineLvl w:val="1"/>
    </w:pPr>
    <w:rPr>
      <w:rFonts w:ascii="Cambria" w:hAnsi="Cambria"/>
      <w:b/>
      <w:bCs/>
      <w:sz w:val="28"/>
      <w:szCs w:val="32"/>
    </w:rPr>
  </w:style>
  <w:style w:type="paragraph" w:styleId="4">
    <w:name w:val="heading 3"/>
    <w:basedOn w:val="1"/>
    <w:next w:val="1"/>
    <w:qFormat/>
    <w:uiPriority w:val="0"/>
    <w:pPr>
      <w:keepNext/>
      <w:keepLines/>
      <w:spacing w:before="260" w:after="260" w:line="416" w:lineRule="auto"/>
      <w:outlineLvl w:val="2"/>
    </w:pPr>
    <w:rPr>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uiPriority w:val="1"/>
  </w:style>
  <w:style w:type="table" w:default="1" w:styleId="2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6">
    <w:name w:val="Document Map"/>
    <w:basedOn w:val="1"/>
    <w:link w:val="178"/>
    <w:semiHidden/>
    <w:unhideWhenUsed/>
    <w:qFormat/>
    <w:uiPriority w:val="99"/>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3"/>
    <w:basedOn w:val="1"/>
    <w:next w:val="1"/>
    <w:unhideWhenUsed/>
    <w:qFormat/>
    <w:uiPriority w:val="39"/>
    <w:pPr>
      <w:ind w:left="840" w:leftChars="400"/>
    </w:pPr>
  </w:style>
  <w:style w:type="paragraph" w:styleId="9">
    <w:name w:val="Date"/>
    <w:basedOn w:val="1"/>
    <w:next w:val="1"/>
    <w:qFormat/>
    <w:uiPriority w:val="0"/>
    <w:pPr>
      <w:ind w:left="100" w:leftChars="2500"/>
    </w:pPr>
    <w:rPr>
      <w:rFonts w:ascii="宋体"/>
      <w:kern w:val="0"/>
      <w:sz w:val="20"/>
      <w:szCs w:val="20"/>
      <w:lang w:val="zh-CN"/>
    </w:rPr>
  </w:style>
  <w:style w:type="paragraph" w:styleId="10">
    <w:name w:val="Body Text Indent 2"/>
    <w:basedOn w:val="1"/>
    <w:qFormat/>
    <w:uiPriority w:val="0"/>
    <w:pPr>
      <w:tabs>
        <w:tab w:val="left" w:pos="2520"/>
      </w:tabs>
      <w:ind w:firstLine="435"/>
    </w:pPr>
    <w:rPr>
      <w:szCs w:val="24"/>
    </w:rPr>
  </w:style>
  <w:style w:type="paragraph" w:styleId="11">
    <w:name w:val="Balloon Text"/>
    <w:basedOn w:val="1"/>
    <w:link w:val="36"/>
    <w:unhideWhenUsed/>
    <w:uiPriority w:val="99"/>
    <w:rPr>
      <w:kern w:val="0"/>
      <w:sz w:val="18"/>
      <w:szCs w:val="18"/>
    </w:rPr>
  </w:style>
  <w:style w:type="paragraph" w:styleId="12">
    <w:name w:val="footer"/>
    <w:basedOn w:val="1"/>
    <w:link w:val="34"/>
    <w:unhideWhenUsed/>
    <w:qFormat/>
    <w:uiPriority w:val="99"/>
    <w:pPr>
      <w:tabs>
        <w:tab w:val="center" w:pos="4153"/>
        <w:tab w:val="right" w:pos="8306"/>
      </w:tabs>
      <w:snapToGrid w:val="0"/>
      <w:jc w:val="left"/>
    </w:pPr>
    <w:rPr>
      <w:kern w:val="0"/>
      <w:sz w:val="18"/>
      <w:szCs w:val="18"/>
    </w:rPr>
  </w:style>
  <w:style w:type="paragraph" w:styleId="13">
    <w:name w:val="header"/>
    <w:basedOn w:val="1"/>
    <w:link w:val="2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qFormat/>
    <w:uiPriority w:val="39"/>
    <w:pPr>
      <w:tabs>
        <w:tab w:val="right" w:leader="dot" w:pos="9170"/>
      </w:tabs>
      <w:spacing w:before="120" w:after="120"/>
      <w:jc w:val="left"/>
    </w:pPr>
    <w:rPr>
      <w:rFonts w:ascii="宋体" w:hAnsi="宋体"/>
      <w:b/>
      <w:bCs/>
      <w:caps/>
      <w:color w:val="000000"/>
      <w:sz w:val="24"/>
      <w:szCs w:val="24"/>
    </w:rPr>
  </w:style>
  <w:style w:type="paragraph" w:styleId="15">
    <w:name w:val="Subtitle"/>
    <w:basedOn w:val="1"/>
    <w:next w:val="1"/>
    <w:link w:val="38"/>
    <w:qFormat/>
    <w:uiPriority w:val="11"/>
    <w:pPr>
      <w:spacing w:before="240" w:after="60" w:line="312" w:lineRule="auto"/>
      <w:jc w:val="center"/>
      <w:outlineLvl w:val="1"/>
    </w:pPr>
    <w:rPr>
      <w:rFonts w:ascii="Cambria" w:hAnsi="Cambria"/>
      <w:b/>
      <w:bCs/>
      <w:kern w:val="28"/>
      <w:sz w:val="32"/>
      <w:szCs w:val="32"/>
    </w:rPr>
  </w:style>
  <w:style w:type="paragraph" w:styleId="16">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17">
    <w:name w:val="toc 2"/>
    <w:basedOn w:val="1"/>
    <w:next w:val="1"/>
    <w:qFormat/>
    <w:uiPriority w:val="39"/>
    <w:pPr>
      <w:tabs>
        <w:tab w:val="right" w:leader="dot" w:pos="9170"/>
      </w:tabs>
      <w:spacing w:line="360" w:lineRule="auto"/>
      <w:ind w:left="210"/>
      <w:jc w:val="left"/>
    </w:pPr>
    <w:rPr>
      <w:rFonts w:ascii="宋体" w:hAnsi="宋体"/>
      <w:b/>
      <w:smallCaps/>
      <w:color w:val="000000"/>
      <w:sz w:val="24"/>
      <w:szCs w:val="24"/>
    </w:rPr>
  </w:style>
  <w:style w:type="paragraph" w:styleId="1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1">
    <w:name w:val="Strong"/>
    <w:qFormat/>
    <w:uiPriority w:val="0"/>
    <w:rPr>
      <w:b/>
      <w:bCs/>
    </w:rPr>
  </w:style>
  <w:style w:type="character" w:styleId="22">
    <w:name w:val="page number"/>
    <w:basedOn w:val="20"/>
    <w:qFormat/>
    <w:uiPriority w:val="0"/>
  </w:style>
  <w:style w:type="character" w:styleId="23">
    <w:name w:val="FollowedHyperlink"/>
    <w:qFormat/>
    <w:uiPriority w:val="99"/>
    <w:rPr>
      <w:color w:val="800080"/>
      <w:u w:val="single"/>
    </w:rPr>
  </w:style>
  <w:style w:type="character" w:styleId="24">
    <w:name w:val="Hyperlink"/>
    <w:qFormat/>
    <w:uiPriority w:val="99"/>
    <w:rPr>
      <w:color w:val="0000FF"/>
      <w:u w:val="single"/>
    </w:rPr>
  </w:style>
  <w:style w:type="table" w:styleId="26">
    <w:name w:val="Table Theme"/>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标题 3 Char"/>
    <w:uiPriority w:val="0"/>
    <w:rPr>
      <w:rFonts w:eastAsia="宋体"/>
      <w:b/>
      <w:bCs/>
      <w:kern w:val="2"/>
      <w:sz w:val="32"/>
      <w:szCs w:val="32"/>
      <w:lang w:val="en-US" w:eastAsia="zh-CN" w:bidi="ar-SA"/>
    </w:rPr>
  </w:style>
  <w:style w:type="character" w:customStyle="1" w:styleId="28">
    <w:name w:val="页眉 Char"/>
    <w:link w:val="13"/>
    <w:qFormat/>
    <w:uiPriority w:val="99"/>
    <w:rPr>
      <w:sz w:val="18"/>
      <w:szCs w:val="18"/>
    </w:rPr>
  </w:style>
  <w:style w:type="character" w:customStyle="1" w:styleId="29">
    <w:name w:val="showtext"/>
    <w:basedOn w:val="20"/>
    <w:qFormat/>
    <w:uiPriority w:val="0"/>
  </w:style>
  <w:style w:type="character" w:customStyle="1" w:styleId="30">
    <w:name w:val="标题 2 Char1"/>
    <w:link w:val="3"/>
    <w:qFormat/>
    <w:uiPriority w:val="9"/>
    <w:rPr>
      <w:rFonts w:ascii="Cambria" w:hAnsi="Cambria"/>
      <w:b/>
      <w:bCs/>
      <w:kern w:val="2"/>
      <w:sz w:val="28"/>
      <w:szCs w:val="32"/>
    </w:rPr>
  </w:style>
  <w:style w:type="character" w:customStyle="1" w:styleId="31">
    <w:name w:val="普通 (Web) Char Char2"/>
    <w:qFormat/>
    <w:locked/>
    <w:uiPriority w:val="0"/>
    <w:rPr>
      <w:rFonts w:ascii="宋体" w:hAnsi="宋体" w:eastAsia="宋体" w:cs="宋体"/>
      <w:sz w:val="24"/>
      <w:szCs w:val="24"/>
      <w:lang w:val="en-US" w:eastAsia="zh-CN" w:bidi="ar-SA"/>
    </w:rPr>
  </w:style>
  <w:style w:type="character" w:customStyle="1" w:styleId="32">
    <w:name w:val="apple-converted-space"/>
    <w:basedOn w:val="20"/>
    <w:qFormat/>
    <w:uiPriority w:val="0"/>
  </w:style>
  <w:style w:type="character" w:customStyle="1" w:styleId="33">
    <w:name w:val="标题 1 Char"/>
    <w:link w:val="2"/>
    <w:qFormat/>
    <w:uiPriority w:val="9"/>
    <w:rPr>
      <w:rFonts w:eastAsia="黑体"/>
      <w:b/>
      <w:bCs/>
      <w:kern w:val="44"/>
      <w:sz w:val="32"/>
      <w:szCs w:val="44"/>
    </w:rPr>
  </w:style>
  <w:style w:type="character" w:customStyle="1" w:styleId="34">
    <w:name w:val="页脚 Char"/>
    <w:link w:val="12"/>
    <w:qFormat/>
    <w:uiPriority w:val="99"/>
    <w:rPr>
      <w:sz w:val="18"/>
      <w:szCs w:val="18"/>
    </w:rPr>
  </w:style>
  <w:style w:type="character" w:customStyle="1" w:styleId="35">
    <w:name w:val="f21"/>
    <w:uiPriority w:val="0"/>
    <w:rPr>
      <w:rFonts w:hint="eastAsia" w:ascii="宋体" w:hAnsi="宋体" w:eastAsia="宋体"/>
      <w:sz w:val="21"/>
      <w:szCs w:val="21"/>
    </w:rPr>
  </w:style>
  <w:style w:type="character" w:customStyle="1" w:styleId="36">
    <w:name w:val="批注框文本 Char"/>
    <w:link w:val="11"/>
    <w:semiHidden/>
    <w:qFormat/>
    <w:uiPriority w:val="99"/>
    <w:rPr>
      <w:sz w:val="18"/>
      <w:szCs w:val="18"/>
    </w:rPr>
  </w:style>
  <w:style w:type="character" w:customStyle="1" w:styleId="37">
    <w:name w:val="style11"/>
    <w:qFormat/>
    <w:uiPriority w:val="0"/>
    <w:rPr>
      <w:color w:val="999999"/>
      <w:sz w:val="18"/>
      <w:szCs w:val="18"/>
    </w:rPr>
  </w:style>
  <w:style w:type="character" w:customStyle="1" w:styleId="38">
    <w:name w:val="副标题 Char"/>
    <w:link w:val="15"/>
    <w:qFormat/>
    <w:uiPriority w:val="11"/>
    <w:rPr>
      <w:rFonts w:ascii="Cambria" w:hAnsi="Cambria" w:cs="Times New Roman"/>
      <w:b/>
      <w:bCs/>
      <w:kern w:val="28"/>
      <w:sz w:val="32"/>
      <w:szCs w:val="32"/>
    </w:rPr>
  </w:style>
  <w:style w:type="character" w:customStyle="1" w:styleId="39">
    <w:name w:val="标题 2 Char"/>
    <w:qFormat/>
    <w:uiPriority w:val="0"/>
    <w:rPr>
      <w:rFonts w:ascii="Arial" w:hAnsi="Arial" w:eastAsia="黑体"/>
      <w:b/>
      <w:bCs/>
      <w:kern w:val="2"/>
      <w:sz w:val="32"/>
      <w:szCs w:val="32"/>
      <w:lang w:val="en-US" w:eastAsia="zh-CN" w:bidi="ar-SA"/>
    </w:rPr>
  </w:style>
  <w:style w:type="character" w:customStyle="1" w:styleId="40">
    <w:name w:val="style171"/>
    <w:uiPriority w:val="0"/>
    <w:rPr>
      <w:sz w:val="21"/>
      <w:szCs w:val="21"/>
    </w:rPr>
  </w:style>
  <w:style w:type="character" w:customStyle="1" w:styleId="41">
    <w:name w:val="普通 (Web) Char Char"/>
    <w:qFormat/>
    <w:locked/>
    <w:uiPriority w:val="0"/>
    <w:rPr>
      <w:rFonts w:ascii="宋体" w:hAnsi="宋体" w:eastAsia="宋体" w:cs="宋体"/>
      <w:sz w:val="24"/>
      <w:szCs w:val="24"/>
      <w:lang w:val="en-US" w:eastAsia="zh-CN" w:bidi="ar-SA"/>
    </w:rPr>
  </w:style>
  <w:style w:type="character" w:customStyle="1" w:styleId="42">
    <w:name w:val="style61"/>
    <w:qFormat/>
    <w:uiPriority w:val="0"/>
    <w:rPr>
      <w:b/>
      <w:bCs/>
      <w:color w:val="3399FF"/>
      <w:sz w:val="24"/>
      <w:szCs w:val="24"/>
    </w:rPr>
  </w:style>
  <w:style w:type="character" w:customStyle="1" w:styleId="43">
    <w:name w:val="f41"/>
    <w:uiPriority w:val="0"/>
    <w:rPr>
      <w:rFonts w:hint="eastAsia" w:ascii="宋体" w:hAnsi="宋体" w:eastAsia="宋体"/>
      <w:sz w:val="18"/>
      <w:szCs w:val="18"/>
    </w:rPr>
  </w:style>
  <w:style w:type="character" w:customStyle="1" w:styleId="44">
    <w:name w:val="标题 3 Char1"/>
    <w:qFormat/>
    <w:uiPriority w:val="0"/>
    <w:rPr>
      <w:rFonts w:eastAsia="宋体"/>
      <w:b/>
      <w:bCs/>
      <w:kern w:val="2"/>
      <w:sz w:val="32"/>
      <w:szCs w:val="32"/>
      <w:lang w:val="en-US" w:eastAsia="zh-CN" w:bidi="ar-SA"/>
    </w:rPr>
  </w:style>
  <w:style w:type="character" w:customStyle="1" w:styleId="45">
    <w:name w:val="style161"/>
    <w:qFormat/>
    <w:uiPriority w:val="0"/>
    <w:rPr>
      <w:sz w:val="24"/>
      <w:szCs w:val="24"/>
    </w:rPr>
  </w:style>
  <w:style w:type="character" w:customStyle="1" w:styleId="46">
    <w:name w:val="f31"/>
    <w:uiPriority w:val="0"/>
    <w:rPr>
      <w:rFonts w:hint="default" w:ascii="ˎ̥" w:hAnsi="ˎ̥"/>
      <w:color w:val="999999"/>
      <w:sz w:val="16"/>
      <w:szCs w:val="16"/>
    </w:rPr>
  </w:style>
  <w:style w:type="paragraph" w:customStyle="1" w:styleId="4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48">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4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50">
    <w:name w:val="xl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5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52">
    <w:name w:val="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53">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54">
    <w:name w:val="f8"/>
    <w:basedOn w:val="1"/>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55">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6">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57">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58">
    <w:name w:val="xl104"/>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5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6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2">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6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6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65">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6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67">
    <w:name w:val="xl109"/>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8">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69">
    <w:name w:val="为440"/>
    <w:basedOn w:val="1"/>
    <w:qFormat/>
    <w:uiPriority w:val="0"/>
    <w:pPr>
      <w:adjustRightInd w:val="0"/>
      <w:spacing w:line="360" w:lineRule="atLeast"/>
      <w:jc w:val="left"/>
      <w:textAlignment w:val="baseline"/>
    </w:pPr>
    <w:rPr>
      <w:kern w:val="0"/>
      <w:sz w:val="24"/>
      <w:szCs w:val="20"/>
    </w:rPr>
  </w:style>
  <w:style w:type="paragraph" w:customStyle="1" w:styleId="70">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7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72">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73">
    <w:name w:val="f2"/>
    <w:basedOn w:val="1"/>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74">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5">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7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77">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7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79">
    <w:name w:val="xl42"/>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80">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81">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82">
    <w:name w:val="f7"/>
    <w:basedOn w:val="1"/>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83">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4">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85">
    <w:name w:val="xl4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8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87">
    <w:name w:val="font9"/>
    <w:basedOn w:val="1"/>
    <w:qFormat/>
    <w:uiPriority w:val="0"/>
    <w:pPr>
      <w:widowControl/>
      <w:spacing w:before="100" w:beforeAutospacing="1" w:after="100" w:afterAutospacing="1"/>
      <w:jc w:val="left"/>
    </w:pPr>
    <w:rPr>
      <w:kern w:val="0"/>
      <w:sz w:val="20"/>
      <w:szCs w:val="20"/>
    </w:rPr>
  </w:style>
  <w:style w:type="paragraph" w:customStyle="1" w:styleId="88">
    <w:name w:val="xl110"/>
    <w:basedOn w:val="1"/>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89">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90">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1">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93">
    <w:name w:val="stedit"/>
    <w:basedOn w:val="1"/>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94">
    <w:name w:val="unnamed1"/>
    <w:basedOn w:val="1"/>
    <w:uiPriority w:val="0"/>
    <w:pPr>
      <w:widowControl/>
      <w:spacing w:line="330" w:lineRule="atLeast"/>
      <w:jc w:val="left"/>
    </w:pPr>
    <w:rPr>
      <w:rFonts w:ascii="宋体" w:hAnsi="宋体" w:cs="宋体"/>
      <w:kern w:val="0"/>
      <w:szCs w:val="21"/>
    </w:rPr>
  </w:style>
  <w:style w:type="paragraph" w:customStyle="1" w:styleId="95">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96">
    <w:name w:val="xl3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97">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9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99">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00">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01">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02">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103">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104">
    <w:name w:val="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105">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106">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7">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08">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109">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0">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11">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
    <w:name w:val="fgj02"/>
    <w:basedOn w:val="1"/>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13">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szCs w:val="24"/>
    </w:rPr>
  </w:style>
  <w:style w:type="paragraph" w:customStyle="1" w:styleId="114">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5">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6">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7">
    <w:name w:val="table302"/>
    <w:basedOn w:val="1"/>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8">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9">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20">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21">
    <w:name w:val="font10"/>
    <w:basedOn w:val="1"/>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122">
    <w:name w:val="font11"/>
    <w:basedOn w:val="1"/>
    <w:uiPriority w:val="0"/>
    <w:pPr>
      <w:widowControl/>
      <w:spacing w:before="100" w:beforeAutospacing="1" w:after="100" w:afterAutospacing="1"/>
      <w:jc w:val="left"/>
    </w:pPr>
    <w:rPr>
      <w:b/>
      <w:bCs/>
      <w:color w:val="FFFFFF"/>
      <w:kern w:val="0"/>
      <w:sz w:val="18"/>
      <w:szCs w:val="18"/>
    </w:rPr>
  </w:style>
  <w:style w:type="paragraph" w:customStyle="1" w:styleId="123">
    <w:name w:val="xl44"/>
    <w:basedOn w:val="1"/>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124">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25">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1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27">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128">
    <w:name w:val="xl4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29">
    <w:name w:val="xl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30">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131">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133">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34">
    <w:name w:val="xl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135">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136">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37">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38">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139">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40">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141">
    <w:name w:val="xl69"/>
    <w:basedOn w:val="1"/>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42">
    <w:name w:val="xl70"/>
    <w:basedOn w:val="1"/>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143">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44">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5">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46">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7">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8">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9">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50">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5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52">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153">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54">
    <w:name w:val="xl82"/>
    <w:basedOn w:val="1"/>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5">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156">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8">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9">
    <w:name w:val="xl8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160">
    <w:name w:val="xl94"/>
    <w:basedOn w:val="1"/>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1">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162">
    <w:name w:val="xl105"/>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63">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4">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6">
    <w:name w:val="xl93"/>
    <w:basedOn w:val="1"/>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7">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68">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9">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0">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71">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2">
    <w:name w:val="xl10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73">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4">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5">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76">
    <w:name w:val="z-窗体底端1"/>
    <w:basedOn w:val="1"/>
    <w:next w:val="1"/>
    <w:uiPriority w:val="0"/>
    <w:pPr>
      <w:widowControl/>
      <w:pBdr>
        <w:top w:val="single" w:color="auto" w:sz="6" w:space="1"/>
      </w:pBdr>
      <w:jc w:val="center"/>
    </w:pPr>
    <w:rPr>
      <w:rFonts w:ascii="Arial" w:hAnsi="Arial" w:cs="Arial"/>
      <w:vanish/>
      <w:kern w:val="0"/>
      <w:sz w:val="16"/>
      <w:szCs w:val="16"/>
    </w:rPr>
  </w:style>
  <w:style w:type="paragraph" w:customStyle="1" w:styleId="177">
    <w:name w:val="Default"/>
    <w:qFormat/>
    <w:uiPriority w:val="0"/>
    <w:pPr>
      <w:widowControl w:val="0"/>
      <w:autoSpaceDE w:val="0"/>
      <w:autoSpaceDN w:val="0"/>
      <w:adjustRightInd w:val="0"/>
    </w:pPr>
    <w:rPr>
      <w:rFonts w:ascii="Microsoft YaHei" w:hAnsi="Microsoft YaHei" w:eastAsia="宋体" w:cs="Microsoft YaHei"/>
      <w:color w:val="000000"/>
      <w:sz w:val="24"/>
      <w:szCs w:val="24"/>
      <w:lang w:val="en-US" w:eastAsia="zh-CN" w:bidi="ar-SA"/>
    </w:rPr>
  </w:style>
  <w:style w:type="character" w:customStyle="1" w:styleId="178">
    <w:name w:val="文档结构图 Char"/>
    <w:basedOn w:val="20"/>
    <w:link w:val="6"/>
    <w:semiHidden/>
    <w:uiPriority w:val="99"/>
    <w:rPr>
      <w:rFonts w:ascii="宋体"/>
      <w:kern w:val="2"/>
      <w:sz w:val="18"/>
      <w:szCs w:val="18"/>
    </w:rPr>
  </w:style>
  <w:style w:type="paragraph" w:styleId="17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istrator\&#26700;&#38754;\&#21407;&#27833;\&#21608;&#25253;&#12289;&#26376;&#25253;\&#26368;&#26032;&#28342;&#21058;&#27833;&#21608;&#25253;&#65306;&#23665;&#19996;&#22320;&#28860;&#30707;&#33041;&#27833;&#20215;&#26684;&#36208;&#21183;&#22270;3.1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山东地炼石脑油价格走势图</a:t>
            </a:r>
            <a:endParaRPr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350511875670714"/>
          <c:y val="0.0288483151015519"/>
        </c:manualLayout>
      </c:layout>
      <c:overlay val="0"/>
    </c:title>
    <c:autoTitleDeleted val="0"/>
    <c:plotArea>
      <c:layout>
        <c:manualLayout>
          <c:layoutTarget val="inner"/>
          <c:xMode val="edge"/>
          <c:yMode val="edge"/>
          <c:x val="0.0792580101180438"/>
          <c:y val="0.142857210012928"/>
          <c:w val="0.858347386172007"/>
          <c:h val="0.591837324455242"/>
        </c:manualLayout>
      </c:layout>
      <c:lineChart>
        <c:grouping val="standard"/>
        <c:varyColors val="0"/>
        <c:ser>
          <c:idx val="8"/>
          <c:order val="0"/>
          <c:tx>
            <c:strRef>
              <c:f>'[最新溶剂油周报：山东地炼石脑油价格走势图3.16.xls]溶剂油周报-石脑油价格走势图表'!$D$178</c:f>
              <c:strCache>
                <c:ptCount val="1"/>
                <c:pt idx="0">
                  <c:v>鑫泰石化</c:v>
                </c:pt>
              </c:strCache>
            </c:strRef>
          </c:tx>
          <c:spPr>
            <a:ln w="38100" cap="rnd" cmpd="sng" algn="ctr">
              <a:solidFill>
                <a:srgbClr val="000000">
                  <a:alpha val="100000"/>
                </a:srgbClr>
              </a:solidFill>
              <a:prstDash val="solid"/>
              <a:round/>
            </a:ln>
          </c:spPr>
          <c:marker>
            <c:symbol val="none"/>
          </c:marker>
          <c:dLbls>
            <c:delete val="1"/>
          </c:dLbls>
          <c:cat>
            <c:numRef>
              <c:f>'[最新溶剂油周报：山东地炼石脑油价格走势图3.16.xls]溶剂油周报-石脑油价格走势图表'!$A$179:$C$309</c:f>
              <c:numCache>
                <c:formatCode>yyyy/m/d</c:formatCode>
                <c:ptCount val="13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numCache>
            </c:numRef>
          </c:cat>
          <c:val>
            <c:numRef>
              <c:f>'[最新溶剂油周报：山东地炼石脑油价格走势图3.16.xls]溶剂油周报-石脑油价格走势图表'!$D$179:$D$309</c:f>
              <c:numCache>
                <c:formatCode>@</c:formatCode>
                <c:ptCount val="131"/>
                <c:pt idx="0">
                  <c:v>5250</c:v>
                </c:pt>
                <c:pt idx="1">
                  <c:v>5250</c:v>
                </c:pt>
                <c:pt idx="2">
                  <c:v>5250</c:v>
                </c:pt>
                <c:pt idx="3">
                  <c:v>5250</c:v>
                </c:pt>
                <c:pt idx="4">
                  <c:v>5250</c:v>
                </c:pt>
                <c:pt idx="5">
                  <c:v>5250</c:v>
                </c:pt>
                <c:pt idx="6">
                  <c:v>5250</c:v>
                </c:pt>
                <c:pt idx="7">
                  <c:v>5250</c:v>
                </c:pt>
                <c:pt idx="8">
                  <c:v>5250</c:v>
                </c:pt>
                <c:pt idx="9">
                  <c:v>5250</c:v>
                </c:pt>
                <c:pt idx="10">
                  <c:v>4980</c:v>
                </c:pt>
                <c:pt idx="11">
                  <c:v>4980</c:v>
                </c:pt>
                <c:pt idx="12">
                  <c:v>4980</c:v>
                </c:pt>
                <c:pt idx="13">
                  <c:v>4800</c:v>
                </c:pt>
                <c:pt idx="14">
                  <c:v>4800</c:v>
                </c:pt>
                <c:pt idx="15">
                  <c:v>4800</c:v>
                </c:pt>
                <c:pt idx="16">
                  <c:v>4800</c:v>
                </c:pt>
                <c:pt idx="17">
                  <c:v>5500</c:v>
                </c:pt>
                <c:pt idx="18">
                  <c:v>5500</c:v>
                </c:pt>
                <c:pt idx="19">
                  <c:v>5500</c:v>
                </c:pt>
                <c:pt idx="20">
                  <c:v>5500</c:v>
                </c:pt>
                <c:pt idx="21">
                  <c:v>5500</c:v>
                </c:pt>
                <c:pt idx="22">
                  <c:v>3700</c:v>
                </c:pt>
                <c:pt idx="23">
                  <c:v>3700</c:v>
                </c:pt>
                <c:pt idx="24">
                  <c:v>3700</c:v>
                </c:pt>
                <c:pt idx="25">
                  <c:v>4200</c:v>
                </c:pt>
                <c:pt idx="26">
                  <c:v>4400</c:v>
                </c:pt>
                <c:pt idx="27">
                  <c:v>4400</c:v>
                </c:pt>
                <c:pt idx="28">
                  <c:v>4000</c:v>
                </c:pt>
                <c:pt idx="29">
                  <c:v>4000</c:v>
                </c:pt>
                <c:pt idx="30">
                  <c:v>4000</c:v>
                </c:pt>
                <c:pt idx="31">
                  <c:v>4000</c:v>
                </c:pt>
                <c:pt idx="32">
                  <c:v>4000</c:v>
                </c:pt>
                <c:pt idx="33">
                  <c:v>4000</c:v>
                </c:pt>
                <c:pt idx="34">
                  <c:v>4000</c:v>
                </c:pt>
                <c:pt idx="35">
                  <c:v>4500</c:v>
                </c:pt>
                <c:pt idx="36">
                  <c:v>4500</c:v>
                </c:pt>
                <c:pt idx="37">
                  <c:v>4500</c:v>
                </c:pt>
                <c:pt idx="38">
                  <c:v>4500</c:v>
                </c:pt>
                <c:pt idx="39">
                  <c:v>4500</c:v>
                </c:pt>
                <c:pt idx="40">
                  <c:v>4100</c:v>
                </c:pt>
                <c:pt idx="41">
                  <c:v>4100</c:v>
                </c:pt>
                <c:pt idx="42">
                  <c:v>4100</c:v>
                </c:pt>
                <c:pt idx="43">
                  <c:v>4100</c:v>
                </c:pt>
                <c:pt idx="44">
                  <c:v>4100</c:v>
                </c:pt>
                <c:pt idx="45">
                  <c:v>4100</c:v>
                </c:pt>
                <c:pt idx="46">
                  <c:v>4100</c:v>
                </c:pt>
                <c:pt idx="47">
                  <c:v>4100</c:v>
                </c:pt>
                <c:pt idx="48">
                  <c:v>4100</c:v>
                </c:pt>
                <c:pt idx="49">
                  <c:v>4100</c:v>
                </c:pt>
                <c:pt idx="50">
                  <c:v>4100</c:v>
                </c:pt>
                <c:pt idx="51">
                  <c:v>4100</c:v>
                </c:pt>
                <c:pt idx="52">
                  <c:v>4100</c:v>
                </c:pt>
                <c:pt idx="53" c:formatCode="General">
                  <c:v>4000</c:v>
                </c:pt>
                <c:pt idx="54" c:formatCode="General">
                  <c:v>4000</c:v>
                </c:pt>
                <c:pt idx="55" c:formatCode="General">
                  <c:v>4100</c:v>
                </c:pt>
                <c:pt idx="56" c:formatCode="General">
                  <c:v>4100</c:v>
                </c:pt>
                <c:pt idx="57" c:formatCode="General">
                  <c:v>4100</c:v>
                </c:pt>
                <c:pt idx="58" c:formatCode="General">
                  <c:v>4100</c:v>
                </c:pt>
                <c:pt idx="59" c:formatCode="General">
                  <c:v>4100</c:v>
                </c:pt>
                <c:pt idx="60" c:formatCode="General">
                  <c:v>4150</c:v>
                </c:pt>
                <c:pt idx="61" c:formatCode="General">
                  <c:v>4150</c:v>
                </c:pt>
                <c:pt idx="62" c:formatCode="General">
                  <c:v>4150</c:v>
                </c:pt>
                <c:pt idx="63" c:formatCode="General">
                  <c:v>4500</c:v>
                </c:pt>
                <c:pt idx="64" c:formatCode="General">
                  <c:v>4500</c:v>
                </c:pt>
                <c:pt idx="65" c:formatCode="General">
                  <c:v>4500</c:v>
                </c:pt>
                <c:pt idx="66" c:formatCode="General">
                  <c:v>4500</c:v>
                </c:pt>
                <c:pt idx="67" c:formatCode="General">
                  <c:v>4500</c:v>
                </c:pt>
                <c:pt idx="68" c:formatCode="General">
                  <c:v>4500</c:v>
                </c:pt>
                <c:pt idx="69" c:formatCode="General">
                  <c:v>4500</c:v>
                </c:pt>
                <c:pt idx="70" c:formatCode="General">
                  <c:v>4500</c:v>
                </c:pt>
                <c:pt idx="71" c:formatCode="General">
                  <c:v>4500</c:v>
                </c:pt>
                <c:pt idx="72" c:formatCode="General">
                  <c:v>4500</c:v>
                </c:pt>
                <c:pt idx="73" c:formatCode="General">
                  <c:v>4500</c:v>
                </c:pt>
                <c:pt idx="74" c:formatCode="General">
                  <c:v>4500</c:v>
                </c:pt>
                <c:pt idx="75" c:formatCode="General">
                  <c:v>4500</c:v>
                </c:pt>
                <c:pt idx="76" c:formatCode="General">
                  <c:v>4500</c:v>
                </c:pt>
                <c:pt idx="77" c:formatCode="General">
                  <c:v>4500</c:v>
                </c:pt>
                <c:pt idx="78" c:formatCode="General">
                  <c:v>4500</c:v>
                </c:pt>
                <c:pt idx="79" c:formatCode="General">
                  <c:v>5000</c:v>
                </c:pt>
                <c:pt idx="80" c:formatCode="General">
                  <c:v>5000</c:v>
                </c:pt>
                <c:pt idx="81" c:formatCode="General">
                  <c:v>5000</c:v>
                </c:pt>
                <c:pt idx="82" c:formatCode="General">
                  <c:v>5000</c:v>
                </c:pt>
                <c:pt idx="83" c:formatCode="General">
                  <c:v>5000</c:v>
                </c:pt>
                <c:pt idx="84" c:formatCode="General">
                  <c:v>5400</c:v>
                </c:pt>
                <c:pt idx="85" c:formatCode="General">
                  <c:v>5400</c:v>
                </c:pt>
                <c:pt idx="86" c:formatCode="General">
                  <c:v>5400</c:v>
                </c:pt>
                <c:pt idx="87" c:formatCode="General">
                  <c:v>5400</c:v>
                </c:pt>
                <c:pt idx="88" c:formatCode="General">
                  <c:v>5400</c:v>
                </c:pt>
                <c:pt idx="89" c:formatCode="General">
                  <c:v>5400</c:v>
                </c:pt>
                <c:pt idx="90" c:formatCode="General">
                  <c:v>5400</c:v>
                </c:pt>
                <c:pt idx="91" c:formatCode="General">
                  <c:v>5400</c:v>
                </c:pt>
                <c:pt idx="92" c:formatCode="General">
                  <c:v>5400</c:v>
                </c:pt>
                <c:pt idx="93" c:formatCode="General">
                  <c:v>5400</c:v>
                </c:pt>
                <c:pt idx="94" c:formatCode="General">
                  <c:v>5400</c:v>
                </c:pt>
                <c:pt idx="95" c:formatCode="General">
                  <c:v>5400</c:v>
                </c:pt>
                <c:pt idx="96" c:formatCode="General">
                  <c:v>4900</c:v>
                </c:pt>
                <c:pt idx="97" c:formatCode="General">
                  <c:v>5000</c:v>
                </c:pt>
                <c:pt idx="98" c:formatCode="General">
                  <c:v>5000</c:v>
                </c:pt>
                <c:pt idx="99" c:formatCode="General">
                  <c:v>5000</c:v>
                </c:pt>
                <c:pt idx="100" c:formatCode="General">
                  <c:v>5000</c:v>
                </c:pt>
                <c:pt idx="103" c:formatCode="General">
                  <c:v>0</c:v>
                </c:pt>
                <c:pt idx="104" c:formatCode="General">
                  <c:v>5000</c:v>
                </c:pt>
                <c:pt idx="105" c:formatCode="General">
                  <c:v>5000</c:v>
                </c:pt>
                <c:pt idx="106" c:formatCode="General">
                  <c:v>5000</c:v>
                </c:pt>
                <c:pt idx="107" c:formatCode="General">
                  <c:v>5000</c:v>
                </c:pt>
                <c:pt idx="108" c:formatCode="General">
                  <c:v>5000</c:v>
                </c:pt>
                <c:pt idx="109" c:formatCode="General">
                  <c:v>5000</c:v>
                </c:pt>
                <c:pt idx="110" c:formatCode="General">
                  <c:v>5000</c:v>
                </c:pt>
                <c:pt idx="111" c:formatCode="General">
                  <c:v>5000</c:v>
                </c:pt>
                <c:pt idx="112" c:formatCode="General">
                  <c:v>5000</c:v>
                </c:pt>
                <c:pt idx="113" c:formatCode="General">
                  <c:v>5000</c:v>
                </c:pt>
                <c:pt idx="114" c:formatCode="General">
                  <c:v>5000</c:v>
                </c:pt>
                <c:pt idx="115" c:formatCode="General">
                  <c:v>6150</c:v>
                </c:pt>
                <c:pt idx="116" c:formatCode="General">
                  <c:v>6100</c:v>
                </c:pt>
                <c:pt idx="117" c:formatCode="General">
                  <c:v>5950</c:v>
                </c:pt>
                <c:pt idx="118" c:formatCode="General">
                  <c:v>6100</c:v>
                </c:pt>
                <c:pt idx="119" c:formatCode="General">
                  <c:v>6150</c:v>
                </c:pt>
                <c:pt idx="120" c:formatCode="General">
                  <c:v>6300</c:v>
                </c:pt>
                <c:pt idx="121" c:formatCode="General">
                  <c:v>6300</c:v>
                </c:pt>
                <c:pt idx="122" c:formatCode="General">
                  <c:v>6300</c:v>
                </c:pt>
                <c:pt idx="123" c:formatCode="General">
                  <c:v>6250</c:v>
                </c:pt>
                <c:pt idx="124" c:formatCode="General">
                  <c:v>6150</c:v>
                </c:pt>
                <c:pt idx="125" c:formatCode="General">
                  <c:v>6300</c:v>
                </c:pt>
                <c:pt idx="126" c:formatCode="General">
                  <c:v>6150</c:v>
                </c:pt>
                <c:pt idx="127" c:formatCode="General">
                  <c:v>6150</c:v>
                </c:pt>
              </c:numCache>
            </c:numRef>
          </c:val>
          <c:smooth val="0"/>
        </c:ser>
        <c:ser>
          <c:idx val="10"/>
          <c:order val="1"/>
          <c:tx>
            <c:strRef>
              <c:f>'[最新溶剂油周报：山东地炼石脑油价格走势图3.16.xls]溶剂油周报-石脑油价格走势图表'!$E$178</c:f>
              <c:strCache>
                <c:ptCount val="1"/>
                <c:pt idx="0">
                  <c:v>利津石化</c:v>
                </c:pt>
              </c:strCache>
            </c:strRef>
          </c:tx>
          <c:spPr>
            <a:ln w="38100" cap="rnd" cmpd="sng" algn="ctr">
              <a:solidFill>
                <a:srgbClr val="00B050"/>
              </a:solidFill>
              <a:prstDash val="solid"/>
              <a:round/>
            </a:ln>
          </c:spPr>
          <c:marker>
            <c:symbol val="none"/>
          </c:marker>
          <c:dLbls>
            <c:delete val="1"/>
          </c:dLbls>
          <c:cat>
            <c:numRef>
              <c:f>'[最新溶剂油周报：山东地炼石脑油价格走势图3.16.xls]溶剂油周报-石脑油价格走势图表'!$A$179:$C$309</c:f>
              <c:numCache>
                <c:formatCode>yyyy/m/d</c:formatCode>
                <c:ptCount val="13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numCache>
            </c:numRef>
          </c:cat>
          <c:val>
            <c:numRef>
              <c:f>'[最新溶剂油周报：山东地炼石脑油价格走势图3.16.xls]溶剂油周报-石脑油价格走势图表'!$E$179:$E$309</c:f>
              <c:numCache>
                <c:formatCode>@</c:formatCode>
                <c:ptCount val="131"/>
                <c:pt idx="0">
                  <c:v>4250</c:v>
                </c:pt>
                <c:pt idx="1">
                  <c:v>4050</c:v>
                </c:pt>
                <c:pt idx="2">
                  <c:v>4300</c:v>
                </c:pt>
                <c:pt idx="3">
                  <c:v>4500</c:v>
                </c:pt>
                <c:pt idx="4">
                  <c:v>4580</c:v>
                </c:pt>
                <c:pt idx="5">
                  <c:v>4580</c:v>
                </c:pt>
                <c:pt idx="6">
                  <c:v>4580</c:v>
                </c:pt>
                <c:pt idx="11">
                  <c:v>4150</c:v>
                </c:pt>
                <c:pt idx="12">
                  <c:v>4100</c:v>
                </c:pt>
                <c:pt idx="13">
                  <c:v>4030</c:v>
                </c:pt>
                <c:pt idx="14">
                  <c:v>3850</c:v>
                </c:pt>
                <c:pt idx="15">
                  <c:v>3550</c:v>
                </c:pt>
                <c:pt idx="16">
                  <c:v>3950</c:v>
                </c:pt>
                <c:pt idx="17">
                  <c:v>3850</c:v>
                </c:pt>
                <c:pt idx="18">
                  <c:v>3650</c:v>
                </c:pt>
                <c:pt idx="19">
                  <c:v>2800</c:v>
                </c:pt>
                <c:pt idx="20">
                  <c:v>2300</c:v>
                </c:pt>
                <c:pt idx="21">
                  <c:v>2800</c:v>
                </c:pt>
                <c:pt idx="22">
                  <c:v>2650</c:v>
                </c:pt>
                <c:pt idx="23">
                  <c:v>2650</c:v>
                </c:pt>
                <c:pt idx="24">
                  <c:v>2900</c:v>
                </c:pt>
                <c:pt idx="25">
                  <c:v>3300</c:v>
                </c:pt>
                <c:pt idx="26">
                  <c:v>3200</c:v>
                </c:pt>
                <c:pt idx="27">
                  <c:v>3400</c:v>
                </c:pt>
                <c:pt idx="28">
                  <c:v>3350</c:v>
                </c:pt>
                <c:pt idx="29">
                  <c:v>3000</c:v>
                </c:pt>
                <c:pt idx="30">
                  <c:v>3250</c:v>
                </c:pt>
                <c:pt idx="31">
                  <c:v>3250</c:v>
                </c:pt>
                <c:pt idx="32">
                  <c:v>3380</c:v>
                </c:pt>
                <c:pt idx="33">
                  <c:v>3430</c:v>
                </c:pt>
                <c:pt idx="34">
                  <c:v>3430</c:v>
                </c:pt>
                <c:pt idx="35">
                  <c:v>3480</c:v>
                </c:pt>
                <c:pt idx="36">
                  <c:v>3480</c:v>
                </c:pt>
                <c:pt idx="37">
                  <c:v>3380</c:v>
                </c:pt>
                <c:pt idx="38">
                  <c:v>3300</c:v>
                </c:pt>
                <c:pt idx="39">
                  <c:v>3050</c:v>
                </c:pt>
                <c:pt idx="40">
                  <c:v>3050</c:v>
                </c:pt>
                <c:pt idx="41">
                  <c:v>3050</c:v>
                </c:pt>
                <c:pt idx="42">
                  <c:v>3050</c:v>
                </c:pt>
                <c:pt idx="43">
                  <c:v>3050</c:v>
                </c:pt>
                <c:pt idx="44">
                  <c:v>3050</c:v>
                </c:pt>
                <c:pt idx="45">
                  <c:v>3050</c:v>
                </c:pt>
                <c:pt idx="46">
                  <c:v>3050</c:v>
                </c:pt>
                <c:pt idx="47">
                  <c:v>3050</c:v>
                </c:pt>
                <c:pt idx="48">
                  <c:v>3050</c:v>
                </c:pt>
                <c:pt idx="49">
                  <c:v>3050</c:v>
                </c:pt>
                <c:pt idx="50">
                  <c:v>3050</c:v>
                </c:pt>
                <c:pt idx="51" c:formatCode="General">
                  <c:v>3450</c:v>
                </c:pt>
                <c:pt idx="52" c:formatCode="General">
                  <c:v>3450</c:v>
                </c:pt>
                <c:pt idx="53" c:formatCode="General">
                  <c:v>3450</c:v>
                </c:pt>
                <c:pt idx="54" c:formatCode="General">
                  <c:v>3450</c:v>
                </c:pt>
                <c:pt idx="55" c:formatCode="General">
                  <c:v>3800</c:v>
                </c:pt>
                <c:pt idx="56" c:formatCode="General">
                  <c:v>4000</c:v>
                </c:pt>
                <c:pt idx="57" c:formatCode="General">
                  <c:v>3900</c:v>
                </c:pt>
                <c:pt idx="58" c:formatCode="General">
                  <c:v>3650</c:v>
                </c:pt>
                <c:pt idx="59" c:formatCode="General">
                  <c:v>3900</c:v>
                </c:pt>
                <c:pt idx="60" c:formatCode="General">
                  <c:v>4000</c:v>
                </c:pt>
                <c:pt idx="61" c:formatCode="General">
                  <c:v>4050</c:v>
                </c:pt>
                <c:pt idx="62" c:formatCode="General">
                  <c:v>4000</c:v>
                </c:pt>
                <c:pt idx="63" c:formatCode="General">
                  <c:v>4150</c:v>
                </c:pt>
                <c:pt idx="64" c:formatCode="General">
                  <c:v>4450</c:v>
                </c:pt>
                <c:pt idx="65" c:formatCode="General">
                  <c:v>4350</c:v>
                </c:pt>
                <c:pt idx="66" c:formatCode="General">
                  <c:v>4000</c:v>
                </c:pt>
                <c:pt idx="67" c:formatCode="General">
                  <c:v>4150</c:v>
                </c:pt>
                <c:pt idx="68" c:formatCode="General">
                  <c:v>4200</c:v>
                </c:pt>
                <c:pt idx="69" c:formatCode="General">
                  <c:v>4250</c:v>
                </c:pt>
                <c:pt idx="70" c:formatCode="General">
                  <c:v>4250</c:v>
                </c:pt>
                <c:pt idx="71" c:formatCode="General">
                  <c:v>4200</c:v>
                </c:pt>
                <c:pt idx="72" c:formatCode="General">
                  <c:v>4500</c:v>
                </c:pt>
                <c:pt idx="73" c:formatCode="General">
                  <c:v>4450</c:v>
                </c:pt>
                <c:pt idx="74" c:formatCode="General">
                  <c:v>4250</c:v>
                </c:pt>
                <c:pt idx="75" c:formatCode="General">
                  <c:v>4100</c:v>
                </c:pt>
                <c:pt idx="76" c:formatCode="General">
                  <c:v>4250</c:v>
                </c:pt>
                <c:pt idx="77" c:formatCode="General">
                  <c:v>4150</c:v>
                </c:pt>
                <c:pt idx="78" c:formatCode="General">
                  <c:v>4100</c:v>
                </c:pt>
                <c:pt idx="79" c:formatCode="General">
                  <c:v>4400</c:v>
                </c:pt>
                <c:pt idx="80" c:formatCode="General">
                  <c:v>4200</c:v>
                </c:pt>
                <c:pt idx="81" c:formatCode="General">
                  <c:v>4230</c:v>
                </c:pt>
                <c:pt idx="82" c:formatCode="General">
                  <c:v>4230</c:v>
                </c:pt>
                <c:pt idx="83" c:formatCode="General">
                  <c:v>4230</c:v>
                </c:pt>
                <c:pt idx="84" c:formatCode="General">
                  <c:v>4230</c:v>
                </c:pt>
                <c:pt idx="85" c:formatCode="General">
                  <c:v>4230</c:v>
                </c:pt>
                <c:pt idx="86" c:formatCode="General">
                  <c:v>4230</c:v>
                </c:pt>
                <c:pt idx="87" c:formatCode="General">
                  <c:v>4230</c:v>
                </c:pt>
                <c:pt idx="88" c:formatCode="General">
                  <c:v>0</c:v>
                </c:pt>
                <c:pt idx="89" c:formatCode="General">
                  <c:v>0</c:v>
                </c:pt>
                <c:pt idx="90" c:formatCode="General">
                  <c:v>0</c:v>
                </c:pt>
                <c:pt idx="91" c:formatCode="General">
                  <c:v>0</c:v>
                </c:pt>
                <c:pt idx="92" c:formatCode="General">
                  <c:v>0</c:v>
                </c:pt>
                <c:pt idx="93" c:formatCode="General">
                  <c:v>0</c:v>
                </c:pt>
                <c:pt idx="94" c:formatCode="General">
                  <c:v>0</c:v>
                </c:pt>
                <c:pt idx="95" c:formatCode="General">
                  <c:v>0</c:v>
                </c:pt>
                <c:pt idx="96" c:formatCode="General">
                  <c:v>0</c:v>
                </c:pt>
                <c:pt idx="97" c:formatCode="General">
                  <c:v>0</c:v>
                </c:pt>
                <c:pt idx="98" c:formatCode="General">
                  <c:v>0</c:v>
                </c:pt>
                <c:pt idx="99" c:formatCode="General">
                  <c:v>0</c:v>
                </c:pt>
                <c:pt idx="100" c:formatCode="General">
                  <c:v>0</c:v>
                </c:pt>
                <c:pt idx="103" c:formatCode="General">
                  <c:v>0</c:v>
                </c:pt>
                <c:pt idx="104" c:formatCode="General">
                  <c:v>0</c:v>
                </c:pt>
                <c:pt idx="105" c:formatCode="General">
                  <c:v>0</c:v>
                </c:pt>
                <c:pt idx="106" c:formatCode="General">
                  <c:v>0</c:v>
                </c:pt>
                <c:pt idx="107" c:formatCode="General">
                  <c:v>0</c:v>
                </c:pt>
                <c:pt idx="108" c:formatCode="General">
                  <c:v>0</c:v>
                </c:pt>
                <c:pt idx="109" c:formatCode="General">
                  <c:v>0</c:v>
                </c:pt>
                <c:pt idx="110" c:formatCode="General">
                  <c:v>0</c:v>
                </c:pt>
                <c:pt idx="111" c:formatCode="General">
                  <c:v>0</c:v>
                </c:pt>
                <c:pt idx="112" c:formatCode="General">
                  <c:v>0</c:v>
                </c:pt>
                <c:pt idx="113" c:formatCode="General">
                  <c:v>0</c:v>
                </c:pt>
                <c:pt idx="114" c:formatCode="General">
                  <c:v>0</c:v>
                </c:pt>
                <c:pt idx="115" c:formatCode="General">
                  <c:v>0</c:v>
                </c:pt>
                <c:pt idx="116" c:formatCode="General">
                  <c:v>0</c:v>
                </c:pt>
                <c:pt idx="117" c:formatCode="General">
                  <c:v>0</c:v>
                </c:pt>
                <c:pt idx="118" c:formatCode="General">
                  <c:v>0</c:v>
                </c:pt>
                <c:pt idx="119" c:formatCode="General">
                  <c:v>0</c:v>
                </c:pt>
                <c:pt idx="120" c:formatCode="General">
                  <c:v>0</c:v>
                </c:pt>
                <c:pt idx="121" c:formatCode="General">
                  <c:v>0</c:v>
                </c:pt>
                <c:pt idx="122" c:formatCode="General">
                  <c:v>0</c:v>
                </c:pt>
                <c:pt idx="123" c:formatCode="General">
                  <c:v>0</c:v>
                </c:pt>
                <c:pt idx="124" c:formatCode="General">
                  <c:v>0</c:v>
                </c:pt>
                <c:pt idx="125" c:formatCode="General">
                  <c:v>0</c:v>
                </c:pt>
                <c:pt idx="126" c:formatCode="General">
                  <c:v>0</c:v>
                </c:pt>
                <c:pt idx="127" c:formatCode="General">
                  <c:v>0</c:v>
                </c:pt>
              </c:numCache>
            </c:numRef>
          </c:val>
          <c:smooth val="0"/>
        </c:ser>
        <c:ser>
          <c:idx val="1"/>
          <c:order val="2"/>
          <c:tx>
            <c:strRef>
              <c:f>'[最新溶剂油周报：山东地炼石脑油价格走势图3.16.xls]溶剂油周报-石脑油价格走势图表'!$F$178</c:f>
              <c:strCache>
                <c:ptCount val="1"/>
                <c:pt idx="0">
                  <c:v>安邦石化</c:v>
                </c:pt>
              </c:strCache>
            </c:strRef>
          </c:tx>
          <c:spPr>
            <a:ln w="38100" cap="rnd" cmpd="sng" algn="ctr">
              <a:solidFill>
                <a:srgbClr val="FF00FF">
                  <a:alpha val="100000"/>
                </a:srgbClr>
              </a:solidFill>
              <a:prstDash val="solid"/>
              <a:round/>
            </a:ln>
          </c:spPr>
          <c:marker>
            <c:symbol val="none"/>
          </c:marker>
          <c:dLbls>
            <c:delete val="1"/>
          </c:dLbls>
          <c:cat>
            <c:numRef>
              <c:f>'[最新溶剂油周报：山东地炼石脑油价格走势图3.16.xls]溶剂油周报-石脑油价格走势图表'!$A$179:$C$309</c:f>
              <c:numCache>
                <c:formatCode>yyyy/m/d</c:formatCode>
                <c:ptCount val="13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numCache>
            </c:numRef>
          </c:cat>
          <c:val>
            <c:numRef>
              <c:f>'[最新溶剂油周报：山东地炼石脑油价格走势图3.16.xls]溶剂油周报-石脑油价格走势图表'!$F$179:$F$309</c:f>
              <c:numCache>
                <c:formatCode>@</c:formatCode>
                <c:ptCount val="131"/>
                <c:pt idx="0">
                  <c:v>4570</c:v>
                </c:pt>
                <c:pt idx="1">
                  <c:v>4570</c:v>
                </c:pt>
                <c:pt idx="2">
                  <c:v>4650</c:v>
                </c:pt>
                <c:pt idx="3">
                  <c:v>4700</c:v>
                </c:pt>
                <c:pt idx="4">
                  <c:v>4700</c:v>
                </c:pt>
                <c:pt idx="5">
                  <c:v>4700</c:v>
                </c:pt>
                <c:pt idx="6">
                  <c:v>4700</c:v>
                </c:pt>
                <c:pt idx="7">
                  <c:v>4530</c:v>
                </c:pt>
                <c:pt idx="8">
                  <c:v>4530</c:v>
                </c:pt>
                <c:pt idx="9">
                  <c:v>4530</c:v>
                </c:pt>
                <c:pt idx="10">
                  <c:v>4530</c:v>
                </c:pt>
                <c:pt idx="11">
                  <c:v>4530</c:v>
                </c:pt>
                <c:pt idx="12">
                  <c:v>4200</c:v>
                </c:pt>
                <c:pt idx="13">
                  <c:v>4200</c:v>
                </c:pt>
                <c:pt idx="14">
                  <c:v>4000</c:v>
                </c:pt>
                <c:pt idx="15">
                  <c:v>3900</c:v>
                </c:pt>
                <c:pt idx="16">
                  <c:v>3900</c:v>
                </c:pt>
                <c:pt idx="17">
                  <c:v>3800</c:v>
                </c:pt>
                <c:pt idx="18">
                  <c:v>3800</c:v>
                </c:pt>
                <c:pt idx="19">
                  <c:v>3500</c:v>
                </c:pt>
                <c:pt idx="20">
                  <c:v>3500</c:v>
                </c:pt>
                <c:pt idx="21">
                  <c:v>3500</c:v>
                </c:pt>
                <c:pt idx="22">
                  <c:v>3500</c:v>
                </c:pt>
                <c:pt idx="23">
                  <c:v>2800</c:v>
                </c:pt>
                <c:pt idx="24">
                  <c:v>3100</c:v>
                </c:pt>
                <c:pt idx="25">
                  <c:v>3600</c:v>
                </c:pt>
                <c:pt idx="26">
                  <c:v>3600</c:v>
                </c:pt>
                <c:pt idx="27">
                  <c:v>3500</c:v>
                </c:pt>
                <c:pt idx="28">
                  <c:v>3500</c:v>
                </c:pt>
                <c:pt idx="29">
                  <c:v>3250</c:v>
                </c:pt>
                <c:pt idx="30">
                  <c:v>3250</c:v>
                </c:pt>
                <c:pt idx="31">
                  <c:v>3200</c:v>
                </c:pt>
                <c:pt idx="32">
                  <c:v>3200</c:v>
                </c:pt>
                <c:pt idx="33">
                  <c:v>3350</c:v>
                </c:pt>
                <c:pt idx="34">
                  <c:v>3530</c:v>
                </c:pt>
                <c:pt idx="35">
                  <c:v>3530</c:v>
                </c:pt>
                <c:pt idx="36">
                  <c:v>3530</c:v>
                </c:pt>
                <c:pt idx="37">
                  <c:v>3400</c:v>
                </c:pt>
                <c:pt idx="38">
                  <c:v>3300</c:v>
                </c:pt>
                <c:pt idx="39">
                  <c:v>3300</c:v>
                </c:pt>
                <c:pt idx="40">
                  <c:v>3400</c:v>
                </c:pt>
                <c:pt idx="41">
                  <c:v>3300</c:v>
                </c:pt>
                <c:pt idx="42">
                  <c:v>3300</c:v>
                </c:pt>
                <c:pt idx="43">
                  <c:v>3300</c:v>
                </c:pt>
                <c:pt idx="44">
                  <c:v>3300</c:v>
                </c:pt>
                <c:pt idx="45">
                  <c:v>3300</c:v>
                </c:pt>
                <c:pt idx="46">
                  <c:v>3300</c:v>
                </c:pt>
                <c:pt idx="47" c:formatCode="General">
                  <c:v>3200</c:v>
                </c:pt>
                <c:pt idx="48" c:formatCode="General">
                  <c:v>3550</c:v>
                </c:pt>
                <c:pt idx="49" c:formatCode="General">
                  <c:v>3600</c:v>
                </c:pt>
                <c:pt idx="50" c:formatCode="General">
                  <c:v>3600</c:v>
                </c:pt>
                <c:pt idx="51" c:formatCode="General">
                  <c:v>3350</c:v>
                </c:pt>
                <c:pt idx="52" c:formatCode="General">
                  <c:v>3550</c:v>
                </c:pt>
                <c:pt idx="53" c:formatCode="General">
                  <c:v>3500</c:v>
                </c:pt>
                <c:pt idx="54" c:formatCode="General">
                  <c:v>3500</c:v>
                </c:pt>
                <c:pt idx="55" c:formatCode="General">
                  <c:v>3800</c:v>
                </c:pt>
                <c:pt idx="56" c:formatCode="General">
                  <c:v>4000</c:v>
                </c:pt>
                <c:pt idx="57" c:formatCode="General">
                  <c:v>4000</c:v>
                </c:pt>
                <c:pt idx="58" c:formatCode="General">
                  <c:v>3900</c:v>
                </c:pt>
                <c:pt idx="59" c:formatCode="General">
                  <c:v>3800</c:v>
                </c:pt>
                <c:pt idx="60" c:formatCode="General">
                  <c:v>3950</c:v>
                </c:pt>
                <c:pt idx="61" c:formatCode="General">
                  <c:v>4000</c:v>
                </c:pt>
                <c:pt idx="62" c:formatCode="General">
                  <c:v>4000</c:v>
                </c:pt>
                <c:pt idx="63" c:formatCode="General">
                  <c:v>4150</c:v>
                </c:pt>
                <c:pt idx="64" c:formatCode="General">
                  <c:v>4500</c:v>
                </c:pt>
                <c:pt idx="65" c:formatCode="General">
                  <c:v>4500</c:v>
                </c:pt>
                <c:pt idx="66" c:formatCode="General">
                  <c:v>4300</c:v>
                </c:pt>
                <c:pt idx="67" c:formatCode="General">
                  <c:v>4300</c:v>
                </c:pt>
                <c:pt idx="68" c:formatCode="General">
                  <c:v>4400</c:v>
                </c:pt>
                <c:pt idx="69" c:formatCode="General">
                  <c:v>4400</c:v>
                </c:pt>
                <c:pt idx="70" c:formatCode="General">
                  <c:v>4400</c:v>
                </c:pt>
                <c:pt idx="71" c:formatCode="General">
                  <c:v>4400</c:v>
                </c:pt>
                <c:pt idx="72" c:formatCode="General">
                  <c:v>4750</c:v>
                </c:pt>
                <c:pt idx="73" c:formatCode="General">
                  <c:v>4800</c:v>
                </c:pt>
                <c:pt idx="74" c:formatCode="General">
                  <c:v>4720</c:v>
                </c:pt>
                <c:pt idx="75" c:formatCode="General">
                  <c:v>4500</c:v>
                </c:pt>
                <c:pt idx="76" c:formatCode="General">
                  <c:v>4600</c:v>
                </c:pt>
                <c:pt idx="77" c:formatCode="General">
                  <c:v>4600</c:v>
                </c:pt>
                <c:pt idx="78" c:formatCode="General">
                  <c:v>4600</c:v>
                </c:pt>
                <c:pt idx="79" c:formatCode="General">
                  <c:v>4650</c:v>
                </c:pt>
                <c:pt idx="80" c:formatCode="General">
                  <c:v>4650</c:v>
                </c:pt>
                <c:pt idx="81" c:formatCode="General">
                  <c:v>4500</c:v>
                </c:pt>
                <c:pt idx="82" c:formatCode="General">
                  <c:v>4500</c:v>
                </c:pt>
                <c:pt idx="83" c:formatCode="General">
                  <c:v>4500</c:v>
                </c:pt>
                <c:pt idx="84" c:formatCode="General">
                  <c:v>4700</c:v>
                </c:pt>
                <c:pt idx="85" c:formatCode="General">
                  <c:v>4750</c:v>
                </c:pt>
                <c:pt idx="86" c:formatCode="General">
                  <c:v>4750</c:v>
                </c:pt>
                <c:pt idx="87" c:formatCode="General">
                  <c:v>4750</c:v>
                </c:pt>
                <c:pt idx="88" c:formatCode="General">
                  <c:v>4850</c:v>
                </c:pt>
                <c:pt idx="89" c:formatCode="General">
                  <c:v>4750</c:v>
                </c:pt>
                <c:pt idx="90" c:formatCode="General">
                  <c:v>4550</c:v>
                </c:pt>
                <c:pt idx="91" c:formatCode="General">
                  <c:v>4600</c:v>
                </c:pt>
                <c:pt idx="92" c:formatCode="General">
                  <c:v>4500</c:v>
                </c:pt>
                <c:pt idx="93" c:formatCode="General">
                  <c:v>4500</c:v>
                </c:pt>
                <c:pt idx="94" c:formatCode="General">
                  <c:v>4600</c:v>
                </c:pt>
                <c:pt idx="95" c:formatCode="General">
                  <c:v>4600</c:v>
                </c:pt>
                <c:pt idx="96" c:formatCode="General">
                  <c:v>4550</c:v>
                </c:pt>
                <c:pt idx="97" c:formatCode="General">
                  <c:v>4660</c:v>
                </c:pt>
                <c:pt idx="98" c:formatCode="General">
                  <c:v>4730</c:v>
                </c:pt>
                <c:pt idx="99" c:formatCode="General">
                  <c:v>4780</c:v>
                </c:pt>
                <c:pt idx="100" c:formatCode="General">
                  <c:v>4840</c:v>
                </c:pt>
                <c:pt idx="103" c:formatCode="General">
                  <c:v>0</c:v>
                </c:pt>
                <c:pt idx="104" c:formatCode="General">
                  <c:v>4900</c:v>
                </c:pt>
                <c:pt idx="105" c:formatCode="General">
                  <c:v>4980</c:v>
                </c:pt>
                <c:pt idx="106" c:formatCode="General">
                  <c:v>5050</c:v>
                </c:pt>
                <c:pt idx="107" c:formatCode="General">
                  <c:v>5160</c:v>
                </c:pt>
                <c:pt idx="108" c:formatCode="General">
                  <c:v>5240</c:v>
                </c:pt>
                <c:pt idx="109" c:formatCode="General">
                  <c:v>5300</c:v>
                </c:pt>
                <c:pt idx="110" c:formatCode="General">
                  <c:v>5530</c:v>
                </c:pt>
                <c:pt idx="111" c:formatCode="General">
                  <c:v>6200</c:v>
                </c:pt>
                <c:pt idx="112" c:formatCode="General">
                  <c:v>6050</c:v>
                </c:pt>
                <c:pt idx="113" c:formatCode="General">
                  <c:v>6150</c:v>
                </c:pt>
                <c:pt idx="114" c:formatCode="General">
                  <c:v>6180</c:v>
                </c:pt>
                <c:pt idx="115" c:formatCode="General">
                  <c:v>6180</c:v>
                </c:pt>
                <c:pt idx="116" c:formatCode="General">
                  <c:v>5900</c:v>
                </c:pt>
                <c:pt idx="117" c:formatCode="General">
                  <c:v>5830</c:v>
                </c:pt>
                <c:pt idx="118" c:formatCode="General">
                  <c:v>6000</c:v>
                </c:pt>
                <c:pt idx="119" c:formatCode="General">
                  <c:v>5960</c:v>
                </c:pt>
                <c:pt idx="120" c:formatCode="General">
                  <c:v>6400</c:v>
                </c:pt>
                <c:pt idx="121" c:formatCode="General">
                  <c:v>6250</c:v>
                </c:pt>
                <c:pt idx="122" c:formatCode="General">
                  <c:v>6200</c:v>
                </c:pt>
                <c:pt idx="123" c:formatCode="General">
                  <c:v>5990</c:v>
                </c:pt>
                <c:pt idx="124" c:formatCode="General">
                  <c:v>5840</c:v>
                </c:pt>
                <c:pt idx="125" c:formatCode="General">
                  <c:v>5950</c:v>
                </c:pt>
                <c:pt idx="126" c:formatCode="General">
                  <c:v>5950</c:v>
                </c:pt>
                <c:pt idx="127" c:formatCode="General">
                  <c:v>5900</c:v>
                </c:pt>
              </c:numCache>
            </c:numRef>
          </c:val>
          <c:smooth val="0"/>
        </c:ser>
        <c:ser>
          <c:idx val="5"/>
          <c:order val="3"/>
          <c:tx>
            <c:strRef>
              <c:f>'[最新溶剂油周报：山东地炼石脑油价格走势图3.16.xls]溶剂油周报-石脑油价格走势图表'!$G$178</c:f>
              <c:strCache>
                <c:ptCount val="1"/>
                <c:pt idx="0">
                  <c:v>富海石化</c:v>
                </c:pt>
              </c:strCache>
            </c:strRef>
          </c:tx>
          <c:spPr>
            <a:ln w="38100" cap="rnd" cmpd="sng" algn="ctr">
              <a:solidFill>
                <a:srgbClr val="800000">
                  <a:alpha val="100000"/>
                </a:srgbClr>
              </a:solidFill>
              <a:prstDash val="solid"/>
              <a:round/>
            </a:ln>
          </c:spPr>
          <c:marker>
            <c:symbol val="none"/>
          </c:marker>
          <c:dLbls>
            <c:delete val="1"/>
          </c:dLbls>
          <c:cat>
            <c:numRef>
              <c:f>'[最新溶剂油周报：山东地炼石脑油价格走势图3.16.xls]溶剂油周报-石脑油价格走势图表'!$A$179:$C$309</c:f>
              <c:numCache>
                <c:formatCode>yyyy/m/d</c:formatCode>
                <c:ptCount val="13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numCache>
            </c:numRef>
          </c:cat>
          <c:val>
            <c:numRef>
              <c:f>'[最新溶剂油周报：山东地炼石脑油价格走势图3.16.xls]溶剂油周报-石脑油价格走势图表'!$G$179:$G$309</c:f>
              <c:numCache>
                <c:formatCode>@</c:formatCode>
                <c:ptCount val="131"/>
                <c:pt idx="0">
                  <c:v>4600</c:v>
                </c:pt>
                <c:pt idx="1">
                  <c:v>4600</c:v>
                </c:pt>
                <c:pt idx="2">
                  <c:v>4600</c:v>
                </c:pt>
                <c:pt idx="3">
                  <c:v>4600</c:v>
                </c:pt>
                <c:pt idx="4">
                  <c:v>4600</c:v>
                </c:pt>
                <c:pt idx="5">
                  <c:v>4600</c:v>
                </c:pt>
                <c:pt idx="6">
                  <c:v>4550</c:v>
                </c:pt>
                <c:pt idx="7">
                  <c:v>4550</c:v>
                </c:pt>
                <c:pt idx="8">
                  <c:v>4550</c:v>
                </c:pt>
                <c:pt idx="9">
                  <c:v>4650</c:v>
                </c:pt>
                <c:pt idx="10">
                  <c:v>4600</c:v>
                </c:pt>
                <c:pt idx="11">
                  <c:v>4370</c:v>
                </c:pt>
                <c:pt idx="12">
                  <c:v>4370</c:v>
                </c:pt>
                <c:pt idx="13">
                  <c:v>4220</c:v>
                </c:pt>
                <c:pt idx="14">
                  <c:v>3900</c:v>
                </c:pt>
                <c:pt idx="15">
                  <c:v>3800</c:v>
                </c:pt>
                <c:pt idx="16">
                  <c:v>3900</c:v>
                </c:pt>
                <c:pt idx="17">
                  <c:v>3930</c:v>
                </c:pt>
                <c:pt idx="18">
                  <c:v>3800</c:v>
                </c:pt>
                <c:pt idx="19">
                  <c:v>3300</c:v>
                </c:pt>
                <c:pt idx="20">
                  <c:v>3250</c:v>
                </c:pt>
                <c:pt idx="21">
                  <c:v>3200</c:v>
                </c:pt>
                <c:pt idx="22">
                  <c:v>3068</c:v>
                </c:pt>
                <c:pt idx="23">
                  <c:v>3068</c:v>
                </c:pt>
                <c:pt idx="24">
                  <c:v>3068</c:v>
                </c:pt>
                <c:pt idx="25">
                  <c:v>3870</c:v>
                </c:pt>
                <c:pt idx="26">
                  <c:v>3700</c:v>
                </c:pt>
                <c:pt idx="27">
                  <c:v>3700</c:v>
                </c:pt>
                <c:pt idx="28">
                  <c:v>3700</c:v>
                </c:pt>
                <c:pt idx="29">
                  <c:v>3700</c:v>
                </c:pt>
                <c:pt idx="30">
                  <c:v>3500</c:v>
                </c:pt>
                <c:pt idx="31">
                  <c:v>3550</c:v>
                </c:pt>
                <c:pt idx="32">
                  <c:v>3600</c:v>
                </c:pt>
                <c:pt idx="33">
                  <c:v>3600</c:v>
                </c:pt>
                <c:pt idx="34">
                  <c:v>3480</c:v>
                </c:pt>
                <c:pt idx="35">
                  <c:v>3520</c:v>
                </c:pt>
                <c:pt idx="36">
                  <c:v>3520</c:v>
                </c:pt>
                <c:pt idx="37">
                  <c:v>3520</c:v>
                </c:pt>
                <c:pt idx="38">
                  <c:v>3350</c:v>
                </c:pt>
                <c:pt idx="39">
                  <c:v>3350</c:v>
                </c:pt>
                <c:pt idx="40">
                  <c:v>3230</c:v>
                </c:pt>
                <c:pt idx="41">
                  <c:v>3230</c:v>
                </c:pt>
                <c:pt idx="42">
                  <c:v>3230</c:v>
                </c:pt>
                <c:pt idx="43">
                  <c:v>3230</c:v>
                </c:pt>
                <c:pt idx="44">
                  <c:v>3230</c:v>
                </c:pt>
                <c:pt idx="45">
                  <c:v>3230</c:v>
                </c:pt>
                <c:pt idx="46">
                  <c:v>3230</c:v>
                </c:pt>
                <c:pt idx="47">
                  <c:v>3230</c:v>
                </c:pt>
                <c:pt idx="48" c:formatCode="General">
                  <c:v>3430</c:v>
                </c:pt>
                <c:pt idx="49" c:formatCode="General">
                  <c:v>3460</c:v>
                </c:pt>
                <c:pt idx="50" c:formatCode="General">
                  <c:v>3350</c:v>
                </c:pt>
                <c:pt idx="51" c:formatCode="General">
                  <c:v>3520</c:v>
                </c:pt>
                <c:pt idx="52" c:formatCode="General">
                  <c:v>3520</c:v>
                </c:pt>
                <c:pt idx="53" c:formatCode="General">
                  <c:v>3500</c:v>
                </c:pt>
                <c:pt idx="54" c:formatCode="General">
                  <c:v>3500</c:v>
                </c:pt>
                <c:pt idx="55" c:formatCode="General">
                  <c:v>3850</c:v>
                </c:pt>
                <c:pt idx="56" c:formatCode="General">
                  <c:v>4080</c:v>
                </c:pt>
                <c:pt idx="57" c:formatCode="General">
                  <c:v>3930</c:v>
                </c:pt>
                <c:pt idx="58" c:formatCode="General">
                  <c:v>3900</c:v>
                </c:pt>
                <c:pt idx="59" c:formatCode="General">
                  <c:v>3750</c:v>
                </c:pt>
                <c:pt idx="60" c:formatCode="General">
                  <c:v>3900</c:v>
                </c:pt>
                <c:pt idx="61" c:formatCode="General">
                  <c:v>3930</c:v>
                </c:pt>
                <c:pt idx="62" c:formatCode="General">
                  <c:v>3900</c:v>
                </c:pt>
                <c:pt idx="63" c:formatCode="General">
                  <c:v>4100</c:v>
                </c:pt>
                <c:pt idx="64" c:formatCode="General">
                  <c:v>4500</c:v>
                </c:pt>
                <c:pt idx="65" c:formatCode="General">
                  <c:v>4500</c:v>
                </c:pt>
                <c:pt idx="66" c:formatCode="General">
                  <c:v>4250</c:v>
                </c:pt>
                <c:pt idx="67" c:formatCode="General">
                  <c:v>4180</c:v>
                </c:pt>
                <c:pt idx="68" c:formatCode="General">
                  <c:v>4260</c:v>
                </c:pt>
                <c:pt idx="69" c:formatCode="General">
                  <c:v>4280</c:v>
                </c:pt>
                <c:pt idx="70" c:formatCode="General">
                  <c:v>4280</c:v>
                </c:pt>
                <c:pt idx="71" c:formatCode="General">
                  <c:v>4300</c:v>
                </c:pt>
                <c:pt idx="72" c:formatCode="General">
                  <c:v>4520</c:v>
                </c:pt>
                <c:pt idx="73" c:formatCode="General">
                  <c:v>4520</c:v>
                </c:pt>
                <c:pt idx="74" c:formatCode="General">
                  <c:v>4370</c:v>
                </c:pt>
                <c:pt idx="75" c:formatCode="General">
                  <c:v>4150</c:v>
                </c:pt>
                <c:pt idx="76" c:formatCode="General">
                  <c:v>4330</c:v>
                </c:pt>
                <c:pt idx="77" c:formatCode="General">
                  <c:v>4280</c:v>
                </c:pt>
                <c:pt idx="78" c:formatCode="General">
                  <c:v>4250</c:v>
                </c:pt>
                <c:pt idx="79" c:formatCode="General">
                  <c:v>4480</c:v>
                </c:pt>
                <c:pt idx="80" c:formatCode="General">
                  <c:v>4500</c:v>
                </c:pt>
                <c:pt idx="81" c:formatCode="General">
                  <c:v>4350</c:v>
                </c:pt>
                <c:pt idx="82" c:formatCode="General">
                  <c:v>4250</c:v>
                </c:pt>
                <c:pt idx="83" c:formatCode="General">
                  <c:v>4250</c:v>
                </c:pt>
                <c:pt idx="84" c:formatCode="General">
                  <c:v>4250</c:v>
                </c:pt>
                <c:pt idx="85" c:formatCode="General">
                  <c:v>4250</c:v>
                </c:pt>
                <c:pt idx="86" c:formatCode="General">
                  <c:v>4250</c:v>
                </c:pt>
                <c:pt idx="87" c:formatCode="General">
                  <c:v>4250</c:v>
                </c:pt>
                <c:pt idx="88" c:formatCode="General">
                  <c:v>4250</c:v>
                </c:pt>
                <c:pt idx="89" c:formatCode="General">
                  <c:v>4180</c:v>
                </c:pt>
                <c:pt idx="90" c:formatCode="General">
                  <c:v>3970</c:v>
                </c:pt>
                <c:pt idx="91" c:formatCode="General">
                  <c:v>3970</c:v>
                </c:pt>
                <c:pt idx="92" c:formatCode="General">
                  <c:v>4000</c:v>
                </c:pt>
                <c:pt idx="93" c:formatCode="General">
                  <c:v>4030</c:v>
                </c:pt>
                <c:pt idx="94" c:formatCode="General">
                  <c:v>4100</c:v>
                </c:pt>
                <c:pt idx="95" c:formatCode="General">
                  <c:v>4100</c:v>
                </c:pt>
                <c:pt idx="96" c:formatCode="General">
                  <c:v>4230</c:v>
                </c:pt>
                <c:pt idx="97" c:formatCode="General">
                  <c:v>4370</c:v>
                </c:pt>
                <c:pt idx="98" c:formatCode="General">
                  <c:v>4370</c:v>
                </c:pt>
                <c:pt idx="99" c:formatCode="General">
                  <c:v>4310</c:v>
                </c:pt>
                <c:pt idx="100" c:formatCode="General">
                  <c:v>4310</c:v>
                </c:pt>
                <c:pt idx="103" c:formatCode="General">
                  <c:v>0</c:v>
                </c:pt>
                <c:pt idx="104" c:formatCode="General">
                  <c:v>4310</c:v>
                </c:pt>
                <c:pt idx="105" c:formatCode="General">
                  <c:v>4400</c:v>
                </c:pt>
                <c:pt idx="106" c:formatCode="General">
                  <c:v>4550</c:v>
                </c:pt>
                <c:pt idx="107" c:formatCode="General">
                  <c:v>4520</c:v>
                </c:pt>
                <c:pt idx="108" c:formatCode="General">
                  <c:v>4480</c:v>
                </c:pt>
                <c:pt idx="109" c:formatCode="General">
                  <c:v>4480</c:v>
                </c:pt>
                <c:pt idx="110" c:formatCode="General">
                  <c:v>4690</c:v>
                </c:pt>
                <c:pt idx="111" c:formatCode="General">
                  <c:v>5750</c:v>
                </c:pt>
                <c:pt idx="112" c:formatCode="General">
                  <c:v>5420</c:v>
                </c:pt>
                <c:pt idx="113" c:formatCode="General">
                  <c:v>5400</c:v>
                </c:pt>
                <c:pt idx="114" c:formatCode="General">
                  <c:v>5430</c:v>
                </c:pt>
                <c:pt idx="115" c:formatCode="General">
                  <c:v>5430</c:v>
                </c:pt>
                <c:pt idx="116" c:formatCode="General">
                  <c:v>5210</c:v>
                </c:pt>
                <c:pt idx="117" c:formatCode="General">
                  <c:v>5090</c:v>
                </c:pt>
                <c:pt idx="118" c:formatCode="General">
                  <c:v>5190</c:v>
                </c:pt>
                <c:pt idx="119" c:formatCode="General">
                  <c:v>5210</c:v>
                </c:pt>
                <c:pt idx="120" c:formatCode="General">
                  <c:v>5210</c:v>
                </c:pt>
                <c:pt idx="121" c:formatCode="General">
                  <c:v>5670</c:v>
                </c:pt>
                <c:pt idx="122" c:formatCode="General">
                  <c:v>5500</c:v>
                </c:pt>
                <c:pt idx="123" c:formatCode="General">
                  <c:v>5200</c:v>
                </c:pt>
                <c:pt idx="124" c:formatCode="General">
                  <c:v>5200</c:v>
                </c:pt>
                <c:pt idx="125" c:formatCode="General">
                  <c:v>5290</c:v>
                </c:pt>
                <c:pt idx="126" c:formatCode="General">
                  <c:v>5310</c:v>
                </c:pt>
                <c:pt idx="127" c:formatCode="General">
                  <c:v>5210</c:v>
                </c:pt>
              </c:numCache>
            </c:numRef>
          </c:val>
          <c:smooth val="0"/>
        </c:ser>
        <c:ser>
          <c:idx val="6"/>
          <c:order val="4"/>
          <c:tx>
            <c:strRef>
              <c:f>'[最新溶剂油周报：山东地炼石脑油价格走势图3.16.xls]溶剂油周报-石脑油价格走势图表'!$H$178</c:f>
              <c:strCache>
                <c:ptCount val="1"/>
                <c:pt idx="0">
                  <c:v>寿光石化</c:v>
                </c:pt>
              </c:strCache>
            </c:strRef>
          </c:tx>
          <c:spPr>
            <a:ln w="38100" cap="rnd" cmpd="sng" algn="ctr">
              <a:solidFill>
                <a:srgbClr val="0000FF">
                  <a:alpha val="100000"/>
                </a:srgbClr>
              </a:solidFill>
              <a:prstDash val="solid"/>
              <a:round/>
            </a:ln>
          </c:spPr>
          <c:marker>
            <c:symbol val="none"/>
          </c:marker>
          <c:dLbls>
            <c:delete val="1"/>
          </c:dLbls>
          <c:cat>
            <c:numRef>
              <c:f>'[最新溶剂油周报：山东地炼石脑油价格走势图3.16.xls]溶剂油周报-石脑油价格走势图表'!$A$179:$C$309</c:f>
              <c:numCache>
                <c:formatCode>yyyy/m/d</c:formatCode>
                <c:ptCount val="13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numCache>
            </c:numRef>
          </c:cat>
          <c:val>
            <c:numRef>
              <c:f>'[最新溶剂油周报：山东地炼石脑油价格走势图3.16.xls]溶剂油周报-石脑油价格走势图表'!$H$179:$H$309</c:f>
              <c:numCache>
                <c:formatCode>General</c:formatCode>
                <c:ptCount val="131"/>
                <c:pt idx="17" c:formatCode="@">
                  <c:v>3650</c:v>
                </c:pt>
                <c:pt idx="18" c:formatCode="@">
                  <c:v>3650</c:v>
                </c:pt>
                <c:pt idx="19" c:formatCode="@">
                  <c:v>3650</c:v>
                </c:pt>
                <c:pt idx="20" c:formatCode="@">
                  <c:v>3650</c:v>
                </c:pt>
                <c:pt idx="21" c:formatCode="@">
                  <c:v>3650</c:v>
                </c:pt>
                <c:pt idx="22" c:formatCode="@">
                  <c:v>3650</c:v>
                </c:pt>
                <c:pt idx="23" c:formatCode="@">
                  <c:v>3650</c:v>
                </c:pt>
                <c:pt idx="24" c:formatCode="@">
                  <c:v>3650</c:v>
                </c:pt>
                <c:pt idx="25" c:formatCode="@">
                  <c:v>3650</c:v>
                </c:pt>
                <c:pt idx="26" c:formatCode="@">
                  <c:v>3650</c:v>
                </c:pt>
                <c:pt idx="27" c:formatCode="@">
                  <c:v>4000</c:v>
                </c:pt>
                <c:pt idx="28" c:formatCode="@">
                  <c:v>4000</c:v>
                </c:pt>
                <c:pt idx="29" c:formatCode="@">
                  <c:v>4000</c:v>
                </c:pt>
                <c:pt idx="30" c:formatCode="@">
                  <c:v>4000</c:v>
                </c:pt>
                <c:pt idx="31" c:formatCode="@">
                  <c:v>4000</c:v>
                </c:pt>
                <c:pt idx="32" c:formatCode="@">
                  <c:v>4000</c:v>
                </c:pt>
                <c:pt idx="33" c:formatCode="@">
                  <c:v>4000</c:v>
                </c:pt>
                <c:pt idx="34" c:formatCode="@">
                  <c:v>4000</c:v>
                </c:pt>
                <c:pt idx="35" c:formatCode="@">
                  <c:v>4000</c:v>
                </c:pt>
                <c:pt idx="36" c:formatCode="@">
                  <c:v>4000</c:v>
                </c:pt>
                <c:pt idx="37" c:formatCode="@">
                  <c:v>4000</c:v>
                </c:pt>
                <c:pt idx="38" c:formatCode="@">
                  <c:v>4000</c:v>
                </c:pt>
                <c:pt idx="39" c:formatCode="@">
                  <c:v>4000</c:v>
                </c:pt>
                <c:pt idx="40" c:formatCode="@">
                  <c:v>4000</c:v>
                </c:pt>
                <c:pt idx="41" c:formatCode="@">
                  <c:v>4000</c:v>
                </c:pt>
                <c:pt idx="42" c:formatCode="@">
                  <c:v>4000</c:v>
                </c:pt>
                <c:pt idx="43" c:formatCode="@">
                  <c:v>4000</c:v>
                </c:pt>
                <c:pt idx="44" c:formatCode="@">
                  <c:v>4000</c:v>
                </c:pt>
                <c:pt idx="45" c:formatCode="@">
                  <c:v>4000</c:v>
                </c:pt>
                <c:pt idx="46" c:formatCode="@">
                  <c:v>4000</c:v>
                </c:pt>
                <c:pt idx="47" c:formatCode="@">
                  <c:v>4000</c:v>
                </c:pt>
                <c:pt idx="48" c:formatCode="@">
                  <c:v>4000</c:v>
                </c:pt>
                <c:pt idx="49" c:formatCode="@">
                  <c:v>4000</c:v>
                </c:pt>
                <c:pt idx="50" c:formatCode="@">
                  <c:v>4000</c:v>
                </c:pt>
                <c:pt idx="51" c:formatCode="@">
                  <c:v>4000</c:v>
                </c:pt>
                <c:pt idx="52" c:formatCode="@">
                  <c:v>4000</c:v>
                </c:pt>
                <c:pt idx="53" c:formatCode="@">
                  <c:v>4000</c:v>
                </c:pt>
                <c:pt idx="54" c:formatCode="@">
                  <c:v>4000</c:v>
                </c:pt>
                <c:pt idx="55" c:formatCode="@">
                  <c:v>4000</c:v>
                </c:pt>
                <c:pt idx="56" c:formatCode="@">
                  <c:v>4000</c:v>
                </c:pt>
                <c:pt idx="57" c:formatCode="@">
                  <c:v>4000</c:v>
                </c:pt>
                <c:pt idx="58" c:formatCode="@">
                  <c:v>4000</c:v>
                </c:pt>
                <c:pt idx="59" c:formatCode="@">
                  <c:v>4000</c:v>
                </c:pt>
                <c:pt idx="60" c:formatCode="@">
                  <c:v>4000</c:v>
                </c:pt>
                <c:pt idx="61" c:formatCode="@">
                  <c:v>4000</c:v>
                </c:pt>
                <c:pt idx="62" c:formatCode="@">
                  <c:v>4000</c:v>
                </c:pt>
                <c:pt idx="63" c:formatCode="@">
                  <c:v>4000</c:v>
                </c:pt>
                <c:pt idx="64" c:formatCode="@">
                  <c:v>4000</c:v>
                </c:pt>
                <c:pt idx="65" c:formatCode="@">
                  <c:v>4000</c:v>
                </c:pt>
                <c:pt idx="66" c:formatCode="@">
                  <c:v>4000</c:v>
                </c:pt>
                <c:pt idx="67" c:formatCode="@">
                  <c:v>4000</c:v>
                </c:pt>
                <c:pt idx="68" c:formatCode="@">
                  <c:v>4000</c:v>
                </c:pt>
                <c:pt idx="69" c:formatCode="@">
                  <c:v>4000</c:v>
                </c:pt>
                <c:pt idx="70" c:formatCode="@">
                  <c:v>4000</c:v>
                </c:pt>
                <c:pt idx="71">
                  <c:v>4000</c:v>
                </c:pt>
                <c:pt idx="72">
                  <c:v>4000</c:v>
                </c:pt>
                <c:pt idx="73">
                  <c:v>4000</c:v>
                </c:pt>
                <c:pt idx="74">
                  <c:v>4000</c:v>
                </c:pt>
                <c:pt idx="75">
                  <c:v>4000</c:v>
                </c:pt>
                <c:pt idx="76">
                  <c:v>4000</c:v>
                </c:pt>
                <c:pt idx="77">
                  <c:v>4000</c:v>
                </c:pt>
                <c:pt idx="78">
                  <c:v>4000</c:v>
                </c:pt>
                <c:pt idx="79">
                  <c:v>4000</c:v>
                </c:pt>
                <c:pt idx="80">
                  <c:v>4000</c:v>
                </c:pt>
                <c:pt idx="81">
                  <c:v>4000</c:v>
                </c:pt>
                <c:pt idx="82">
                  <c:v>4000</c:v>
                </c:pt>
                <c:pt idx="83">
                  <c:v>4000</c:v>
                </c:pt>
                <c:pt idx="84">
                  <c:v>4000</c:v>
                </c:pt>
                <c:pt idx="85">
                  <c:v>4000</c:v>
                </c:pt>
                <c:pt idx="86">
                  <c:v>4000</c:v>
                </c:pt>
                <c:pt idx="87">
                  <c:v>4000</c:v>
                </c:pt>
                <c:pt idx="88">
                  <c:v>4000</c:v>
                </c:pt>
                <c:pt idx="89">
                  <c:v>4000</c:v>
                </c:pt>
                <c:pt idx="90">
                  <c:v>4000</c:v>
                </c:pt>
                <c:pt idx="91">
                  <c:v>4000</c:v>
                </c:pt>
                <c:pt idx="92">
                  <c:v>4000</c:v>
                </c:pt>
                <c:pt idx="93">
                  <c:v>4000</c:v>
                </c:pt>
                <c:pt idx="94">
                  <c:v>4000</c:v>
                </c:pt>
                <c:pt idx="95">
                  <c:v>4000</c:v>
                </c:pt>
                <c:pt idx="96">
                  <c:v>4000</c:v>
                </c:pt>
                <c:pt idx="97">
                  <c:v>4000</c:v>
                </c:pt>
                <c:pt idx="98">
                  <c:v>4000</c:v>
                </c:pt>
                <c:pt idx="99">
                  <c:v>4000</c:v>
                </c:pt>
                <c:pt idx="100">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numCache>
            </c:numRef>
          </c:val>
          <c:smooth val="0"/>
        </c:ser>
        <c:dLbls>
          <c:showLegendKey val="0"/>
          <c:showVal val="0"/>
          <c:showCatName val="0"/>
          <c:showSerName val="0"/>
          <c:showPercent val="0"/>
          <c:showBubbleSize val="0"/>
        </c:dLbls>
        <c:marker val="0"/>
        <c:smooth val="0"/>
        <c:axId val="200657811"/>
        <c:axId val="183687380"/>
      </c:lineChart>
      <c:dateAx>
        <c:axId val="200657811"/>
        <c:scaling>
          <c:orientation val="minMax"/>
          <c:max val="43175"/>
          <c:min val="42809"/>
        </c:scaling>
        <c:delete val="0"/>
        <c:axPos val="b"/>
        <c:title>
          <c:tx>
            <c:rich>
              <a:bodyPr rot="0" spcFirstLastPara="0" vertOverflow="ellipsis" vert="horz" wrap="square" anchor="ctr" anchorCtr="1"/>
              <a:lstStyle/>
              <a:p>
                <a:pPr defTabSz="914400">
                  <a:defRPr lang="zh-CN" sz="11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000" b="0" i="0" u="none" strike="noStrike" baseline="0">
                    <a:solidFill>
                      <a:srgbClr val="000000"/>
                    </a:solidFill>
                    <a:latin typeface="宋体" panose="02010600030101010101" charset="-122"/>
                    <a:ea typeface="宋体" panose="02010600030101010101" charset="-122"/>
                    <a:cs typeface="宋体" panose="02010600030101010101" charset="-122"/>
                  </a:rPr>
                  <a:t>元/吨</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0314024540035944"/>
              <c:y val="0.0750266572680796"/>
            </c:manualLayout>
          </c:layout>
          <c:overlay val="0"/>
        </c:title>
        <c:numFmt formatCode="yyyy/m/d;@" sourceLinked="0"/>
        <c:majorTickMark val="in"/>
        <c:minorTickMark val="none"/>
        <c:tickLblPos val="nextTo"/>
        <c:spPr>
          <a:ln w="3175" cap="flat" cmpd="sng" algn="ctr">
            <a:solidFill>
              <a:srgbClr val="000000">
                <a:alpha val="100000"/>
              </a:srgbClr>
            </a:solidFill>
            <a:prstDash val="solid"/>
            <a:round/>
          </a:ln>
        </c:spPr>
        <c:txPr>
          <a:bodyPr rot="-540000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183687380"/>
        <c:crossesAt val="2000"/>
        <c:auto val="1"/>
        <c:lblOffset val="100"/>
        <c:baseTimeUnit val="days"/>
        <c:majorUnit val="1"/>
        <c:majorTimeUnit val="months"/>
        <c:minorUnit val="1"/>
        <c:minorTimeUnit val="months"/>
      </c:dateAx>
      <c:valAx>
        <c:axId val="183687380"/>
        <c:scaling>
          <c:orientation val="minMax"/>
          <c:max val="7000"/>
          <c:min val="2000"/>
        </c:scaling>
        <c:delete val="0"/>
        <c:axPos val="l"/>
        <c:majorGridlines>
          <c:spPr>
            <a:ln w="3175" cap="flat" cmpd="sng" algn="ctr">
              <a:solidFill>
                <a:srgbClr val="000000">
                  <a:alpha val="100000"/>
                </a:srgbClr>
              </a:solidFill>
              <a:prstDash val="solid"/>
              <a:round/>
            </a:ln>
          </c:spPr>
        </c:majorGridlines>
        <c:numFmt formatCode="@" sourceLinked="1"/>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200657811"/>
        <c:crossesAt val="42241"/>
        <c:crossBetween val="between"/>
        <c:majorUnit val="500"/>
        <c:minorUnit val="100"/>
      </c:valAx>
      <c:spPr>
        <a:solidFill>
          <a:srgbClr val="FFFFFF">
            <a:alpha val="100000"/>
          </a:srgbClr>
        </a:solidFill>
        <a:ln w="3175">
          <a:noFill/>
        </a:ln>
      </c:spPr>
    </c:plotArea>
    <c:legend>
      <c:legendPos val="r"/>
      <c:layout>
        <c:manualLayout>
          <c:xMode val="edge"/>
          <c:yMode val="edge"/>
          <c:x val="0.0719999655215512"/>
          <c:y val="0.867679191107823"/>
          <c:w val="0.85175"/>
          <c:h val="0.087"/>
        </c:manualLayout>
      </c:layout>
      <c:overlay val="0"/>
      <c:spPr>
        <a:solidFill>
          <a:srgbClr val="FFFFFF">
            <a:alpha val="100000"/>
          </a:srgbClr>
        </a:solidFill>
        <a:ln w="3175">
          <a:noFill/>
        </a:ln>
      </c:spPr>
      <c:txPr>
        <a:bodyPr rot="0" spcFirstLastPara="0" vertOverflow="ellipsis" vert="horz" wrap="square" anchor="ctr" anchorCtr="1"/>
        <a:lstStyle/>
        <a:p>
          <a:pPr>
            <a:defRPr lang="zh-CN" sz="7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noFill/>
      <a:prstDash val="solid"/>
      <a:round/>
    </a:ln>
  </c:spPr>
  <c:txPr>
    <a:bodyPr rot="0" wrap="square" anchor="ctr" anchorCtr="1"/>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CEF522-4F2A-46DF-8F19-079103E00AD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44</Pages>
  <Words>3995</Words>
  <Characters>22778</Characters>
  <Lines>189</Lines>
  <Paragraphs>53</Paragraphs>
  <ScaleCrop>false</ScaleCrop>
  <LinksUpToDate>false</LinksUpToDate>
  <CharactersWithSpaces>26720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2018-03-02T07:41:00Z</dcterms:created>
  <dc:creator>AutoBVT</dc:creator>
  <cp:lastModifiedBy>梦蝶</cp:lastModifiedBy>
  <dcterms:modified xsi:type="dcterms:W3CDTF">2018-03-16T08:46:17Z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