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kern w:val="2"/>
                              </w:rPr>
                            </w:pPr>
                            <w:bookmarkStart w:id="78" w:name="_Toc485828984"/>
                            <w:bookmarkStart w:id="79" w:name="_Toc505349996"/>
                            <w:r>
                              <w:rPr>
                                <w:rFonts w:hint="eastAsia"/>
                                <w:kern w:val="2"/>
                              </w:rPr>
                              <w:t>2018.3.</w:t>
                            </w:r>
                            <w:bookmarkEnd w:id="78"/>
                            <w:bookmarkEnd w:id="79"/>
                            <w:r>
                              <w:rPr>
                                <w:rFonts w:hint="eastAsia"/>
                                <w:kern w:val="2"/>
                                <w:lang w:val="en-US" w:eastAsia="zh-CN"/>
                              </w:rPr>
                              <w:t>8</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kern w:val="2"/>
                        </w:rPr>
                      </w:pPr>
                      <w:bookmarkStart w:id="78" w:name="_Toc485828984"/>
                      <w:bookmarkStart w:id="79" w:name="_Toc505349996"/>
                      <w:r>
                        <w:rPr>
                          <w:rFonts w:hint="eastAsia"/>
                          <w:kern w:val="2"/>
                        </w:rPr>
                        <w:t>2018.3.</w:t>
                      </w:r>
                      <w:bookmarkEnd w:id="78"/>
                      <w:bookmarkEnd w:id="79"/>
                      <w:r>
                        <w:rPr>
                          <w:rFonts w:hint="eastAsia"/>
                          <w:kern w:val="2"/>
                          <w:lang w:val="en-US" w:eastAsia="zh-CN"/>
                        </w:rPr>
                        <w:t>8</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2017</w:t>
                            </w:r>
                            <w:r>
                              <w:rPr>
                                <w:rStyle w:val="24"/>
                                <w:rFonts w:hint="eastAsia" w:cs="Arial"/>
                                <w:bCs/>
                                <w:kern w:val="0"/>
                              </w:rPr>
                              <w:t>年</w:t>
                            </w:r>
                            <w:r>
                              <w:rPr>
                                <w:rStyle w:val="24"/>
                                <w:rFonts w:cs="Arial"/>
                                <w:bCs/>
                                <w:kern w:val="0"/>
                              </w:rPr>
                              <w:t>10</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2017</w:t>
                            </w:r>
                            <w:r>
                              <w:rPr>
                                <w:rStyle w:val="24"/>
                                <w:rFonts w:hint="eastAsia" w:ascii="黑体"/>
                              </w:rPr>
                              <w:t>年</w:t>
                            </w:r>
                            <w:r>
                              <w:rPr>
                                <w:rStyle w:val="24"/>
                                <w:rFonts w:ascii="黑体"/>
                              </w:rPr>
                              <w:t>10</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2017</w:t>
                      </w:r>
                      <w:r>
                        <w:rPr>
                          <w:rStyle w:val="24"/>
                          <w:rFonts w:hint="eastAsia" w:cs="Arial"/>
                          <w:bCs/>
                          <w:kern w:val="0"/>
                        </w:rPr>
                        <w:t>年</w:t>
                      </w:r>
                      <w:r>
                        <w:rPr>
                          <w:rStyle w:val="24"/>
                          <w:rFonts w:cs="Arial"/>
                          <w:bCs/>
                          <w:kern w:val="0"/>
                        </w:rPr>
                        <w:t>10</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2017</w:t>
                      </w:r>
                      <w:r>
                        <w:rPr>
                          <w:rStyle w:val="24"/>
                          <w:rFonts w:hint="eastAsia" w:ascii="黑体"/>
                        </w:rPr>
                        <w:t>年</w:t>
                      </w:r>
                      <w:r>
                        <w:rPr>
                          <w:rStyle w:val="24"/>
                          <w:rFonts w:ascii="黑体"/>
                        </w:rPr>
                        <w:t>10</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pPr>
      <w:bookmarkStart w:id="4" w:name="_Toc281568195"/>
      <w:bookmarkStart w:id="5" w:name="_Toc296600805"/>
      <w:bookmarkStart w:id="6" w:name="_Toc460250400"/>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pPr>
        <w:ind w:firstLine="400" w:firstLineChars="200"/>
        <w:rPr>
          <w:rFonts w:ascii="宋体" w:hAnsi="宋体" w:cs="宋体"/>
          <w:kern w:val="0"/>
          <w:sz w:val="20"/>
          <w:szCs w:val="20"/>
        </w:rPr>
      </w:pPr>
      <w:r>
        <w:rPr>
          <w:rFonts w:hint="eastAsia" w:ascii="宋体" w:hAnsi="宋体" w:cs="宋体"/>
          <w:kern w:val="0"/>
          <w:sz w:val="20"/>
          <w:szCs w:val="20"/>
        </w:rPr>
        <w:t>单位：美元/桶</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6"/>
        <w:gridCol w:w="920"/>
        <w:gridCol w:w="920"/>
        <w:gridCol w:w="6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7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日期</w:t>
            </w:r>
          </w:p>
        </w:tc>
        <w:tc>
          <w:tcPr>
            <w:tcW w:w="9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纽交所</w:t>
            </w:r>
          </w:p>
        </w:tc>
        <w:tc>
          <w:tcPr>
            <w:tcW w:w="9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伦交所</w:t>
            </w:r>
          </w:p>
        </w:tc>
        <w:tc>
          <w:tcPr>
            <w:tcW w:w="696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2018-3-7</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61.15</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64.34</w:t>
            </w:r>
          </w:p>
        </w:tc>
        <w:tc>
          <w:tcPr>
            <w:tcW w:w="6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美国能源信息局公布的报告显示，美国原油日产量再创历史新高；美国全国商业原油库存增加。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2018-3-6</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62.6</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65.79</w:t>
            </w:r>
          </w:p>
        </w:tc>
        <w:tc>
          <w:tcPr>
            <w:tcW w:w="6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美元走弱提高了以美元计价的石油的投资吸引力。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2018-3-5</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62.57</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65.54</w:t>
            </w:r>
          </w:p>
        </w:tc>
        <w:tc>
          <w:tcPr>
            <w:tcW w:w="6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国际能源署５日发布报告说，未来５年全球石油需求增长强劲。分析人士说，此消息助推油价当天上涨。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2018-3-2</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61.25</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64.37</w:t>
            </w:r>
          </w:p>
        </w:tc>
        <w:tc>
          <w:tcPr>
            <w:tcW w:w="6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市场担忧美政府此举可能引发贸易战，损害美国经济。受此影响，国际油价２日早盘下跌，随后收复失地，在尾盘上扬。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2018-3-1</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60.99</w:t>
            </w:r>
          </w:p>
        </w:tc>
        <w:tc>
          <w:tcPr>
            <w:tcW w:w="92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63.83</w:t>
            </w:r>
          </w:p>
        </w:tc>
        <w:tc>
          <w:tcPr>
            <w:tcW w:w="6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美国原油库存增加的消息令国际油价１日继续承压下跌</w:t>
            </w:r>
          </w:p>
        </w:tc>
      </w:tr>
    </w:tbl>
    <w:p>
      <w:pPr>
        <w:rPr>
          <w:rFonts w:ascii="宋体" w:hAnsi="宋体" w:cs="宋体"/>
          <w:kern w:val="0"/>
          <w:sz w:val="20"/>
          <w:szCs w:val="20"/>
        </w:rPr>
      </w:pPr>
    </w:p>
    <w:p>
      <w:pPr>
        <w:spacing w:line="360" w:lineRule="auto"/>
        <w:ind w:firstLine="300" w:firstLineChars="100"/>
        <w:outlineLvl w:val="1"/>
        <w:rPr>
          <w:rFonts w:ascii="黑体" w:eastAsia="黑体"/>
          <w:sz w:val="30"/>
          <w:szCs w:val="30"/>
        </w:rPr>
      </w:pPr>
      <w:bookmarkStart w:id="8" w:name="_Toc505350000"/>
      <w:r>
        <w:rPr>
          <w:rFonts w:hint="eastAsia" w:ascii="黑体" w:eastAsia="黑体"/>
          <w:sz w:val="30"/>
          <w:szCs w:val="30"/>
        </w:rPr>
        <w:t>1. 2  国际原油市场价格走势图</w:t>
      </w:r>
      <w:bookmarkEnd w:id="8"/>
    </w:p>
    <w:p>
      <w:pPr>
        <w:spacing w:line="360" w:lineRule="auto"/>
        <w:jc w:val="center"/>
        <w:rPr>
          <w:sz w:val="20"/>
          <w:szCs w:val="20"/>
        </w:rPr>
      </w:pPr>
    </w:p>
    <w:p>
      <w:pPr>
        <w:spacing w:line="360" w:lineRule="auto"/>
        <w:rPr>
          <w:sz w:val="20"/>
          <w:szCs w:val="20"/>
        </w:rPr>
      </w:pPr>
      <w:r>
        <w:drawing>
          <wp:inline distT="0" distB="0" distL="114300" distR="114300">
            <wp:extent cx="5977255" cy="3634105"/>
            <wp:effectExtent l="0" t="0" r="444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977255" cy="3634105"/>
                    </a:xfrm>
                    <a:prstGeom prst="rect">
                      <a:avLst/>
                    </a:prstGeom>
                    <a:noFill/>
                    <a:ln w="9525">
                      <a:noFill/>
                    </a:ln>
                  </pic:spPr>
                </pic:pic>
              </a:graphicData>
            </a:graphic>
          </wp:inline>
        </w:drawing>
      </w: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158203127"/>
      <w:bookmarkStart w:id="14" w:name="_Toc239847712"/>
      <w:r>
        <w:rPr>
          <w:rFonts w:hint="eastAsia" w:ascii="黑体" w:hAnsi="宋体" w:eastAsia="黑体"/>
          <w:b/>
          <w:sz w:val="30"/>
          <w:szCs w:val="30"/>
        </w:rPr>
        <w:t>.近期影响国际原油市场的主要因素</w:t>
      </w:r>
      <w:bookmarkEnd w:id="9"/>
      <w:bookmarkEnd w:id="10"/>
    </w:p>
    <w:p>
      <w:pPr>
        <w:numPr>
          <w:ilvl w:val="0"/>
          <w:numId w:val="2"/>
        </w:numPr>
        <w:outlineLvl w:val="1"/>
        <w:rPr>
          <w:rFonts w:ascii="黑体" w:hAnsi="宋体" w:eastAsia="黑体"/>
          <w:b/>
          <w:sz w:val="28"/>
          <w:szCs w:val="28"/>
        </w:rPr>
      </w:pPr>
      <w:bookmarkStart w:id="15" w:name="_Toc504051939"/>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因进口增长，上周美国原油库存增加，但汽油及馏分油库存下降。截至3月2日当周，美国原油库存增加241万桶，至4.2591亿桶，市场此前预期为增加270万桶。美国原油期货交割地库欣的原油库存下降60.5万桶，至2818万桶。截至3月2日当周，美国汽油库存下降78.8万桶至2.5103亿桶，市场此前预期为减少120万桶;馏分油库存下滑55.9万桶至1.3743亿桶，分析师预估为减少120万桶。上周炼厂原油日加工量增加5.3万桶，至1594万桶。产能利用率上升0.2个百分点至88.0%。上周美国原油净进口量增加66.8万桶/日。美国石油协会(API)数据显示，因炼厂增加产量，美国上周原油库存增加，而汽油库存减少但馏分油库存增加。截至3月2日当周，美国原油库存增加566.1万桶，至4.56722亿桶，分析师预估为增加272.3万桶。位于俄克拉荷马州库欣的原油库存增加79万桶。截至3月2日当周，美国汽油库存减少453.6万桶，分析师此前预估为减少120.1万桶;包括取暖油和柴油在内的馏分油库存增加148.7万桶，分析师预估为减少120万桶。上周美国原油进口80.3万桶/日，至782.9万桶/日。炼厂原油加工量增加18.7万桶/日。</w:t>
      </w:r>
    </w:p>
    <w:p>
      <w:pPr>
        <w:outlineLvl w:val="1"/>
        <w:rPr>
          <w:rFonts w:hint="eastAsia" w:ascii="黑体" w:hAnsi="宋体" w:eastAsia="黑体"/>
          <w:b/>
          <w:sz w:val="28"/>
          <w:szCs w:val="28"/>
        </w:rPr>
      </w:pPr>
    </w:p>
    <w:p>
      <w:pPr>
        <w:outlineLvl w:val="1"/>
        <w:rPr>
          <w:rFonts w:hint="eastAsia" w:ascii="黑体" w:hAnsi="宋体" w:eastAsia="黑体"/>
          <w:b/>
          <w:sz w:val="28"/>
          <w:szCs w:val="28"/>
        </w:rPr>
      </w:pPr>
      <w:bookmarkStart w:id="16" w:name="_Toc504051940"/>
      <w:r>
        <w:rPr>
          <w:rFonts w:hint="eastAsia" w:ascii="黑体" w:hAnsi="宋体" w:eastAsia="黑体"/>
          <w:b/>
          <w:sz w:val="28"/>
          <w:szCs w:val="28"/>
        </w:rPr>
        <w:t>2、美国经济形势</w:t>
      </w:r>
      <w:bookmarkEnd w:id="16"/>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美股周三尾盘跳水最终收跌，医疗保健、能源与原材料板块领跌。美联储主席鲍威尔激进的证词令市场担心联储今年将加息4次。</w:t>
      </w:r>
    </w:p>
    <w:p>
      <w:pPr>
        <w:pStyle w:val="19"/>
        <w:rPr>
          <w:rFonts w:ascii="华文仿宋" w:hAnsi="华文仿宋" w:eastAsia="华文仿宋"/>
          <w:sz w:val="28"/>
          <w:szCs w:val="28"/>
        </w:rPr>
      </w:pPr>
      <w:r>
        <w:rPr>
          <w:rFonts w:ascii="华文仿宋" w:hAnsi="华文仿宋" w:eastAsia="华文仿宋"/>
          <w:sz w:val="28"/>
          <w:szCs w:val="28"/>
        </w:rPr>
        <w:t>　　美东时间2月28日16：00(北京时间3月1日05：00)，美东时间2月28日16：00(北京时间3月1日05：00)，道指跌380.83点，或1.5%，报25，029.20点;标普500指数跌30.45点，或1.11%，报2，713.83点;纳指跌57.35点，或0.78%，报7，273.01点。</w:t>
      </w:r>
    </w:p>
    <w:p>
      <w:pPr>
        <w:pStyle w:val="19"/>
        <w:rPr>
          <w:rFonts w:ascii="华文仿宋" w:hAnsi="华文仿宋" w:eastAsia="华文仿宋"/>
          <w:sz w:val="28"/>
          <w:szCs w:val="28"/>
        </w:rPr>
      </w:pPr>
      <w:r>
        <w:rPr>
          <w:rFonts w:ascii="华文仿宋" w:hAnsi="华文仿宋" w:eastAsia="华文仿宋"/>
          <w:sz w:val="28"/>
          <w:szCs w:val="28"/>
        </w:rPr>
        <w:t>　　截至周三收盘，主要股指在2月份蒙受了巨大跌幅。道指累计下跌超过4%，标普500指数累计下跌3.9%，纳指跌幅为1.9%。</w:t>
      </w:r>
    </w:p>
    <w:p>
      <w:pPr>
        <w:pStyle w:val="19"/>
        <w:rPr>
          <w:rFonts w:ascii="华文仿宋" w:hAnsi="华文仿宋" w:eastAsia="华文仿宋"/>
          <w:sz w:val="28"/>
          <w:szCs w:val="28"/>
        </w:rPr>
      </w:pPr>
      <w:r>
        <w:rPr>
          <w:rFonts w:ascii="华文仿宋" w:hAnsi="华文仿宋" w:eastAsia="华文仿宋"/>
          <w:sz w:val="28"/>
          <w:szCs w:val="28"/>
        </w:rPr>
        <w:t>　　在评论周三美股尾盘跳水行情时，KKM Financial公司CEO Jeff Kilburg表示：“我们看到标普500指数跌穿50日移动平均线之后，市场上出现了技术性抛售。”</w:t>
      </w:r>
    </w:p>
    <w:p>
      <w:pPr>
        <w:pStyle w:val="19"/>
        <w:rPr>
          <w:rFonts w:ascii="华文仿宋" w:hAnsi="华文仿宋" w:eastAsia="华文仿宋"/>
          <w:sz w:val="28"/>
          <w:szCs w:val="28"/>
        </w:rPr>
      </w:pPr>
      <w:r>
        <w:rPr>
          <w:rFonts w:ascii="华文仿宋" w:hAnsi="华文仿宋" w:eastAsia="华文仿宋"/>
          <w:sz w:val="28"/>
          <w:szCs w:val="28"/>
        </w:rPr>
        <w:t>　　今天是2月份的最后一个交易日，三大股指本月录得跌幅，其中标普500指数与道指均结束了连续10个月的上涨趋势。此前两大股指均已连续10个月上涨，为1959年以来的最长连续上涨时间。</w:t>
      </w:r>
    </w:p>
    <w:p>
      <w:pPr>
        <w:pStyle w:val="19"/>
        <w:rPr>
          <w:rFonts w:ascii="华文仿宋" w:hAnsi="华文仿宋" w:eastAsia="华文仿宋"/>
          <w:sz w:val="28"/>
          <w:szCs w:val="28"/>
        </w:rPr>
      </w:pPr>
      <w:r>
        <w:rPr>
          <w:rFonts w:ascii="华文仿宋" w:hAnsi="华文仿宋" w:eastAsia="华文仿宋"/>
          <w:sz w:val="28"/>
          <w:szCs w:val="28"/>
        </w:rPr>
        <w:t>　　周三美股继续延续了周二下跌趋势，道指一度下跌约390点，下跌至日低25，022.42点。</w:t>
      </w:r>
    </w:p>
    <w:p>
      <w:pPr>
        <w:pStyle w:val="19"/>
        <w:rPr>
          <w:rFonts w:ascii="华文仿宋" w:hAnsi="华文仿宋" w:eastAsia="华文仿宋"/>
          <w:sz w:val="28"/>
          <w:szCs w:val="28"/>
        </w:rPr>
      </w:pPr>
      <w:r>
        <w:rPr>
          <w:rFonts w:ascii="华文仿宋" w:hAnsi="华文仿宋" w:eastAsia="华文仿宋"/>
          <w:sz w:val="28"/>
          <w:szCs w:val="28"/>
        </w:rPr>
        <w:t>　　今年2月初，美股一度下跌至回调区域——其定义是从近期最高点下跌超过10%以上，原因是市场担心通胀上涨的预期可能导致美联储更加激进的加息。</w:t>
      </w:r>
    </w:p>
    <w:p>
      <w:pPr>
        <w:pStyle w:val="19"/>
        <w:rPr>
          <w:rFonts w:ascii="华文仿宋" w:hAnsi="华文仿宋" w:eastAsia="华文仿宋"/>
          <w:sz w:val="28"/>
          <w:szCs w:val="28"/>
        </w:rPr>
      </w:pPr>
      <w:r>
        <w:rPr>
          <w:rFonts w:ascii="华文仿宋" w:hAnsi="华文仿宋" w:eastAsia="华文仿宋"/>
          <w:sz w:val="28"/>
          <w:szCs w:val="28"/>
        </w:rPr>
        <w:t>　　美联储主席鲍威尔周二在国会众议院发表证词时表示，市场出现动荡不会妨碍美联储未来继续渐进加息。他的讲话使一些市场人士担心美联储可能加息4次。</w:t>
      </w:r>
    </w:p>
    <w:p>
      <w:pPr>
        <w:pStyle w:val="19"/>
        <w:rPr>
          <w:rFonts w:ascii="华文仿宋" w:hAnsi="华文仿宋" w:eastAsia="华文仿宋"/>
          <w:sz w:val="28"/>
          <w:szCs w:val="28"/>
        </w:rPr>
      </w:pPr>
      <w:r>
        <w:rPr>
          <w:rFonts w:ascii="华文仿宋" w:hAnsi="华文仿宋" w:eastAsia="华文仿宋"/>
          <w:sz w:val="28"/>
          <w:szCs w:val="28"/>
        </w:rPr>
        <w:t>　　市场驱动力量是什么?</w:t>
      </w:r>
    </w:p>
    <w:p>
      <w:pPr>
        <w:pStyle w:val="19"/>
        <w:rPr>
          <w:rFonts w:ascii="华文仿宋" w:hAnsi="华文仿宋" w:eastAsia="华文仿宋"/>
          <w:sz w:val="28"/>
          <w:szCs w:val="28"/>
        </w:rPr>
      </w:pPr>
      <w:r>
        <w:rPr>
          <w:rFonts w:ascii="华文仿宋" w:hAnsi="华文仿宋" w:eastAsia="华文仿宋"/>
          <w:sz w:val="28"/>
          <w:szCs w:val="28"/>
        </w:rPr>
        <w:t>　　在鲍威尔周二在国会众议院发表证词后，市场对美联储加息的预期升温。鲍威尔将在周四继续在国会参议院发表证词。</w:t>
      </w:r>
    </w:p>
    <w:p>
      <w:pPr>
        <w:pStyle w:val="19"/>
        <w:rPr>
          <w:rFonts w:ascii="华文仿宋" w:hAnsi="华文仿宋" w:eastAsia="华文仿宋"/>
          <w:sz w:val="28"/>
          <w:szCs w:val="28"/>
        </w:rPr>
      </w:pPr>
      <w:r>
        <w:rPr>
          <w:rFonts w:ascii="华文仿宋" w:hAnsi="华文仿宋" w:eastAsia="华文仿宋"/>
          <w:sz w:val="28"/>
          <w:szCs w:val="28"/>
        </w:rPr>
        <w:t>　　鲍威尔在其预先准备好的讲话稿中表示：“在衡量未来几年适当的货币政策路径时，联邦公开市场委员会(FOMC)将继续寻求避免经济过热与将个人消费开支(PCE)价格通胀率持续达到2%目标之间的平衡。”</w:t>
      </w:r>
    </w:p>
    <w:p>
      <w:pPr>
        <w:pStyle w:val="19"/>
        <w:rPr>
          <w:rFonts w:ascii="华文仿宋" w:hAnsi="华文仿宋" w:eastAsia="华文仿宋"/>
          <w:sz w:val="28"/>
          <w:szCs w:val="28"/>
        </w:rPr>
      </w:pPr>
      <w:r>
        <w:rPr>
          <w:rFonts w:ascii="华文仿宋" w:hAnsi="华文仿宋" w:eastAsia="华文仿宋"/>
          <w:sz w:val="28"/>
          <w:szCs w:val="28"/>
        </w:rPr>
        <w:t>　　德国商业银行商品期货分析师Carsten Fritsch表示：“因此，FOMC在3月会议上加息几乎已是板上钉钉的了。今年剩余时间内美联储还会继续加息。”</w:t>
      </w:r>
    </w:p>
    <w:p>
      <w:pPr>
        <w:pStyle w:val="19"/>
        <w:rPr>
          <w:rFonts w:ascii="华文仿宋" w:hAnsi="华文仿宋" w:eastAsia="华文仿宋"/>
          <w:sz w:val="28"/>
          <w:szCs w:val="28"/>
        </w:rPr>
      </w:pPr>
      <w:r>
        <w:rPr>
          <w:rFonts w:ascii="华文仿宋" w:hAnsi="华文仿宋" w:eastAsia="华文仿宋"/>
          <w:sz w:val="28"/>
          <w:szCs w:val="28"/>
        </w:rPr>
        <w:t>　　鲍威尔表示对美国经济前景乐观，这被市场视为美联储将在2018年加息4次的讯号，而非此前预测的3次。</w:t>
      </w:r>
    </w:p>
    <w:p>
      <w:pPr>
        <w:pStyle w:val="19"/>
        <w:rPr>
          <w:rFonts w:ascii="华文仿宋" w:hAnsi="华文仿宋" w:eastAsia="华文仿宋"/>
          <w:sz w:val="28"/>
          <w:szCs w:val="28"/>
        </w:rPr>
      </w:pPr>
      <w:r>
        <w:rPr>
          <w:rFonts w:ascii="华文仿宋" w:hAnsi="华文仿宋" w:eastAsia="华文仿宋"/>
          <w:sz w:val="28"/>
          <w:szCs w:val="28"/>
        </w:rPr>
        <w:t>　　鲍威尔的鹰派讲话推动美国国债收益率与美元大幅攀升。周二美国10年期国债收益率突破2.9%，ICE美元指数(DXY)攀升至2月9日以来最高值。</w:t>
      </w:r>
    </w:p>
    <w:p>
      <w:pPr>
        <w:pStyle w:val="19"/>
        <w:rPr>
          <w:rFonts w:ascii="华文仿宋" w:hAnsi="华文仿宋" w:eastAsia="华文仿宋"/>
          <w:sz w:val="28"/>
          <w:szCs w:val="28"/>
        </w:rPr>
      </w:pPr>
      <w:r>
        <w:rPr>
          <w:rFonts w:ascii="华文仿宋" w:hAnsi="华文仿宋" w:eastAsia="华文仿宋"/>
          <w:sz w:val="28"/>
          <w:szCs w:val="28"/>
        </w:rPr>
        <w:t>　　周三美国10年期国债收益率回落至2.9%以下，但美元持续攀升，ICE美元指数上涨0.2%，报90.501。</w:t>
      </w:r>
    </w:p>
    <w:p>
      <w:pPr>
        <w:pStyle w:val="19"/>
        <w:rPr>
          <w:rFonts w:ascii="华文仿宋" w:hAnsi="华文仿宋" w:eastAsia="华文仿宋"/>
          <w:sz w:val="28"/>
          <w:szCs w:val="28"/>
        </w:rPr>
      </w:pPr>
      <w:r>
        <w:rPr>
          <w:rFonts w:ascii="华文仿宋" w:hAnsi="华文仿宋" w:eastAsia="华文仿宋"/>
          <w:sz w:val="28"/>
          <w:szCs w:val="28"/>
        </w:rPr>
        <w:t>　　在鲍威尔的讲话导致股市下跌后，投资者将继续关注他在本周四在美国国会参议院发表的证词。</w:t>
      </w:r>
    </w:p>
    <w:p>
      <w:pPr>
        <w:pStyle w:val="19"/>
        <w:rPr>
          <w:rFonts w:ascii="华文仿宋" w:hAnsi="华文仿宋" w:eastAsia="华文仿宋"/>
          <w:sz w:val="28"/>
          <w:szCs w:val="28"/>
        </w:rPr>
      </w:pPr>
      <w:r>
        <w:rPr>
          <w:rFonts w:ascii="华文仿宋" w:hAnsi="华文仿宋" w:eastAsia="华文仿宋"/>
          <w:sz w:val="28"/>
          <w:szCs w:val="28"/>
        </w:rPr>
        <w:t>　　市场策略师如何说?</w:t>
      </w:r>
    </w:p>
    <w:p>
      <w:pPr>
        <w:pStyle w:val="19"/>
        <w:rPr>
          <w:rFonts w:ascii="华文仿宋" w:hAnsi="华文仿宋" w:eastAsia="华文仿宋"/>
          <w:sz w:val="28"/>
          <w:szCs w:val="28"/>
        </w:rPr>
      </w:pPr>
      <w:r>
        <w:rPr>
          <w:rFonts w:ascii="华文仿宋" w:hAnsi="华文仿宋" w:eastAsia="华文仿宋"/>
          <w:sz w:val="28"/>
          <w:szCs w:val="28"/>
        </w:rPr>
        <w:t>　　伦敦资本集团研究主管Jasper Lawler表示：“鲍威尔的讲话偏向鹰派。在被问及事关重大的今年加息3次还是4次的问题时，鲍威尔很快指出美国经济状况好转以及他乐观地认为通胀率将达到美联储设定的2%目标，这只能被形容为鹰派的回答，它可能暗示2018年将加息4次。”</w:t>
      </w:r>
    </w:p>
    <w:p>
      <w:pPr>
        <w:pStyle w:val="19"/>
        <w:rPr>
          <w:rFonts w:ascii="华文仿宋" w:hAnsi="华文仿宋" w:eastAsia="华文仿宋"/>
          <w:sz w:val="28"/>
          <w:szCs w:val="28"/>
        </w:rPr>
      </w:pPr>
      <w:r>
        <w:rPr>
          <w:rFonts w:ascii="华文仿宋" w:hAnsi="华文仿宋" w:eastAsia="华文仿宋"/>
          <w:sz w:val="28"/>
          <w:szCs w:val="28"/>
        </w:rPr>
        <w:t>　　Lawler在周三早间发布的研报中表示：“鲍威尔昨天发表的评论一石激起千层浪，令股市交易商感到焦虑从而急忙抛售持有的仓位。”</w:t>
      </w:r>
    </w:p>
    <w:p>
      <w:pPr>
        <w:pStyle w:val="19"/>
        <w:rPr>
          <w:rFonts w:ascii="华文仿宋" w:hAnsi="华文仿宋" w:eastAsia="华文仿宋"/>
          <w:sz w:val="28"/>
          <w:szCs w:val="28"/>
        </w:rPr>
      </w:pPr>
      <w:r>
        <w:rPr>
          <w:rFonts w:ascii="华文仿宋" w:hAnsi="华文仿宋" w:eastAsia="华文仿宋"/>
          <w:sz w:val="28"/>
          <w:szCs w:val="28"/>
        </w:rPr>
        <w:t>　　他表示：“今天美国国债收益率有所下跌，美股小幅攀升，这意味着市场可能对美联储继续实行加息的前景慢慢感到放松。”</w:t>
      </w:r>
    </w:p>
    <w:p>
      <w:pPr>
        <w:pStyle w:val="19"/>
        <w:rPr>
          <w:rFonts w:ascii="华文仿宋" w:hAnsi="华文仿宋" w:eastAsia="华文仿宋"/>
          <w:sz w:val="28"/>
          <w:szCs w:val="28"/>
        </w:rPr>
      </w:pPr>
      <w:r>
        <w:rPr>
          <w:rFonts w:ascii="华文仿宋" w:hAnsi="华文仿宋" w:eastAsia="华文仿宋"/>
          <w:sz w:val="28"/>
          <w:szCs w:val="28"/>
        </w:rPr>
        <w:t>　　焦点关注股</w:t>
      </w:r>
    </w:p>
    <w:p>
      <w:pPr>
        <w:pStyle w:val="19"/>
        <w:rPr>
          <w:rFonts w:ascii="华文仿宋" w:hAnsi="华文仿宋" w:eastAsia="华文仿宋"/>
          <w:sz w:val="28"/>
          <w:szCs w:val="28"/>
        </w:rPr>
      </w:pPr>
      <w:r>
        <w:rPr>
          <w:rFonts w:ascii="华文仿宋" w:hAnsi="华文仿宋" w:eastAsia="华文仿宋"/>
          <w:sz w:val="28"/>
          <w:szCs w:val="28"/>
        </w:rPr>
        <w:t>　　Valeant(16.39, -2.11, -11.41%) Pharmaceuticals International(VRX)股价走低，此前该公司宣布第四财季盈利不及预期。</w:t>
      </w:r>
    </w:p>
    <w:p>
      <w:pPr>
        <w:pStyle w:val="19"/>
        <w:rPr>
          <w:rFonts w:ascii="华文仿宋" w:hAnsi="华文仿宋" w:eastAsia="华文仿宋"/>
          <w:sz w:val="28"/>
          <w:szCs w:val="28"/>
        </w:rPr>
      </w:pPr>
      <w:r>
        <w:rPr>
          <w:rFonts w:ascii="华文仿宋" w:hAnsi="华文仿宋" w:eastAsia="华文仿宋"/>
          <w:sz w:val="28"/>
          <w:szCs w:val="28"/>
        </w:rPr>
        <w:t>　　劳氏(LOW)盈利不及预期导致其股价大跌。</w:t>
      </w:r>
    </w:p>
    <w:p>
      <w:pPr>
        <w:pStyle w:val="19"/>
        <w:rPr>
          <w:rFonts w:ascii="华文仿宋" w:hAnsi="华文仿宋" w:eastAsia="华文仿宋"/>
          <w:sz w:val="28"/>
          <w:szCs w:val="28"/>
        </w:rPr>
      </w:pPr>
      <w:r>
        <w:rPr>
          <w:rFonts w:ascii="华文仿宋" w:hAnsi="华文仿宋" w:eastAsia="华文仿宋"/>
          <w:sz w:val="28"/>
          <w:szCs w:val="28"/>
        </w:rPr>
        <w:t>　　Etsy(ETSY)股价大涨，此前该公司宣布业绩及业绩展望均超出市场预期。</w:t>
      </w:r>
    </w:p>
    <w:p>
      <w:pPr>
        <w:pStyle w:val="19"/>
        <w:rPr>
          <w:rFonts w:ascii="华文仿宋" w:hAnsi="华文仿宋" w:eastAsia="华文仿宋"/>
          <w:sz w:val="28"/>
          <w:szCs w:val="28"/>
        </w:rPr>
      </w:pPr>
      <w:r>
        <w:rPr>
          <w:rFonts w:ascii="华文仿宋" w:hAnsi="华文仿宋" w:eastAsia="华文仿宋"/>
          <w:sz w:val="28"/>
          <w:szCs w:val="28"/>
        </w:rPr>
        <w:t>　　Booking Holdings(BKNG)股价攀升。这家原名为Priceline Group的公司在周二晚间宣布盈利与销售收入均超出市场预期。</w:t>
      </w:r>
    </w:p>
    <w:p>
      <w:pPr>
        <w:pStyle w:val="19"/>
        <w:rPr>
          <w:rFonts w:ascii="华文仿宋" w:hAnsi="华文仿宋" w:eastAsia="华文仿宋"/>
          <w:sz w:val="28"/>
          <w:szCs w:val="28"/>
        </w:rPr>
      </w:pPr>
      <w:r>
        <w:rPr>
          <w:rFonts w:ascii="华文仿宋" w:hAnsi="华文仿宋" w:eastAsia="华文仿宋"/>
          <w:sz w:val="28"/>
          <w:szCs w:val="28"/>
        </w:rPr>
        <w:t>　　Weight Watchers International(WTW)股价上扬，该公司在周二收盘后宣布盈利与销售收入均超出预期。</w:t>
      </w:r>
    </w:p>
    <w:p>
      <w:pPr>
        <w:pStyle w:val="19"/>
        <w:rPr>
          <w:rFonts w:ascii="华文仿宋" w:hAnsi="华文仿宋" w:eastAsia="华文仿宋"/>
          <w:sz w:val="28"/>
          <w:szCs w:val="28"/>
        </w:rPr>
      </w:pPr>
      <w:r>
        <w:rPr>
          <w:rFonts w:ascii="华文仿宋" w:hAnsi="华文仿宋" w:eastAsia="华文仿宋"/>
          <w:sz w:val="28"/>
          <w:szCs w:val="28"/>
        </w:rPr>
        <w:t>　　Celgene(CELG)股价下跌，该公司宣布美国食品与药物管理局(FDA)不准备批准该公司的一种用于多发性硬化症的药物的销售申请。</w:t>
      </w:r>
    </w:p>
    <w:p>
      <w:pPr>
        <w:pStyle w:val="19"/>
        <w:rPr>
          <w:rFonts w:ascii="华文仿宋" w:hAnsi="华文仿宋" w:eastAsia="华文仿宋"/>
          <w:sz w:val="28"/>
          <w:szCs w:val="28"/>
        </w:rPr>
      </w:pPr>
      <w:r>
        <w:rPr>
          <w:rFonts w:ascii="华文仿宋" w:hAnsi="华文仿宋" w:eastAsia="华文仿宋"/>
          <w:sz w:val="28"/>
          <w:szCs w:val="28"/>
        </w:rPr>
        <w:t>　　Hertz Global Holdings(HTZ)股价走低，此前该公司宣布盈利不及预期。</w:t>
      </w:r>
    </w:p>
    <w:p>
      <w:pPr>
        <w:pStyle w:val="19"/>
        <w:rPr>
          <w:rFonts w:ascii="华文仿宋" w:hAnsi="华文仿宋" w:eastAsia="华文仿宋"/>
          <w:sz w:val="28"/>
          <w:szCs w:val="28"/>
        </w:rPr>
      </w:pPr>
      <w:r>
        <w:rPr>
          <w:rFonts w:ascii="华文仿宋" w:hAnsi="华文仿宋" w:eastAsia="华文仿宋"/>
          <w:sz w:val="28"/>
          <w:szCs w:val="28"/>
        </w:rPr>
        <w:t>　　Papa John’s International(PZZA)股价下跌。在经历了动荡的一年后，该公司在当年的最后一个季度的盈利不及预期。此外该公司还表示其披萨已经不再是美国国家橄榄球联盟(NFL)的官方指定披萨。</w:t>
      </w:r>
    </w:p>
    <w:p>
      <w:pPr>
        <w:pStyle w:val="19"/>
        <w:rPr>
          <w:rFonts w:ascii="华文仿宋" w:hAnsi="华文仿宋" w:eastAsia="华文仿宋"/>
          <w:sz w:val="28"/>
          <w:szCs w:val="28"/>
        </w:rPr>
      </w:pPr>
      <w:r>
        <w:rPr>
          <w:rFonts w:ascii="华文仿宋" w:hAnsi="华文仿宋" w:eastAsia="华文仿宋"/>
          <w:sz w:val="28"/>
          <w:szCs w:val="28"/>
        </w:rPr>
        <w:t>　　Dick’s Sporting Goods(DKS)CEO Edward Stack周三早间宣布，该公司将不再销售突击型步枪，也不向任何21岁以下人士出售枪支。</w:t>
      </w:r>
    </w:p>
    <w:p>
      <w:pPr>
        <w:pStyle w:val="19"/>
        <w:rPr>
          <w:rFonts w:ascii="华文仿宋" w:hAnsi="华文仿宋" w:eastAsia="华文仿宋"/>
          <w:sz w:val="28"/>
          <w:szCs w:val="28"/>
        </w:rPr>
      </w:pPr>
      <w:r>
        <w:rPr>
          <w:rFonts w:ascii="华文仿宋" w:hAnsi="华文仿宋" w:eastAsia="华文仿宋"/>
          <w:sz w:val="28"/>
          <w:szCs w:val="28"/>
        </w:rPr>
        <w:t>　　经济数据面，美国四季度GDP增速从2.6%向下修正至2.5%，符合预期。周三没有美联储官员的讲话安排。</w:t>
      </w:r>
    </w:p>
    <w:p>
      <w:pPr>
        <w:pStyle w:val="19"/>
        <w:rPr>
          <w:rFonts w:ascii="华文仿宋" w:hAnsi="华文仿宋" w:eastAsia="华文仿宋"/>
          <w:sz w:val="28"/>
          <w:szCs w:val="28"/>
        </w:rPr>
      </w:pPr>
      <w:r>
        <w:rPr>
          <w:rFonts w:ascii="华文仿宋" w:hAnsi="华文仿宋" w:eastAsia="华文仿宋"/>
          <w:sz w:val="28"/>
          <w:szCs w:val="28"/>
        </w:rPr>
        <w:t>　　其他市场表现如何?</w:t>
      </w:r>
    </w:p>
    <w:p>
      <w:pPr>
        <w:pStyle w:val="19"/>
        <w:rPr>
          <w:rFonts w:ascii="华文仿宋" w:hAnsi="华文仿宋" w:eastAsia="华文仿宋"/>
          <w:sz w:val="28"/>
          <w:szCs w:val="28"/>
        </w:rPr>
      </w:pPr>
      <w:r>
        <w:rPr>
          <w:rFonts w:ascii="华文仿宋" w:hAnsi="华文仿宋" w:eastAsia="华文仿宋"/>
          <w:sz w:val="28"/>
          <w:szCs w:val="28"/>
        </w:rPr>
        <w:t>　　周三亚洲市场大幅收跌，跟随了昨日美联储主席鲍威尔讲话激起的美股下挫趋势。</w:t>
      </w:r>
    </w:p>
    <w:p>
      <w:pPr>
        <w:pStyle w:val="19"/>
        <w:rPr>
          <w:rFonts w:ascii="华文仿宋" w:hAnsi="华文仿宋" w:eastAsia="华文仿宋"/>
          <w:sz w:val="28"/>
          <w:szCs w:val="28"/>
        </w:rPr>
      </w:pPr>
      <w:r>
        <w:rPr>
          <w:rFonts w:ascii="华文仿宋" w:hAnsi="华文仿宋" w:eastAsia="华文仿宋"/>
          <w:sz w:val="28"/>
          <w:szCs w:val="28"/>
        </w:rPr>
        <w:t>　　欧洲股市方面，欧洲泛欧绩优300指数周三收盘下跌0.65%;英国富时100指数周三收盘下跌0.56%;德国DAX指数周三收盘下跌0.45%;法国CAC指数周三收盘下跌0.4%。</w:t>
      </w:r>
    </w:p>
    <w:p>
      <w:pPr>
        <w:pStyle w:val="19"/>
        <w:rPr>
          <w:rFonts w:ascii="华文仿宋" w:hAnsi="华文仿宋" w:eastAsia="华文仿宋"/>
          <w:sz w:val="28"/>
          <w:szCs w:val="28"/>
        </w:rPr>
      </w:pPr>
      <w:r>
        <w:rPr>
          <w:rFonts w:ascii="华文仿宋" w:hAnsi="华文仿宋" w:eastAsia="华文仿宋"/>
          <w:sz w:val="28"/>
          <w:szCs w:val="28"/>
        </w:rPr>
        <w:t>　　周三，纽约商品交易所4月份交割的黄金期货价格下跌70美分，跌幅不到0.1%，收于1317.90美元/盎司。盘中大多数时间内金价维持上涨，但在收盘前最后时刻转跌。</w:t>
      </w:r>
    </w:p>
    <w:p>
      <w:pPr>
        <w:pStyle w:val="19"/>
        <w:rPr>
          <w:rFonts w:ascii="华文仿宋" w:hAnsi="华文仿宋" w:eastAsia="华文仿宋"/>
          <w:sz w:val="28"/>
          <w:szCs w:val="28"/>
        </w:rPr>
      </w:pPr>
      <w:r>
        <w:rPr>
          <w:rFonts w:ascii="华文仿宋" w:hAnsi="华文仿宋" w:eastAsia="华文仿宋"/>
          <w:sz w:val="28"/>
          <w:szCs w:val="28"/>
        </w:rPr>
        <w:t>　　周三黄金期货收盘价格是2月9日以来的最低收盘价格。本月黄金期货价格累计下跌约1.8%。</w:t>
      </w:r>
    </w:p>
    <w:p>
      <w:pPr>
        <w:pStyle w:val="19"/>
        <w:rPr>
          <w:rFonts w:ascii="华文仿宋" w:hAnsi="华文仿宋" w:eastAsia="华文仿宋"/>
          <w:sz w:val="28"/>
          <w:szCs w:val="28"/>
        </w:rPr>
      </w:pPr>
      <w:r>
        <w:rPr>
          <w:rFonts w:ascii="华文仿宋" w:hAnsi="华文仿宋" w:eastAsia="华文仿宋"/>
          <w:sz w:val="28"/>
          <w:szCs w:val="28"/>
        </w:rPr>
        <w:t>　　5月份交割的白银期货价格下跌2.7美分，跌幅0.2%，收于16.407美元/盎司。该合约在2月份累计下跌超过5%。</w:t>
      </w:r>
    </w:p>
    <w:p>
      <w:pPr>
        <w:pStyle w:val="19"/>
        <w:rPr>
          <w:rFonts w:ascii="华文仿宋" w:hAnsi="华文仿宋" w:eastAsia="华文仿宋"/>
          <w:sz w:val="28"/>
          <w:szCs w:val="28"/>
        </w:rPr>
      </w:pPr>
      <w:r>
        <w:rPr>
          <w:rFonts w:ascii="华文仿宋" w:hAnsi="华文仿宋" w:eastAsia="华文仿宋"/>
          <w:sz w:val="28"/>
          <w:szCs w:val="28"/>
        </w:rPr>
        <w:t>　　周三纽约商品交易所4月交割的原油期货价格下跌1.37美元，跌幅2.2%，收于61.64美元/桶，为2月16日以来的最低收盘价。</w:t>
      </w:r>
    </w:p>
    <w:p>
      <w:pPr>
        <w:outlineLvl w:val="1"/>
        <w:rPr>
          <w:rFonts w:hint="eastAsia" w:ascii="华文仿宋" w:hAnsi="华文仿宋" w:eastAsia="华文仿宋" w:cs="宋体"/>
          <w:kern w:val="0"/>
          <w:sz w:val="28"/>
          <w:szCs w:val="28"/>
        </w:rPr>
      </w:pPr>
    </w:p>
    <w:p>
      <w:pPr>
        <w:pStyle w:val="19"/>
        <w:outlineLvl w:val="1"/>
        <w:rPr>
          <w:rFonts w:hint="eastAsia" w:ascii="黑体" w:eastAsia="黑体"/>
          <w:b/>
          <w:sz w:val="28"/>
          <w:szCs w:val="28"/>
        </w:rPr>
      </w:pPr>
      <w:bookmarkStart w:id="17" w:name="_Toc504051941"/>
      <w:r>
        <w:rPr>
          <w:rFonts w:hint="eastAsia" w:ascii="黑体" w:eastAsia="黑体"/>
          <w:b/>
          <w:sz w:val="28"/>
          <w:szCs w:val="28"/>
        </w:rPr>
        <w:t>3、世界经济形势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《线索Clues》汇编的“环球市场综述”浓缩全球主要金融市场要闻，覆盖中国投资者重点关注的股市、大宗商品、外汇等市场，帮助用户高效吸收新近市场动态。</w:t>
      </w:r>
    </w:p>
    <w:p>
      <w:pPr>
        <w:pStyle w:val="19"/>
        <w:rPr>
          <w:rFonts w:ascii="华文仿宋" w:hAnsi="华文仿宋" w:eastAsia="华文仿宋"/>
          <w:sz w:val="28"/>
          <w:szCs w:val="28"/>
        </w:rPr>
      </w:pPr>
      <w:r>
        <w:rPr>
          <w:rFonts w:ascii="华文仿宋" w:hAnsi="华文仿宋" w:eastAsia="华文仿宋"/>
          <w:sz w:val="28"/>
          <w:szCs w:val="28"/>
        </w:rPr>
        <w:t>　　以下为22：30综述：</w:t>
      </w:r>
    </w:p>
    <w:p>
      <w:pPr>
        <w:pStyle w:val="19"/>
        <w:rPr>
          <w:rFonts w:ascii="华文仿宋" w:hAnsi="华文仿宋" w:eastAsia="华文仿宋"/>
          <w:sz w:val="28"/>
          <w:szCs w:val="28"/>
        </w:rPr>
      </w:pPr>
      <w:r>
        <w:rPr>
          <w:rFonts w:ascii="华文仿宋" w:hAnsi="华文仿宋" w:eastAsia="华文仿宋"/>
          <w:sz w:val="28"/>
          <w:szCs w:val="28"/>
        </w:rPr>
        <w:t>　　【市场焦点】</w:t>
      </w:r>
    </w:p>
    <w:p>
      <w:pPr>
        <w:pStyle w:val="19"/>
        <w:rPr>
          <w:rFonts w:ascii="华文仿宋" w:hAnsi="华文仿宋" w:eastAsia="华文仿宋"/>
          <w:sz w:val="28"/>
          <w:szCs w:val="28"/>
        </w:rPr>
      </w:pPr>
      <w:r>
        <w:rPr>
          <w:rFonts w:ascii="华文仿宋" w:hAnsi="华文仿宋" w:eastAsia="华文仿宋"/>
          <w:sz w:val="28"/>
          <w:szCs w:val="28"/>
        </w:rPr>
        <w:t>　　A股走势分化，创指收涨0.58%，收获三连阳;上证50大跌1.65%，连续两日下跌。在新任主席鲍威尔暗示美联储将继续加息以遏制通胀后，美国10年期国债收益率升至2.915%，道指下跌了299点，美元指数重回90上方。新浪财经正全程报道“瑞-达利欧(Ray Dalio)中国行“。</w:t>
      </w:r>
    </w:p>
    <w:p>
      <w:pPr>
        <w:pStyle w:val="19"/>
        <w:rPr>
          <w:rFonts w:ascii="华文仿宋" w:hAnsi="华文仿宋" w:eastAsia="华文仿宋"/>
          <w:sz w:val="28"/>
          <w:szCs w:val="28"/>
        </w:rPr>
      </w:pPr>
      <w:r>
        <w:rPr>
          <w:rFonts w:ascii="华文仿宋" w:hAnsi="华文仿宋" w:eastAsia="华文仿宋"/>
          <w:sz w:val="28"/>
          <w:szCs w:val="28"/>
        </w:rPr>
        <w:t>　　1、A股今日走势继续分化。截至收盘，权重蓝筹代表上证50指数(510050)跌1.65%，连续两日下跌;创业板指涨0.58%，收获三连阳，该指数昨日涨0.83%。</w:t>
      </w:r>
    </w:p>
    <w:p>
      <w:pPr>
        <w:pStyle w:val="19"/>
        <w:rPr>
          <w:rFonts w:ascii="华文仿宋" w:hAnsi="华文仿宋" w:eastAsia="华文仿宋"/>
          <w:sz w:val="28"/>
          <w:szCs w:val="28"/>
        </w:rPr>
      </w:pPr>
      <w:r>
        <w:rPr>
          <w:rFonts w:ascii="华文仿宋" w:hAnsi="华文仿宋" w:eastAsia="华文仿宋"/>
          <w:sz w:val="28"/>
          <w:szCs w:val="28"/>
        </w:rPr>
        <w:t>　　对于近期中小创个股持续走强现象，太平洋证券分析师周雨认为，中小创领涨主要有以下几大原因：1、对蓝筹以及“成长”的分歧再现，老板电器等业绩不及预期引发了市场对业绩蓝筹股的担忧;2、创业板指数经过连续两年下跌后大部分个股大幅下跌，从投机角度看“看上去很便宜”，恰逢年报披露后业绩爆雷频现，“利空出尽即利好”思维主导了阶段性行情;3、市场将IPO暂缓与注册制授权延期解读为对中小创的利好，提振了市场风险偏好，流动性偏紧、高风险偏好构成了中小创领涨的环境。</w:t>
      </w:r>
    </w:p>
    <w:p>
      <w:pPr>
        <w:pStyle w:val="19"/>
        <w:rPr>
          <w:rFonts w:ascii="华文仿宋" w:hAnsi="华文仿宋" w:eastAsia="华文仿宋"/>
          <w:sz w:val="28"/>
          <w:szCs w:val="28"/>
        </w:rPr>
      </w:pPr>
      <w:r>
        <w:rPr>
          <w:rFonts w:ascii="华文仿宋" w:hAnsi="华文仿宋" w:eastAsia="华文仿宋"/>
          <w:sz w:val="28"/>
          <w:szCs w:val="28"/>
        </w:rPr>
        <w:t>　　相关数据显示，今年以来，不少中小创个股持股集中度迅速提升，部分机构及外资持续加仓。其中，主流中小创ETF基金备受青睐。易方达创业板ETF(159915)、华安创业板50ETF(159949)、南方中证500ETF(510500)合计加仓金额超过80亿元。</w:t>
      </w:r>
    </w:p>
    <w:p>
      <w:pPr>
        <w:pStyle w:val="19"/>
        <w:rPr>
          <w:rFonts w:ascii="华文仿宋" w:hAnsi="华文仿宋" w:eastAsia="华文仿宋"/>
          <w:sz w:val="28"/>
          <w:szCs w:val="28"/>
        </w:rPr>
      </w:pPr>
      <w:r>
        <w:rPr>
          <w:rFonts w:ascii="华文仿宋" w:hAnsi="华文仿宋" w:eastAsia="华文仿宋"/>
          <w:sz w:val="28"/>
          <w:szCs w:val="28"/>
        </w:rPr>
        <w:t>　　“白马股”代表老板电器(002508)、洋河股份(002304)与索菲亚(002572)等消费、零售板块业绩不及预期，遭遇机构抛售。</w:t>
      </w:r>
    </w:p>
    <w:p>
      <w:pPr>
        <w:pStyle w:val="19"/>
        <w:rPr>
          <w:rFonts w:ascii="华文仿宋" w:hAnsi="华文仿宋" w:eastAsia="华文仿宋"/>
          <w:sz w:val="28"/>
          <w:szCs w:val="28"/>
        </w:rPr>
      </w:pPr>
      <w:r>
        <w:rPr>
          <w:rFonts w:ascii="华文仿宋" w:hAnsi="华文仿宋" w:eastAsia="华文仿宋"/>
          <w:sz w:val="28"/>
          <w:szCs w:val="28"/>
        </w:rPr>
        <w:t>　　恒生指数大跌1.36%，报30844.72点，失守31000点关口，月跌6.21%，创2016年1月以来最大月跌幅。国企指数跌2.09%，报12382.08点。</w:t>
      </w:r>
    </w:p>
    <w:p>
      <w:pPr>
        <w:pStyle w:val="19"/>
        <w:rPr>
          <w:rFonts w:ascii="华文仿宋" w:hAnsi="华文仿宋" w:eastAsia="华文仿宋"/>
          <w:sz w:val="28"/>
          <w:szCs w:val="28"/>
        </w:rPr>
      </w:pPr>
      <w:r>
        <w:rPr>
          <w:rFonts w:ascii="华文仿宋" w:hAnsi="华文仿宋" w:eastAsia="华文仿宋"/>
          <w:sz w:val="28"/>
          <w:szCs w:val="28"/>
        </w:rPr>
        <w:t>　　2、在新任主席鲍威尔暗示美联储将继续加息以遏制通胀之后，美国10年期国债收益率上升5个基点，至2.915%。道琼斯(25029.1992, -380.83,-1.50%)指数下跌了299点。美元指数重回90上方。</w:t>
      </w:r>
    </w:p>
    <w:p>
      <w:pPr>
        <w:pStyle w:val="19"/>
        <w:rPr>
          <w:rFonts w:ascii="华文仿宋" w:hAnsi="华文仿宋" w:eastAsia="华文仿宋"/>
          <w:sz w:val="28"/>
          <w:szCs w:val="28"/>
        </w:rPr>
      </w:pPr>
      <w:r>
        <w:rPr>
          <w:rFonts w:ascii="华文仿宋" w:hAnsi="华文仿宋" w:eastAsia="华文仿宋"/>
          <w:sz w:val="28"/>
          <w:szCs w:val="28"/>
        </w:rPr>
        <w:t>　　美国当地时间2月27日，新任美联储主席鲍威尔在美国众议院举行的听证会上表示，将进一步渐进式加息，美国经济展望维持强劲。市场波动将不会阻止更多加息，他也无意改变美联储之前制定的缩表计划。彭博报道分析称，鲍威尔对美联储今年加息四次的可能性敞开了大门。</w:t>
      </w:r>
    </w:p>
    <w:p>
      <w:pPr>
        <w:pStyle w:val="19"/>
        <w:rPr>
          <w:rFonts w:ascii="华文仿宋" w:hAnsi="华文仿宋" w:eastAsia="华文仿宋"/>
          <w:sz w:val="28"/>
          <w:szCs w:val="28"/>
        </w:rPr>
      </w:pPr>
      <w:r>
        <w:rPr>
          <w:rFonts w:ascii="华文仿宋" w:hAnsi="华文仿宋" w:eastAsia="华文仿宋"/>
          <w:sz w:val="28"/>
          <w:szCs w:val="28"/>
        </w:rPr>
        <w:t>　　北京时间周三21：30，美国将公布四季度国内生产总值(GDP)数据(第二次读数)。</w:t>
      </w:r>
    </w:p>
    <w:p>
      <w:pPr>
        <w:pStyle w:val="19"/>
        <w:rPr>
          <w:rFonts w:ascii="华文仿宋" w:hAnsi="华文仿宋" w:eastAsia="华文仿宋"/>
          <w:sz w:val="28"/>
          <w:szCs w:val="28"/>
        </w:rPr>
      </w:pPr>
      <w:r>
        <w:rPr>
          <w:rFonts w:ascii="华文仿宋" w:hAnsi="华文仿宋" w:eastAsia="华文仿宋"/>
          <w:sz w:val="28"/>
          <w:szCs w:val="28"/>
        </w:rPr>
        <w:t>　　3、全球最大对冲基金桥水基金(Bridgewater)创始人瑞-达利欧(Ray Dalio)携新书《原则》来到中国。2月26日-3月2日，新浪财经全程报道“瑞-达利欧(Ray Dalio)中国行“。</w:t>
      </w:r>
    </w:p>
    <w:p>
      <w:pPr>
        <w:pStyle w:val="19"/>
        <w:rPr>
          <w:rFonts w:ascii="华文仿宋" w:hAnsi="华文仿宋" w:eastAsia="华文仿宋"/>
          <w:sz w:val="28"/>
          <w:szCs w:val="28"/>
        </w:rPr>
      </w:pPr>
      <w:r>
        <w:rPr>
          <w:rFonts w:ascii="华文仿宋" w:hAnsi="华文仿宋" w:eastAsia="华文仿宋"/>
          <w:sz w:val="28"/>
          <w:szCs w:val="28"/>
        </w:rPr>
        <w:t>　　【亚太股市】创业板指三连阳、上证50重挫1.65%</w:t>
      </w:r>
    </w:p>
    <w:p>
      <w:pPr>
        <w:pStyle w:val="19"/>
        <w:rPr>
          <w:rFonts w:ascii="华文仿宋" w:hAnsi="华文仿宋" w:eastAsia="华文仿宋"/>
          <w:sz w:val="28"/>
          <w:szCs w:val="28"/>
        </w:rPr>
      </w:pPr>
      <w:r>
        <w:rPr>
          <w:rFonts w:ascii="华文仿宋" w:hAnsi="华文仿宋" w:eastAsia="华文仿宋"/>
          <w:sz w:val="28"/>
          <w:szCs w:val="28"/>
        </w:rPr>
        <w:t>　　A股：周三收盘，沪指(000001)下跌0.99%，报3259.41;深成指(202017)上涨0.20%，报10828.73;创业板指上涨0.58%，报1753.63。权重蓝筹代表上证50指数下跌1.65%。</w:t>
      </w:r>
    </w:p>
    <w:p>
      <w:pPr>
        <w:pStyle w:val="19"/>
        <w:rPr>
          <w:rFonts w:ascii="华文仿宋" w:hAnsi="华文仿宋" w:eastAsia="华文仿宋"/>
          <w:sz w:val="28"/>
          <w:szCs w:val="28"/>
        </w:rPr>
      </w:pPr>
      <w:r>
        <w:rPr>
          <w:rFonts w:ascii="华文仿宋" w:hAnsi="华文仿宋" w:eastAsia="华文仿宋"/>
          <w:sz w:val="28"/>
          <w:szCs w:val="28"/>
        </w:rPr>
        <w:t>　　1、国家统计局公布数据，2017年全年国内生产总值827122亿元，比上年增长6.9%。人均国内生产总值59660元，增长6.3%。</w:t>
      </w:r>
    </w:p>
    <w:p>
      <w:pPr>
        <w:pStyle w:val="19"/>
        <w:rPr>
          <w:rFonts w:ascii="华文仿宋" w:hAnsi="华文仿宋" w:eastAsia="华文仿宋"/>
          <w:sz w:val="28"/>
          <w:szCs w:val="28"/>
        </w:rPr>
      </w:pPr>
      <w:r>
        <w:rPr>
          <w:rFonts w:ascii="华文仿宋" w:hAnsi="华文仿宋" w:eastAsia="华文仿宋"/>
          <w:sz w:val="28"/>
          <w:szCs w:val="28"/>
        </w:rPr>
        <w:t>　　2、2018年2月份，中国官方制造业采购经理指数(PMI)为50.3%，比上月回落1.0个百分点，制造业总体延续扩张态势，增速有所放缓。国家统计局高级统计师赵庆河表示，从历史数据看，春节所在月份的PMI大多会出现一些调整，2月份该指数的回落属于正常波动。主要特征有生产活动减缓，需求增速放慢等。春节前后是制造业的传统生产淡季，企业普遍停工减产，市场活跃度减弱。</w:t>
      </w:r>
    </w:p>
    <w:p>
      <w:pPr>
        <w:pStyle w:val="19"/>
        <w:rPr>
          <w:rFonts w:ascii="华文仿宋" w:hAnsi="华文仿宋" w:eastAsia="华文仿宋"/>
          <w:sz w:val="28"/>
          <w:szCs w:val="28"/>
        </w:rPr>
      </w:pPr>
      <w:r>
        <w:rPr>
          <w:rFonts w:ascii="华文仿宋" w:hAnsi="华文仿宋" w:eastAsia="华文仿宋"/>
          <w:sz w:val="28"/>
          <w:szCs w:val="28"/>
        </w:rPr>
        <w:t>　　中信建投宏观分析称，2月制造业PMI趋势继续下行，其中生产趋势回落较大、需求跌幅扩大。从高频数据来看，2018年春节期间发电耗煤回落的持续时间比2017年更长。这符合其对2018年经济的总体判断——由于产业转型和经济增长动能转换，今年生产、需求都可能温和回落。</w:t>
      </w:r>
    </w:p>
    <w:p>
      <w:pPr>
        <w:pStyle w:val="19"/>
        <w:rPr>
          <w:rFonts w:ascii="华文仿宋" w:hAnsi="华文仿宋" w:eastAsia="华文仿宋"/>
          <w:sz w:val="28"/>
          <w:szCs w:val="28"/>
        </w:rPr>
      </w:pPr>
      <w:r>
        <w:rPr>
          <w:rFonts w:ascii="华文仿宋" w:hAnsi="华文仿宋" w:eastAsia="华文仿宋"/>
          <w:sz w:val="28"/>
          <w:szCs w:val="28"/>
        </w:rPr>
        <w:t>　　3、美国商务部做出最终裁定，对进口中国的铝箔征收反倾销和反补贴税，合计最高可能超过180%。</w:t>
      </w:r>
    </w:p>
    <w:p>
      <w:pPr>
        <w:pStyle w:val="19"/>
        <w:rPr>
          <w:rFonts w:ascii="华文仿宋" w:hAnsi="华文仿宋" w:eastAsia="华文仿宋"/>
          <w:sz w:val="28"/>
          <w:szCs w:val="28"/>
        </w:rPr>
      </w:pPr>
      <w:r>
        <w:rPr>
          <w:rFonts w:ascii="华文仿宋" w:hAnsi="华文仿宋" w:eastAsia="华文仿宋"/>
          <w:sz w:val="28"/>
          <w:szCs w:val="28"/>
        </w:rPr>
        <w:t>　　港股：恒生指数(501302)收跌1.36%，报30844.72点，失守31000点关口，月跌6.21%，创2016年1月以来最大月跌幅。国企指数跌2.09%，报12382.08点;红筹指数跌1.26%，报4519.44点。</w:t>
      </w:r>
    </w:p>
    <w:p>
      <w:pPr>
        <w:pStyle w:val="19"/>
        <w:rPr>
          <w:rFonts w:ascii="华文仿宋" w:hAnsi="华文仿宋" w:eastAsia="华文仿宋"/>
          <w:sz w:val="28"/>
          <w:szCs w:val="28"/>
        </w:rPr>
      </w:pPr>
      <w:r>
        <w:rPr>
          <w:rFonts w:ascii="华文仿宋" w:hAnsi="华文仿宋" w:eastAsia="华文仿宋"/>
          <w:sz w:val="28"/>
          <w:szCs w:val="28"/>
        </w:rPr>
        <w:t>　　【美欧股市】鲍威尔国会首秀 道指大跌近300点</w:t>
      </w:r>
    </w:p>
    <w:p>
      <w:pPr>
        <w:pStyle w:val="19"/>
        <w:rPr>
          <w:rFonts w:ascii="华文仿宋" w:hAnsi="华文仿宋" w:eastAsia="华文仿宋"/>
          <w:sz w:val="28"/>
          <w:szCs w:val="28"/>
        </w:rPr>
      </w:pPr>
      <w:r>
        <w:rPr>
          <w:rFonts w:ascii="华文仿宋" w:hAnsi="华文仿宋" w:eastAsia="华文仿宋"/>
          <w:sz w:val="28"/>
          <w:szCs w:val="28"/>
        </w:rPr>
        <w:t>　　美股：美东时间2月28日09：30(北京时间2月28日22：30)，道指涨101.28点，或0.40%，报25，511.31点;标普500指数涨11.95点，或0.44%，报2，756.23点;纳指涨38.65点，或0.53%，报7，369.00点。</w:t>
      </w:r>
    </w:p>
    <w:p>
      <w:pPr>
        <w:pStyle w:val="19"/>
        <w:rPr>
          <w:rFonts w:ascii="华文仿宋" w:hAnsi="华文仿宋" w:eastAsia="华文仿宋"/>
          <w:sz w:val="28"/>
          <w:szCs w:val="28"/>
        </w:rPr>
      </w:pPr>
      <w:r>
        <w:rPr>
          <w:rFonts w:ascii="华文仿宋" w:hAnsi="华文仿宋" w:eastAsia="华文仿宋"/>
          <w:sz w:val="28"/>
          <w:szCs w:val="28"/>
        </w:rPr>
        <w:t>　　周二收盘，道指(DIA)跌299.24点，或1.16%，报25，410.03点;标普500指数(SPY)跌35.32点，或1.27%，报2，744.28点;纳指(QQQ)跌91.11点，或1.23%，报7，330.35点。</w:t>
      </w:r>
    </w:p>
    <w:p>
      <w:pPr>
        <w:pStyle w:val="19"/>
        <w:rPr>
          <w:rFonts w:ascii="华文仿宋" w:hAnsi="华文仿宋" w:eastAsia="华文仿宋"/>
          <w:sz w:val="28"/>
          <w:szCs w:val="28"/>
        </w:rPr>
      </w:pPr>
      <w:r>
        <w:rPr>
          <w:rFonts w:ascii="华文仿宋" w:hAnsi="华文仿宋" w:eastAsia="华文仿宋"/>
          <w:sz w:val="28"/>
          <w:szCs w:val="28"/>
        </w:rPr>
        <w:t>　　北京时间28日晚消息，美国商务部周三公布，美国去年第四季度GDP增长速度下修至2.5%，符合经济学家预期。相较初值的2.6%小幅下调，表明美国四季度GDP增速较三季度的3.2%增速有所下滑，主要因为库存增加规模有所减少。</w:t>
      </w:r>
    </w:p>
    <w:p>
      <w:pPr>
        <w:pStyle w:val="19"/>
        <w:rPr>
          <w:rFonts w:ascii="华文仿宋" w:hAnsi="华文仿宋" w:eastAsia="华文仿宋"/>
          <w:sz w:val="28"/>
          <w:szCs w:val="28"/>
        </w:rPr>
      </w:pPr>
      <w:r>
        <w:rPr>
          <w:rFonts w:ascii="华文仿宋" w:hAnsi="华文仿宋" w:eastAsia="华文仿宋"/>
          <w:sz w:val="28"/>
          <w:szCs w:val="28"/>
        </w:rPr>
        <w:t>　　在新任主席鲍威尔暗示美联储将继续加息以遏制通胀之后，国债收益率大幅上升，美国10年期国债收益率上升5个基点，至2.915%。道琼斯指数下跌了299点。</w:t>
      </w:r>
    </w:p>
    <w:p>
      <w:pPr>
        <w:pStyle w:val="19"/>
        <w:rPr>
          <w:rFonts w:ascii="华文仿宋" w:hAnsi="华文仿宋" w:eastAsia="华文仿宋"/>
          <w:sz w:val="28"/>
          <w:szCs w:val="28"/>
        </w:rPr>
      </w:pPr>
      <w:r>
        <w:rPr>
          <w:rFonts w:ascii="华文仿宋" w:hAnsi="华文仿宋" w:eastAsia="华文仿宋"/>
          <w:sz w:val="28"/>
          <w:szCs w:val="28"/>
        </w:rPr>
        <w:t>　　当地时间2月27日，新任美联储主席鲍威尔在美国众议院举行的听证会上表示，将进一步渐进式加息，美国经济展望维持强劲。市场波动将不会阻止更多加息，他也无意改变美联储之前制定的缩表计划。</w:t>
      </w:r>
    </w:p>
    <w:p>
      <w:pPr>
        <w:pStyle w:val="19"/>
        <w:rPr>
          <w:rFonts w:ascii="华文仿宋" w:hAnsi="华文仿宋" w:eastAsia="华文仿宋"/>
          <w:sz w:val="28"/>
          <w:szCs w:val="28"/>
        </w:rPr>
      </w:pPr>
      <w:r>
        <w:rPr>
          <w:rFonts w:ascii="华文仿宋" w:hAnsi="华文仿宋" w:eastAsia="华文仿宋"/>
          <w:sz w:val="28"/>
          <w:szCs w:val="28"/>
        </w:rPr>
        <w:t>　　美东时间周四10：00(北京时间周四23：00)，鲍威尔还将赴美国参议院参加银行委员会的审查半年度货币政策报告的听证会。</w:t>
      </w:r>
    </w:p>
    <w:p>
      <w:pPr>
        <w:pStyle w:val="19"/>
        <w:rPr>
          <w:rFonts w:ascii="华文仿宋" w:hAnsi="华文仿宋" w:eastAsia="华文仿宋"/>
          <w:sz w:val="28"/>
          <w:szCs w:val="28"/>
        </w:rPr>
      </w:pPr>
      <w:r>
        <w:rPr>
          <w:rFonts w:ascii="华文仿宋" w:hAnsi="华文仿宋" w:eastAsia="华文仿宋"/>
          <w:sz w:val="28"/>
          <w:szCs w:val="28"/>
        </w:rPr>
        <w:t>　　美国一月耐用品订单下跌3.7%，预期为下跌2.4%。谘商会消费者信心读数131(预期为126)，创17年来新高。该指数考虑了美国人对当前经济状况的看法以及他们对未来6个月的预期。12月美国20个城市房价指数同比攀升6.3%(市场预估为6.4%)，此前一个月同比涨幅为6.4%。</w:t>
      </w:r>
    </w:p>
    <w:p>
      <w:pPr>
        <w:pStyle w:val="19"/>
        <w:rPr>
          <w:rFonts w:ascii="华文仿宋" w:hAnsi="华文仿宋" w:eastAsia="华文仿宋"/>
          <w:sz w:val="28"/>
          <w:szCs w:val="28"/>
        </w:rPr>
      </w:pPr>
      <w:r>
        <w:rPr>
          <w:rFonts w:ascii="华文仿宋" w:hAnsi="华文仿宋" w:eastAsia="华文仿宋"/>
          <w:sz w:val="28"/>
          <w:szCs w:val="28"/>
        </w:rPr>
        <w:t>　　美国商务部周二公布的数据显示，美国1月份商品贸易逆差扩大到逾九年来最高。商品贸易逆差从此前一个月的723亿美元增加到744亿美元(市场预估为723亿美元)。</w:t>
      </w:r>
    </w:p>
    <w:p>
      <w:pPr>
        <w:pStyle w:val="19"/>
        <w:rPr>
          <w:rFonts w:ascii="华文仿宋" w:hAnsi="华文仿宋" w:eastAsia="华文仿宋"/>
          <w:sz w:val="28"/>
          <w:szCs w:val="28"/>
        </w:rPr>
      </w:pPr>
      <w:r>
        <w:rPr>
          <w:rFonts w:ascii="华文仿宋" w:hAnsi="华文仿宋" w:eastAsia="华文仿宋"/>
          <w:sz w:val="28"/>
          <w:szCs w:val="28"/>
        </w:rPr>
        <w:t>　　康卡斯特(36.21, -0.45, -1.23%)(CMCSA)股价下跌超过7%，这家全球性电信行业集团表示，已提出以308.7亿美元收购Sky PLC SKY的计划。这一报价高于鲁珀特-默多克(Rupert Murdoch)旗下21世纪福克斯(36.82, -0.81, -2.15%)(FOX)提出的收购其在Sky未获得的剩余61%股份的报价。Sky股价攀升20%。</w:t>
      </w:r>
    </w:p>
    <w:p>
      <w:pPr>
        <w:pStyle w:val="19"/>
        <w:rPr>
          <w:rFonts w:ascii="华文仿宋" w:hAnsi="华文仿宋" w:eastAsia="华文仿宋"/>
          <w:sz w:val="28"/>
          <w:szCs w:val="28"/>
        </w:rPr>
      </w:pPr>
      <w:r>
        <w:rPr>
          <w:rFonts w:ascii="华文仿宋" w:hAnsi="华文仿宋" w:eastAsia="华文仿宋"/>
          <w:sz w:val="28"/>
          <w:szCs w:val="28"/>
        </w:rPr>
        <w:t>　　Macy’s(M)股价上涨近3.5%，此前该公司公布财报收益好于预期。在接受CNBC采访时，首席执行官杰夫-根奈特表示，1月份同店销售额增长了3%。</w:t>
      </w:r>
    </w:p>
    <w:p>
      <w:pPr>
        <w:pStyle w:val="19"/>
        <w:rPr>
          <w:rFonts w:ascii="华文仿宋" w:hAnsi="华文仿宋" w:eastAsia="华文仿宋"/>
          <w:sz w:val="28"/>
          <w:szCs w:val="28"/>
        </w:rPr>
      </w:pPr>
      <w:r>
        <w:rPr>
          <w:rFonts w:ascii="华文仿宋" w:hAnsi="华文仿宋" w:eastAsia="华文仿宋"/>
          <w:sz w:val="28"/>
          <w:szCs w:val="28"/>
        </w:rPr>
        <w:t>　　2月27日，有参与谈判的人士向媒体透露，高通(65, -1.34, -2.02%)对于博通收购邀约的态度，已从最初的坚决反对变成愿意协商，但前提条件是收购报价要提高至1600亿美元(包括高通250亿美元债务)。但按照高通要求的1600亿美元计算，去掉250亿美元的债务，博通收购高通全部流通股的价格要达到1350亿美元，每股收购价格则超过90美元。对于高通的表态以及1600亿美元的报价，博通回应称，高通此举并不是在促成这项收购协议。</w:t>
      </w:r>
    </w:p>
    <w:p>
      <w:pPr>
        <w:pStyle w:val="19"/>
        <w:rPr>
          <w:rFonts w:ascii="华文仿宋" w:hAnsi="华文仿宋" w:eastAsia="华文仿宋"/>
          <w:sz w:val="28"/>
          <w:szCs w:val="28"/>
        </w:rPr>
      </w:pPr>
      <w:r>
        <w:rPr>
          <w:rFonts w:ascii="华文仿宋" w:hAnsi="华文仿宋" w:eastAsia="华文仿宋"/>
          <w:sz w:val="28"/>
          <w:szCs w:val="28"/>
        </w:rPr>
        <w:t>　　北京时间2月28日凌晨消息，爱奇艺申请在美国进行IPO。据招股书披露，爱奇艺融资目标15亿美元，但有可能有变动。相关知情人士去年表示，爱奇艺寻求的市场估值为100亿美元。截至2017年年底，爱奇艺拥有5080万订阅用户，所提供的视频流服务类似美国的Netflix(291.38, 0.77,0.27%)。</w:t>
      </w:r>
    </w:p>
    <w:p>
      <w:pPr>
        <w:pStyle w:val="19"/>
        <w:rPr>
          <w:rFonts w:ascii="华文仿宋" w:hAnsi="华文仿宋" w:eastAsia="华文仿宋"/>
          <w:sz w:val="28"/>
          <w:szCs w:val="28"/>
        </w:rPr>
      </w:pPr>
      <w:r>
        <w:rPr>
          <w:rFonts w:ascii="华文仿宋" w:hAnsi="华文仿宋" w:eastAsia="华文仿宋"/>
          <w:sz w:val="28"/>
          <w:szCs w:val="28"/>
        </w:rPr>
        <w:t>　　北京时间周三21：30，美国将公布四季度国内生产总值(GDP)数据(第二次读数)。此外还将公布1月份成屋签约销售数据。</w:t>
      </w:r>
    </w:p>
    <w:p>
      <w:pPr>
        <w:pStyle w:val="19"/>
        <w:rPr>
          <w:rFonts w:ascii="华文仿宋" w:hAnsi="华文仿宋" w:eastAsia="华文仿宋"/>
          <w:sz w:val="28"/>
          <w:szCs w:val="28"/>
        </w:rPr>
      </w:pPr>
      <w:r>
        <w:rPr>
          <w:rFonts w:ascii="华文仿宋" w:hAnsi="华文仿宋" w:eastAsia="华文仿宋"/>
          <w:sz w:val="28"/>
          <w:szCs w:val="28"/>
        </w:rPr>
        <w:t>　　欧洲股市：欧洲股市周一收涨。德国DAX指数(513030)收盘下跌0.38%;英国富时100指数(02847)收盘下跌0.14%;法国CAC指数周二收盘下跌0.14%。</w:t>
      </w:r>
    </w:p>
    <w:p>
      <w:pPr>
        <w:pStyle w:val="19"/>
        <w:rPr>
          <w:rFonts w:ascii="华文仿宋" w:hAnsi="华文仿宋" w:eastAsia="华文仿宋"/>
          <w:sz w:val="28"/>
          <w:szCs w:val="28"/>
        </w:rPr>
      </w:pPr>
      <w:r>
        <w:rPr>
          <w:rFonts w:ascii="华文仿宋" w:hAnsi="华文仿宋" w:eastAsia="华文仿宋"/>
          <w:sz w:val="28"/>
          <w:szCs w:val="28"/>
        </w:rPr>
        <w:t>　　【汇率】美元指数重回90上方</w:t>
      </w:r>
    </w:p>
    <w:p>
      <w:pPr>
        <w:pStyle w:val="19"/>
        <w:rPr>
          <w:rFonts w:ascii="华文仿宋" w:hAnsi="华文仿宋" w:eastAsia="华文仿宋"/>
          <w:sz w:val="28"/>
          <w:szCs w:val="28"/>
        </w:rPr>
      </w:pPr>
      <w:r>
        <w:rPr>
          <w:rFonts w:ascii="华文仿宋" w:hAnsi="华文仿宋" w:eastAsia="华文仿宋"/>
          <w:sz w:val="28"/>
          <w:szCs w:val="28"/>
        </w:rPr>
        <w:t>　　美元兑人民币(CYB)27日中间价，报6.3294，贬值148点。</w:t>
      </w:r>
    </w:p>
    <w:p>
      <w:pPr>
        <w:pStyle w:val="19"/>
        <w:rPr>
          <w:rFonts w:ascii="华文仿宋" w:hAnsi="华文仿宋" w:eastAsia="华文仿宋"/>
          <w:sz w:val="28"/>
          <w:szCs w:val="28"/>
        </w:rPr>
      </w:pPr>
      <w:r>
        <w:rPr>
          <w:rFonts w:ascii="华文仿宋" w:hAnsi="华文仿宋" w:eastAsia="华文仿宋"/>
          <w:sz w:val="28"/>
          <w:szCs w:val="28"/>
        </w:rPr>
        <w:t>　　在岸人民币(CNY)兑美元北京时间9：30，报6.3302</w:t>
      </w:r>
    </w:p>
    <w:p>
      <w:pPr>
        <w:pStyle w:val="19"/>
        <w:rPr>
          <w:rFonts w:ascii="华文仿宋" w:hAnsi="华文仿宋" w:eastAsia="华文仿宋"/>
          <w:sz w:val="28"/>
          <w:szCs w:val="28"/>
        </w:rPr>
      </w:pPr>
      <w:r>
        <w:rPr>
          <w:rFonts w:ascii="华文仿宋" w:hAnsi="华文仿宋" w:eastAsia="华文仿宋"/>
          <w:sz w:val="28"/>
          <w:szCs w:val="28"/>
        </w:rPr>
        <w:t>　　据新浪(116.93, 0.28, 0.24%)外汇数据，美元指数(美元兑6种货币贸易加权指数)(DXY)(UUP)北京时间9：30，报90.36</w:t>
      </w:r>
    </w:p>
    <w:p>
      <w:pPr>
        <w:pStyle w:val="19"/>
        <w:rPr>
          <w:rFonts w:ascii="华文仿宋" w:hAnsi="华文仿宋" w:eastAsia="华文仿宋"/>
          <w:sz w:val="28"/>
          <w:szCs w:val="28"/>
        </w:rPr>
      </w:pPr>
      <w:r>
        <w:rPr>
          <w:rFonts w:ascii="华文仿宋" w:hAnsi="华文仿宋" w:eastAsia="华文仿宋"/>
          <w:sz w:val="28"/>
          <w:szCs w:val="28"/>
        </w:rPr>
        <w:t>　　美联储主席鲍威尔27日在美国国会众议院出席听证会时表示，美联储进一步渐进加息将有助于实现充分就业和价格稳定两大政策目标。市场分析人士认为，鲍威尔的表态暗示美联储近期不太可能因减税等财政刺激政策而加快加息步伐。</w:t>
      </w:r>
    </w:p>
    <w:p>
      <w:pPr>
        <w:pStyle w:val="19"/>
        <w:rPr>
          <w:rFonts w:ascii="华文仿宋" w:hAnsi="华文仿宋" w:eastAsia="华文仿宋"/>
          <w:sz w:val="28"/>
          <w:szCs w:val="28"/>
        </w:rPr>
      </w:pPr>
      <w:r>
        <w:rPr>
          <w:rFonts w:ascii="华文仿宋" w:hAnsi="华文仿宋" w:eastAsia="华文仿宋"/>
          <w:sz w:val="28"/>
          <w:szCs w:val="28"/>
        </w:rPr>
        <w:t>　　目前市场普遍预期美联储将在3月份的议息会议上决定再次加息。美元指数当天上涨0.52%，在汇市尾市收于90.329。</w:t>
      </w:r>
    </w:p>
    <w:p>
      <w:pPr>
        <w:pStyle w:val="19"/>
        <w:rPr>
          <w:rFonts w:ascii="华文仿宋" w:hAnsi="华文仿宋" w:eastAsia="华文仿宋"/>
          <w:sz w:val="28"/>
          <w:szCs w:val="28"/>
        </w:rPr>
      </w:pPr>
      <w:r>
        <w:rPr>
          <w:rFonts w:ascii="华文仿宋" w:hAnsi="华文仿宋" w:eastAsia="华文仿宋"/>
          <w:sz w:val="28"/>
          <w:szCs w:val="28"/>
        </w:rPr>
        <w:t>　　分析人士指出，全球经济同步复苏的宏观背景，奠定了美元偏弱运行的大格局，但短期边际变化给已处于低位运行的美元增添变数。当前美元投机空头、欧元投机多头均接近历史高位，反而需要警惕单边交易的反转。未来一段时间，美联储加息进度、特朗普基建计划、欧洲政治因素等则有可能充当美元反弹的催化剂。</w:t>
      </w:r>
    </w:p>
    <w:p>
      <w:pPr>
        <w:pStyle w:val="19"/>
        <w:rPr>
          <w:rFonts w:ascii="华文仿宋" w:hAnsi="华文仿宋" w:eastAsia="华文仿宋"/>
          <w:sz w:val="28"/>
          <w:szCs w:val="28"/>
        </w:rPr>
      </w:pPr>
      <w:r>
        <w:rPr>
          <w:rFonts w:ascii="华文仿宋" w:hAnsi="华文仿宋" w:eastAsia="华文仿宋"/>
          <w:sz w:val="28"/>
          <w:szCs w:val="28"/>
        </w:rPr>
        <w:t>　　【利率】美国10Y国债收益率上升5个基点</w:t>
      </w:r>
    </w:p>
    <w:p>
      <w:pPr>
        <w:pStyle w:val="19"/>
        <w:rPr>
          <w:rFonts w:ascii="华文仿宋" w:hAnsi="华文仿宋" w:eastAsia="华文仿宋"/>
          <w:sz w:val="28"/>
          <w:szCs w:val="28"/>
        </w:rPr>
      </w:pPr>
      <w:r>
        <w:rPr>
          <w:rFonts w:ascii="华文仿宋" w:hAnsi="华文仿宋" w:eastAsia="华文仿宋"/>
          <w:sz w:val="28"/>
          <w:szCs w:val="28"/>
        </w:rPr>
        <w:t>　　据新浪财经互联网货基数据，截至2月27日，全市场互联网货基的平均7日年化收益率为4.26%。投资者也可以通过沪深交易所逆回购如GC001(204001)、R-001(131810)进行短期现金管理。</w:t>
      </w:r>
    </w:p>
    <w:p>
      <w:pPr>
        <w:pStyle w:val="19"/>
        <w:rPr>
          <w:rFonts w:ascii="华文仿宋" w:hAnsi="华文仿宋" w:eastAsia="华文仿宋"/>
          <w:sz w:val="28"/>
          <w:szCs w:val="28"/>
        </w:rPr>
      </w:pPr>
      <w:r>
        <w:rPr>
          <w:rFonts w:ascii="华文仿宋" w:hAnsi="华文仿宋" w:eastAsia="华文仿宋"/>
          <w:sz w:val="28"/>
          <w:szCs w:val="28"/>
        </w:rPr>
        <w:t>　　据中国货币网数据，截28日10：00，银行间市场存款类机构7天期质押式回购成交利率(DR007)报3.2%</w:t>
      </w:r>
    </w:p>
    <w:p>
      <w:pPr>
        <w:pStyle w:val="19"/>
        <w:rPr>
          <w:rFonts w:ascii="华文仿宋" w:hAnsi="华文仿宋" w:eastAsia="华文仿宋"/>
          <w:sz w:val="28"/>
          <w:szCs w:val="28"/>
        </w:rPr>
      </w:pPr>
      <w:r>
        <w:rPr>
          <w:rFonts w:ascii="华文仿宋" w:hAnsi="华文仿宋" w:eastAsia="华文仿宋"/>
          <w:sz w:val="28"/>
          <w:szCs w:val="28"/>
        </w:rPr>
        <w:t>　　中国10年期国债(160123)收益率，报3.865%。</w:t>
      </w:r>
    </w:p>
    <w:p>
      <w:pPr>
        <w:pStyle w:val="19"/>
        <w:rPr>
          <w:rFonts w:ascii="华文仿宋" w:hAnsi="华文仿宋" w:eastAsia="华文仿宋"/>
          <w:sz w:val="28"/>
          <w:szCs w:val="28"/>
        </w:rPr>
      </w:pPr>
      <w:r>
        <w:rPr>
          <w:rFonts w:ascii="华文仿宋" w:hAnsi="华文仿宋" w:eastAsia="华文仿宋"/>
          <w:sz w:val="28"/>
          <w:szCs w:val="28"/>
        </w:rPr>
        <w:t>　　本周前两个交易日，中金所10年期国债期货连续大涨。</w:t>
      </w:r>
    </w:p>
    <w:p>
      <w:pPr>
        <w:pStyle w:val="19"/>
        <w:rPr>
          <w:rFonts w:ascii="华文仿宋" w:hAnsi="华文仿宋" w:eastAsia="华文仿宋"/>
          <w:sz w:val="28"/>
          <w:szCs w:val="28"/>
        </w:rPr>
      </w:pPr>
      <w:r>
        <w:rPr>
          <w:rFonts w:ascii="华文仿宋" w:hAnsi="华文仿宋" w:eastAsia="华文仿宋"/>
          <w:sz w:val="28"/>
          <w:szCs w:val="28"/>
        </w:rPr>
        <w:t>　　被媒体冠予“中国债市第一多头”的九州证券全球首席经济学家邓海清团队表示，“十年期国债3.8以上闭着眼睛买”，其五点核心理由为：2018年经济下行压力巨大;“高通胀”杞人忧天;货币政策边际变化、流动性拐点已至;监管对债市影响高峰已过;中美利差无法制约中国债市。</w:t>
      </w:r>
    </w:p>
    <w:p>
      <w:pPr>
        <w:pStyle w:val="19"/>
        <w:rPr>
          <w:rFonts w:ascii="华文仿宋" w:hAnsi="华文仿宋" w:eastAsia="华文仿宋"/>
          <w:sz w:val="28"/>
          <w:szCs w:val="28"/>
        </w:rPr>
      </w:pPr>
      <w:r>
        <w:rPr>
          <w:rFonts w:ascii="华文仿宋" w:hAnsi="华文仿宋" w:eastAsia="华文仿宋"/>
          <w:sz w:val="28"/>
          <w:szCs w:val="28"/>
        </w:rPr>
        <w:t>　　联讯证券首席宏观研究员李奇霖则认为，在货币政策稳健中性-监管影响边际减弱—基本面慢回落的组合下，债券市场可能会迎来一波三折的慢牛。</w:t>
      </w:r>
    </w:p>
    <w:p>
      <w:pPr>
        <w:pStyle w:val="19"/>
        <w:rPr>
          <w:rFonts w:ascii="华文仿宋" w:hAnsi="华文仿宋" w:eastAsia="华文仿宋"/>
          <w:sz w:val="28"/>
          <w:szCs w:val="28"/>
        </w:rPr>
      </w:pPr>
      <w:r>
        <w:rPr>
          <w:rFonts w:ascii="华文仿宋" w:hAnsi="华文仿宋" w:eastAsia="华文仿宋"/>
          <w:sz w:val="28"/>
          <w:szCs w:val="28"/>
        </w:rPr>
        <w:t>　　美东时间21：30PM，美国10年期国债收益率(IEF)(TLT)报2.908%。</w:t>
      </w:r>
    </w:p>
    <w:p>
      <w:pPr>
        <w:pStyle w:val="19"/>
        <w:rPr>
          <w:rFonts w:ascii="华文仿宋" w:hAnsi="华文仿宋" w:eastAsia="华文仿宋"/>
          <w:sz w:val="28"/>
          <w:szCs w:val="28"/>
        </w:rPr>
      </w:pPr>
      <w:r>
        <w:rPr>
          <w:rFonts w:ascii="华文仿宋" w:hAnsi="华文仿宋" w:eastAsia="华文仿宋"/>
          <w:sz w:val="28"/>
          <w:szCs w:val="28"/>
        </w:rPr>
        <w:t>　　在新任主席鲍威尔暗示美联储将继续加息以遏制通胀之后，国债收益率大幅上升，美国10年期国债收益率上升5个基点，至2.915%。</w:t>
      </w:r>
    </w:p>
    <w:p>
      <w:pPr>
        <w:pStyle w:val="19"/>
        <w:rPr>
          <w:rFonts w:ascii="华文仿宋" w:hAnsi="华文仿宋" w:eastAsia="华文仿宋"/>
          <w:sz w:val="28"/>
          <w:szCs w:val="28"/>
        </w:rPr>
      </w:pPr>
      <w:r>
        <w:rPr>
          <w:rFonts w:ascii="华文仿宋" w:hAnsi="华文仿宋" w:eastAsia="华文仿宋"/>
          <w:sz w:val="28"/>
          <w:szCs w:val="28"/>
        </w:rPr>
        <w:t>　　美联储主席鲍威尔在国会发表讲话，详细阐述了美联储未来几年的货币政策和经济增长前景。他还暗示，超过三次加息的可能性依然存在。</w:t>
      </w:r>
    </w:p>
    <w:p>
      <w:pPr>
        <w:pStyle w:val="19"/>
        <w:rPr>
          <w:rFonts w:ascii="华文仿宋" w:hAnsi="华文仿宋" w:eastAsia="华文仿宋"/>
          <w:sz w:val="28"/>
          <w:szCs w:val="28"/>
        </w:rPr>
      </w:pPr>
      <w:r>
        <w:rPr>
          <w:rFonts w:ascii="华文仿宋" w:hAnsi="华文仿宋" w:eastAsia="华文仿宋"/>
          <w:sz w:val="28"/>
          <w:szCs w:val="28"/>
        </w:rPr>
        <w:t>　　【贵金属】黄金期货创两周多以来最低收盘价</w:t>
      </w:r>
    </w:p>
    <w:p>
      <w:pPr>
        <w:pStyle w:val="19"/>
        <w:rPr>
          <w:rFonts w:ascii="华文仿宋" w:hAnsi="华文仿宋" w:eastAsia="华文仿宋"/>
          <w:sz w:val="28"/>
          <w:szCs w:val="28"/>
        </w:rPr>
      </w:pPr>
      <w:r>
        <w:rPr>
          <w:rFonts w:ascii="华文仿宋" w:hAnsi="华文仿宋" w:eastAsia="华文仿宋"/>
          <w:sz w:val="28"/>
          <w:szCs w:val="28"/>
        </w:rPr>
        <w:t>　　COMEX黄金(518880)(GLD)报1319美元/盎司。</w:t>
      </w:r>
    </w:p>
    <w:p>
      <w:pPr>
        <w:pStyle w:val="19"/>
        <w:rPr>
          <w:rFonts w:ascii="华文仿宋" w:hAnsi="华文仿宋" w:eastAsia="华文仿宋"/>
          <w:sz w:val="28"/>
          <w:szCs w:val="28"/>
        </w:rPr>
      </w:pPr>
      <w:r>
        <w:rPr>
          <w:rFonts w:ascii="华文仿宋" w:hAnsi="华文仿宋" w:eastAsia="华文仿宋"/>
          <w:sz w:val="28"/>
          <w:szCs w:val="28"/>
        </w:rPr>
        <w:t>　　黄金期货价格周二收跌，并创两周多以来最低收盘价。美联储主席杰罗姆-鲍威尔首次发表国会证词后，美元走强及国债收益率攀升，令金价承压。</w:t>
      </w:r>
    </w:p>
    <w:p>
      <w:pPr>
        <w:pStyle w:val="19"/>
        <w:rPr>
          <w:rFonts w:ascii="华文仿宋" w:hAnsi="华文仿宋" w:eastAsia="华文仿宋"/>
          <w:sz w:val="28"/>
          <w:szCs w:val="28"/>
        </w:rPr>
      </w:pPr>
      <w:r>
        <w:rPr>
          <w:rFonts w:ascii="华文仿宋" w:hAnsi="华文仿宋" w:eastAsia="华文仿宋"/>
          <w:sz w:val="28"/>
          <w:szCs w:val="28"/>
        </w:rPr>
        <w:t>　　【大宗商品】国际能源署：美国可能在今年成为全球最大产油国</w:t>
      </w:r>
    </w:p>
    <w:p>
      <w:pPr>
        <w:pStyle w:val="19"/>
        <w:rPr>
          <w:rFonts w:ascii="华文仿宋" w:hAnsi="华文仿宋" w:eastAsia="华文仿宋"/>
          <w:sz w:val="28"/>
          <w:szCs w:val="28"/>
        </w:rPr>
      </w:pPr>
      <w:r>
        <w:rPr>
          <w:rFonts w:ascii="华文仿宋" w:hAnsi="华文仿宋" w:eastAsia="华文仿宋"/>
          <w:sz w:val="28"/>
          <w:szCs w:val="28"/>
        </w:rPr>
        <w:t>　　国际基准布伦特原油期货(BNO)价格报66.23美元/桶，涨0.8%;WTI原油期货(USO)(USL)价格报62.67美元/桶，涨0.6%。</w:t>
      </w:r>
    </w:p>
    <w:p>
      <w:pPr>
        <w:pStyle w:val="19"/>
        <w:rPr>
          <w:rFonts w:ascii="华文仿宋" w:hAnsi="华文仿宋" w:eastAsia="华文仿宋"/>
          <w:sz w:val="28"/>
          <w:szCs w:val="28"/>
        </w:rPr>
      </w:pPr>
      <w:r>
        <w:rPr>
          <w:rFonts w:ascii="华文仿宋" w:hAnsi="华文仿宋" w:eastAsia="华文仿宋"/>
          <w:sz w:val="28"/>
          <w:szCs w:val="28"/>
        </w:rPr>
        <w:t>　　原油(501018)期货价格周二收跌。对美国原油库存增加及国内原油产量提高的担忧令油价承压。</w:t>
      </w:r>
    </w:p>
    <w:p>
      <w:pPr>
        <w:pStyle w:val="19"/>
        <w:rPr>
          <w:rFonts w:ascii="华文仿宋" w:hAnsi="华文仿宋" w:eastAsia="华文仿宋"/>
          <w:sz w:val="28"/>
          <w:szCs w:val="28"/>
        </w:rPr>
      </w:pPr>
      <w:r>
        <w:rPr>
          <w:rFonts w:ascii="华文仿宋" w:hAnsi="华文仿宋" w:eastAsia="华文仿宋"/>
          <w:sz w:val="28"/>
          <w:szCs w:val="28"/>
        </w:rPr>
        <w:t>　　此外，在美联储主席鲍威尔首次在国会发表证词后美元走强，同样令以美元计价的原油价格承压。</w:t>
      </w:r>
    </w:p>
    <w:p>
      <w:pPr>
        <w:pStyle w:val="19"/>
        <w:rPr>
          <w:rFonts w:ascii="华文仿宋" w:hAnsi="华文仿宋" w:eastAsia="华文仿宋"/>
          <w:sz w:val="28"/>
          <w:szCs w:val="28"/>
        </w:rPr>
      </w:pPr>
      <w:r>
        <w:rPr>
          <w:rFonts w:ascii="华文仿宋" w:hAnsi="华文仿宋" w:eastAsia="华文仿宋"/>
          <w:sz w:val="28"/>
          <w:szCs w:val="28"/>
        </w:rPr>
        <w:t>　　美国的原油产量正在如火如荼的进行，这个全球最大的经济体即将成为全球最大的产油国。据国际能源署报告认为，美国可能在今年成为全球最大的产油国。</w:t>
      </w:r>
    </w:p>
    <w:p>
      <w:pPr>
        <w:pStyle w:val="19"/>
        <w:rPr>
          <w:rFonts w:ascii="华文仿宋" w:hAnsi="华文仿宋" w:eastAsia="华文仿宋"/>
          <w:sz w:val="28"/>
          <w:szCs w:val="28"/>
        </w:rPr>
      </w:pPr>
      <w:r>
        <w:rPr>
          <w:rFonts w:ascii="华文仿宋" w:hAnsi="华文仿宋" w:eastAsia="华文仿宋"/>
          <w:sz w:val="28"/>
          <w:szCs w:val="28"/>
        </w:rPr>
        <w:t>　　据路透社报道，国际能源署执行委员Fatih Birol表示，在去年美国将沙特赶下了全球第二大产油国座次之后，美国的原油产量最早可能在2018年、“最迟不过明年”就会超过俄罗斯，称为全球最大的产油国。</w:t>
      </w:r>
    </w:p>
    <w:p>
      <w:pPr>
        <w:pStyle w:val="19"/>
        <w:rPr>
          <w:rFonts w:ascii="华文仿宋" w:hAnsi="华文仿宋" w:eastAsia="华文仿宋"/>
          <w:sz w:val="28"/>
          <w:szCs w:val="28"/>
        </w:rPr>
      </w:pPr>
      <w:r>
        <w:rPr>
          <w:rFonts w:ascii="华文仿宋" w:hAnsi="华文仿宋" w:eastAsia="华文仿宋"/>
          <w:sz w:val="28"/>
          <w:szCs w:val="28"/>
        </w:rPr>
        <w:t>　　美国石油协会(API)公布的数据显示，截至2月23日当周美国API原油库存增加93.3万桶，预期增加267.5万桶。</w:t>
      </w:r>
    </w:p>
    <w:p>
      <w:pPr>
        <w:pStyle w:val="19"/>
        <w:rPr>
          <w:rFonts w:ascii="华文仿宋" w:hAnsi="华文仿宋" w:eastAsia="华文仿宋"/>
          <w:sz w:val="28"/>
          <w:szCs w:val="28"/>
        </w:rPr>
      </w:pPr>
      <w:r>
        <w:rPr>
          <w:rFonts w:ascii="华文仿宋" w:hAnsi="华文仿宋" w:eastAsia="华文仿宋"/>
          <w:sz w:val="28"/>
          <w:szCs w:val="28"/>
        </w:rPr>
        <w:t>　　【加密货币】中国监管部门计划采取进一步措施监管比特币</w:t>
      </w:r>
    </w:p>
    <w:p>
      <w:pPr>
        <w:pStyle w:val="19"/>
        <w:rPr>
          <w:rFonts w:ascii="华文仿宋" w:hAnsi="华文仿宋" w:eastAsia="华文仿宋"/>
          <w:sz w:val="28"/>
          <w:szCs w:val="28"/>
        </w:rPr>
      </w:pPr>
      <w:r>
        <w:rPr>
          <w:rFonts w:ascii="华文仿宋" w:hAnsi="华文仿宋" w:eastAsia="华文仿宋"/>
          <w:sz w:val="28"/>
          <w:szCs w:val="28"/>
        </w:rPr>
        <w:t>　　交易平台Bitstamp数据显示，北京时间28日9：30，比特币(BTC)报10756美元。</w:t>
      </w:r>
    </w:p>
    <w:p>
      <w:pPr>
        <w:pStyle w:val="19"/>
        <w:rPr>
          <w:rFonts w:ascii="华文仿宋" w:hAnsi="华文仿宋" w:eastAsia="华文仿宋"/>
          <w:sz w:val="28"/>
          <w:szCs w:val="28"/>
        </w:rPr>
      </w:pPr>
      <w:r>
        <w:rPr>
          <w:rFonts w:ascii="华文仿宋" w:hAnsi="华文仿宋" w:eastAsia="华文仿宋"/>
          <w:sz w:val="28"/>
          <w:szCs w:val="28"/>
        </w:rPr>
        <w:t>　　知情人士透露，针对当前包括比特币在内的虚拟货币交易中出现的跨境流动情况，中国监管部门计划采取进一步监管措施。知情人士称，监管机构计划采取措施，要求金融机构和支付机构不但不得直接，而且不得间接为客户提供与比特币等虚拟货币相关的服务。</w:t>
      </w:r>
    </w:p>
    <w:p>
      <w:pPr>
        <w:outlineLvl w:val="1"/>
        <w:rPr>
          <w:rFonts w:ascii="黑体" w:hAnsi="宋体" w:eastAsia="黑体"/>
          <w:b/>
          <w:sz w:val="30"/>
          <w:szCs w:val="30"/>
        </w:rPr>
      </w:pPr>
    </w:p>
    <w:p>
      <w:pPr>
        <w:outlineLvl w:val="1"/>
        <w:rPr>
          <w:rFonts w:ascii="宋体" w:hAnsi="宋体" w:cs="Arial"/>
          <w:b/>
          <w:bCs/>
          <w:kern w:val="0"/>
          <w:sz w:val="32"/>
          <w:szCs w:val="32"/>
        </w:rPr>
      </w:pPr>
      <w:bookmarkStart w:id="18" w:name="_Toc505350005"/>
      <w:r>
        <w:rPr>
          <w:rFonts w:hint="eastAsia" w:ascii="仿宋_GB2312" w:eastAsia="仿宋_GB2312"/>
          <w:b/>
          <w:sz w:val="28"/>
          <w:szCs w:val="28"/>
        </w:rPr>
        <w:t>（三）</w:t>
      </w:r>
      <w:r>
        <w:rPr>
          <w:rFonts w:hint="eastAsia" w:ascii="宋体" w:hAnsi="宋体" w:cs="Arial"/>
          <w:b/>
          <w:bCs/>
          <w:kern w:val="0"/>
          <w:sz w:val="32"/>
          <w:szCs w:val="32"/>
        </w:rPr>
        <w:t>、2017年10月份全国原油进出口统计数据</w:t>
      </w:r>
      <w:bookmarkEnd w:id="18"/>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962" w:type="dxa"/>
        <w:tblInd w:w="0" w:type="dxa"/>
        <w:tblLayout w:type="fixed"/>
        <w:tblCellMar>
          <w:top w:w="0" w:type="dxa"/>
          <w:left w:w="108" w:type="dxa"/>
          <w:bottom w:w="0" w:type="dxa"/>
          <w:right w:w="108" w:type="dxa"/>
        </w:tblCellMar>
      </w:tblPr>
      <w:tblGrid>
        <w:gridCol w:w="1953"/>
        <w:gridCol w:w="2241"/>
        <w:gridCol w:w="2220"/>
        <w:gridCol w:w="1576"/>
        <w:gridCol w:w="1972"/>
      </w:tblGrid>
      <w:tr>
        <w:tblPrEx>
          <w:tblLayout w:type="fixed"/>
          <w:tblCellMar>
            <w:top w:w="0" w:type="dxa"/>
            <w:left w:w="108" w:type="dxa"/>
            <w:bottom w:w="0" w:type="dxa"/>
            <w:right w:w="108" w:type="dxa"/>
          </w:tblCellMar>
        </w:tblPrEx>
        <w:trPr>
          <w:trHeight w:val="285" w:hRule="atLeast"/>
        </w:trPr>
        <w:tc>
          <w:tcPr>
            <w:tcW w:w="1953" w:type="dxa"/>
            <w:tcBorders>
              <w:top w:val="single" w:color="auto" w:sz="8" w:space="0"/>
              <w:left w:val="single" w:color="auto" w:sz="8" w:space="0"/>
              <w:bottom w:val="single" w:color="auto" w:sz="8" w:space="0"/>
              <w:right w:val="single" w:color="auto" w:sz="8" w:space="0"/>
            </w:tcBorders>
            <w:shd w:val="clear" w:color="000000" w:fill="CCFFFF"/>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产销国</w:t>
            </w:r>
          </w:p>
        </w:tc>
        <w:tc>
          <w:tcPr>
            <w:tcW w:w="2241" w:type="dxa"/>
            <w:tcBorders>
              <w:top w:val="single" w:color="auto" w:sz="8" w:space="0"/>
              <w:left w:val="nil"/>
              <w:bottom w:val="single" w:color="auto" w:sz="8" w:space="0"/>
              <w:right w:val="single" w:color="auto" w:sz="8" w:space="0"/>
            </w:tcBorders>
            <w:shd w:val="clear" w:color="000000" w:fill="CCFFFF"/>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进口数量</w:t>
            </w:r>
          </w:p>
        </w:tc>
        <w:tc>
          <w:tcPr>
            <w:tcW w:w="2220" w:type="dxa"/>
            <w:tcBorders>
              <w:top w:val="single" w:color="auto" w:sz="8" w:space="0"/>
              <w:left w:val="nil"/>
              <w:bottom w:val="single" w:color="auto" w:sz="8" w:space="0"/>
              <w:right w:val="single" w:color="auto" w:sz="8" w:space="0"/>
            </w:tcBorders>
            <w:shd w:val="clear" w:color="000000" w:fill="CCFFFF"/>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进口美元</w:t>
            </w:r>
          </w:p>
        </w:tc>
        <w:tc>
          <w:tcPr>
            <w:tcW w:w="1576" w:type="dxa"/>
            <w:tcBorders>
              <w:top w:val="single" w:color="auto" w:sz="8" w:space="0"/>
              <w:left w:val="nil"/>
              <w:bottom w:val="single" w:color="auto" w:sz="8" w:space="0"/>
              <w:right w:val="single" w:color="auto" w:sz="8" w:space="0"/>
            </w:tcBorders>
            <w:shd w:val="clear" w:color="000000" w:fill="CCFFFF"/>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出口数量</w:t>
            </w:r>
          </w:p>
        </w:tc>
        <w:tc>
          <w:tcPr>
            <w:tcW w:w="1972" w:type="dxa"/>
            <w:tcBorders>
              <w:top w:val="single" w:color="auto" w:sz="8" w:space="0"/>
              <w:left w:val="nil"/>
              <w:bottom w:val="single" w:color="auto" w:sz="8" w:space="0"/>
              <w:right w:val="single" w:color="auto" w:sz="8" w:space="0"/>
            </w:tcBorders>
            <w:shd w:val="clear" w:color="000000" w:fill="CCFFFF"/>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出口美元</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"javascript:clickdiy(%22_month%22,%222017|%E9%98%BF%E5%B0%94%E5%8F%8A%E5%88%A9%E4%BA%9A%22);"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阿尔及利亚</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268808230</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$112,629,289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"javascript:clickdiy(%22_month%22,%222017|%E9%98%BF%E6%A0%B9%E5%BB%B7%22);"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阿根廷</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147804285</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$56,778,979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"javascript:clickdiy(%22_month%22,%222017|%E9%98%BF%E6%8B%89%E4%BC%AF%E8%81%94%E5%90%88%E9%85%8B%E9%95%BF%E5%9B%BD%22);"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阿拉伯联合酋长国</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667370797</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$270,288,974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"javascript:clickdiy(%22_month%22,%222017|%E9%98%BF%E6%9B%BC%22);"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阿曼</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1426933868</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$560,921,263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"javascript:clickdiy(%22_month%22,%222017|%E5%9F%83%E5%8F%8A%22);"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埃及</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138563736</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$60,788,402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"javascript:clickdiy(%22_month%22,%222017|%E5%AE%89%E5%93%A5%E6%8B%89%22);"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安哥拉</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3566464471</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$1,424,314,016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"javascript:clickdiy(%22_month%22,%222017|%E6%BE%B3%E5%A4%A7%E5%88%A9%E4%BA%9A%22);"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澳大利亚</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168845320</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$68,606,325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"javascript:clickdiy(%22_month%22,%222017|%E5%B7%B4%E8%A5%BF%22);"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巴西</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1140805278</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$431,276,134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"javascript:clickdiy(%22_month%22,%222017|%E4%BF%84%E7%BD%97%E6%96%AF%E8%81%94%E9%82%A6%22);"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俄罗斯联邦</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4648660614</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$1,878,762,037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"javascript:clickdiy(%22_month%22,%222017|%E5%8E%84%E7%93%9C%E5%A4%9A%E5%B0%94%22);"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厄瓜多尔</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255941675</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$90,055,410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"javascript:clickdiy(%22_month%22,%222017|%E5%88%9A%E6%9E%9C%22);"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刚果</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685656949</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$263,698,781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"javascript:clickdiy(%22_month%22,%222017|%E5%93%A5%E4%BC%A6%E6%AF%94%E4%BA%9A%22);"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哥伦比亚</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565012283</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$213,404,145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"javascript:clickdiy(%22_month%22,%222017|%E5%93%88%E8%90%A8%E5%85%8B%E6%96%AF%E5%9D%A6%22);"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哈萨克斯坦</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218331118</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$80,787,535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"javascript:clickdiy(%22_month%22,%222017|%E5%8A%A0%E7%BA%B3%22);"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加纳</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388222900</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$167,744,176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"javascript:clickdiy(%22_month%22,%222017|%E5%8A%A0%E8%93%AC%22);"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加蓬</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480943460</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$192,460,709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"javascript:clickdiy(%22_month%22,%222017|%E5%96%80%E9%BA%A6%E9%9A%86%22);"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喀麦隆</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129473074</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$47,503,607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"javascript:clickdiy(%22_month%22,%222017|%E7%A7%91%E5%A8%81%E7%89%B9%22);"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科威特</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1863093167</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$711,692,390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"javascript:clickdiy(%22_month%22,%222017|%E9%A9%AC%E6%9D%A5%E8%A5%BF%E4%BA%9A%22);"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马来西亚</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418944314</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$170,849,453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"javascript:clickdiy(%22_month%22,%222017|%E7%BE%8E%E5%9B%BD%22);"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美国</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878622762</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$369,739,811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"javascript:clickdiy(%22_month%22,%222017|%E8%92%99%E5%8F%A4%22);"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蒙古</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92979030</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$24,857,818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"javascript:clickdiy(%22_month%22,%222017|%E5%A2%A8%E8%A5%BF%E5%93%A5%22);"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墨西哥</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291969667</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$95,218,575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"javascript:clickdiy(%22_month%22,%222017|%E5%8D%97%E8%8B%8F%E4%B8%B9%E5%85%B1%E5%92%8C%E5%9B%BD%22);"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南苏丹共和国</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463316405</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$175,661,702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"javascript:clickdiy(%22_month%22,%222017|%E6%8C%AA%E5%A8%81%22);"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挪威</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135767304</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$59,225,000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"javascript:clickdiy(%22_month%22,%222017|%E6%97%A5%E6%9C%AC%22);"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日本</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266398249</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$99,195,793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"javascript:clickdiy(%22_month%22,%222017|%E6%B2%99%E7%89%B9%E9%98%BF%E6%8B%89%E4%BC%AF%22);"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沙特阿拉伯</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4613748328</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$1,810,389,425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"javascript:clickdiy(%22_month%22,%222017|%E6%B3%B0%E5%9B%BD%22);"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泰国</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35106965</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$13,745,875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"javascript:clickdiy(%22_month%22,%222017|%E5%A7%94%E5%86%85%E7%91%9E%E6%8B%89%22);"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委内瑞拉</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912802565</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$287,052,275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"javascript:clickdiy(%22_month%22,%222017|%E4%BC%8A%E6%8B%89%E5%85%8B%22);"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伊拉克</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2649378942</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$980,602,196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"javascript:clickdiy(%22_month%22,%222017|%E4%BC%8A%E6%9C%97%22);"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伊朗</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2909543958</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$1,148,354,598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"javascript:clickdiy(%22_month%22,%222017|%E5%8D%B0%E5%BA%A6%E5%B0%BC%E8%A5%BF%E4%BA%9A%22);"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印度尼西亚</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102026534</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$37,446,933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"javascript:clickdiy(%22_month%22,%222017|%E8%8B%B1%E5%9B%BD%22);"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英国</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644864682</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$278,218,801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ascii="华文仿宋" w:hAnsi="华文仿宋" w:eastAsia="华文仿宋" w:cs="宋体"/>
                <w:kern w:val="0"/>
                <w:sz w:val="28"/>
                <w:szCs w:val="28"/>
                <w:lang w:val="en-US" w:eastAsia="zh-CN" w:bidi="ar-SA"/>
              </w:rPr>
              <w:fldChar w:fldCharType="begin"/>
            </w:r>
            <w:r>
              <w:rPr>
                <w:rFonts w:ascii="华文仿宋" w:hAnsi="华文仿宋" w:eastAsia="华文仿宋" w:cs="宋体"/>
                <w:kern w:val="0"/>
                <w:sz w:val="28"/>
                <w:szCs w:val="28"/>
                <w:lang w:val="en-US" w:eastAsia="zh-CN" w:bidi="ar-SA"/>
              </w:rPr>
              <w:instrText xml:space="preserve"> HYPERLINK "javascript:clickdiy(%22_month%22,%222017|%E8%B6%8A%E5%8D%97%22);" </w:instrText>
            </w:r>
            <w:r>
              <w:rPr>
                <w:rFonts w:ascii="华文仿宋" w:hAnsi="华文仿宋" w:eastAsia="华文仿宋" w:cs="宋体"/>
                <w:kern w:val="0"/>
                <w:sz w:val="28"/>
                <w:szCs w:val="28"/>
                <w:lang w:val="en-US" w:eastAsia="zh-CN" w:bidi="ar-SA"/>
              </w:rPr>
              <w:fldChar w:fldCharType="separate"/>
            </w:r>
            <w:r>
              <w:rPr>
                <w:rFonts w:hint="eastAsia" w:ascii="华文仿宋" w:hAnsi="华文仿宋" w:eastAsia="华文仿宋" w:cs="宋体"/>
                <w:kern w:val="0"/>
                <w:sz w:val="28"/>
                <w:szCs w:val="28"/>
                <w:lang w:val="en-US" w:eastAsia="zh-CN" w:bidi="ar-SA"/>
              </w:rPr>
              <w:t>越南</w:t>
            </w:r>
            <w:r>
              <w:rPr>
                <w:rFonts w:hint="eastAsia" w:ascii="华文仿宋" w:hAnsi="华文仿宋" w:eastAsia="华文仿宋" w:cs="宋体"/>
                <w:kern w:val="0"/>
                <w:sz w:val="28"/>
                <w:szCs w:val="28"/>
                <w:lang w:val="en-US" w:eastAsia="zh-CN" w:bidi="ar-SA"/>
              </w:rPr>
              <w:fldChar w:fldCharType="end"/>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120143164</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$52,466,683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$0 </w:t>
            </w:r>
          </w:p>
        </w:tc>
      </w:tr>
      <w:tr>
        <w:tblPrEx>
          <w:tblLayout w:type="fixed"/>
          <w:tblCellMar>
            <w:top w:w="0" w:type="dxa"/>
            <w:left w:w="108" w:type="dxa"/>
            <w:bottom w:w="0" w:type="dxa"/>
            <w:right w:w="108" w:type="dxa"/>
          </w:tblCellMar>
        </w:tblPrEx>
        <w:trPr>
          <w:trHeight w:val="285" w:hRule="atLeast"/>
        </w:trPr>
        <w:tc>
          <w:tcPr>
            <w:tcW w:w="195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2017</w:t>
            </w:r>
          </w:p>
        </w:tc>
        <w:tc>
          <w:tcPr>
            <w:tcW w:w="224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31030145845</w:t>
            </w:r>
          </w:p>
        </w:tc>
        <w:tc>
          <w:tcPr>
            <w:tcW w:w="2220"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$12,135,541,317 </w:t>
            </w:r>
          </w:p>
        </w:tc>
        <w:tc>
          <w:tcPr>
            <w:tcW w:w="1576"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266398249</w:t>
            </w:r>
          </w:p>
        </w:tc>
        <w:tc>
          <w:tcPr>
            <w:tcW w:w="1972"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 xml:space="preserve">$99,195,793 </w:t>
            </w:r>
          </w:p>
        </w:tc>
      </w:tr>
    </w:tbl>
    <w:p>
      <w:pPr>
        <w:rPr>
          <w:rFonts w:ascii="宋体" w:hAnsi="宋体"/>
        </w:rPr>
      </w:pPr>
    </w:p>
    <w:p>
      <w:pPr>
        <w:numPr>
          <w:ilvl w:val="0"/>
          <w:numId w:val="1"/>
        </w:numPr>
        <w:ind w:left="0" w:leftChars="0" w:firstLine="298" w:firstLineChars="99"/>
        <w:outlineLvl w:val="1"/>
        <w:rPr>
          <w:rFonts w:hint="eastAsia" w:ascii="仿宋_GB2312" w:hAnsi="宋体" w:eastAsia="仿宋_GB2312" w:cs="Arial"/>
          <w:b/>
          <w:bCs/>
          <w:kern w:val="0"/>
          <w:sz w:val="30"/>
          <w:szCs w:val="30"/>
        </w:rPr>
      </w:pPr>
      <w:bookmarkStart w:id="19" w:name="_Toc505350006"/>
      <w:r>
        <w:rPr>
          <w:rFonts w:hint="eastAsia" w:ascii="仿宋_GB2312" w:hAnsi="宋体" w:eastAsia="仿宋_GB2312" w:cs="Arial"/>
          <w:b/>
          <w:bCs/>
          <w:kern w:val="0"/>
          <w:sz w:val="30"/>
          <w:szCs w:val="30"/>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本周WTI原油价格在6</w:t>
      </w:r>
      <w:r>
        <w:rPr>
          <w:rFonts w:hint="eastAsia" w:ascii="华文仿宋" w:hAnsi="华文仿宋" w:eastAsia="华文仿宋"/>
          <w:sz w:val="28"/>
          <w:szCs w:val="28"/>
          <w:lang w:val="en-US" w:eastAsia="zh-CN"/>
        </w:rPr>
        <w:t>0.99</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2.60</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63.83</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5.79</w:t>
      </w:r>
      <w:r>
        <w:rPr>
          <w:rFonts w:hint="eastAsia" w:ascii="华文仿宋" w:hAnsi="华文仿宋" w:eastAsia="华文仿宋"/>
          <w:sz w:val="28"/>
          <w:szCs w:val="28"/>
        </w:rPr>
        <w:t>美元/桶震荡</w:t>
      </w:r>
      <w:r>
        <w:rPr>
          <w:rFonts w:hint="eastAsia"/>
          <w:color w:val="333333"/>
        </w:rPr>
        <w:t>。</w:t>
      </w:r>
      <w:r>
        <w:rPr>
          <w:rFonts w:hint="eastAsia" w:ascii="华文仿宋" w:hAnsi="华文仿宋" w:eastAsia="华文仿宋"/>
          <w:sz w:val="28"/>
          <w:szCs w:val="28"/>
        </w:rPr>
        <w:t>国际原油仍将延续震荡走势，进入本轮计价周期后，国际原油呈现跌后反弹趋势。前期，美国能源信息署(EIA)公布的数据显示美国国内美国原油和汽油库存增幅均超过预期，且美国原油产量再创纪录新高，油价承压大幅下跌，令油价承压大跌。不过之后美国股市低位反弹扭转油价颓势，加上利比亚最大油田Sharara停产数日，并且欧佩克(OPEC)成员国的2月原油产量录得下降，继续有效提振油价升势。受此影响，本轮变化率幅度由正向收窄，并一度转为负向运行，之后再度转正，但运行区间始终较小，基本处于发改委规定的50元/吨的调价红线之内。最新国际原油移动加权变化率：3月7日三地原油移动加权变化率 -0.82% ，本次调价日为2月28日24时，2018年3月7日为调价后国内第6个工作日。短期内，国际原油价格或继续震荡趋势，接下来的五个工作日变化率幅度预计难有较大调整。</w:t>
      </w:r>
    </w:p>
    <w:p>
      <w:pPr>
        <w:numPr>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976"/>
        <w:gridCol w:w="1734"/>
        <w:gridCol w:w="1734"/>
        <w:gridCol w:w="144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75" w:hRule="atLeast"/>
        </w:trPr>
        <w:tc>
          <w:tcPr>
            <w:tcW w:w="2976" w:type="dxa"/>
            <w:shd w:val="clear" w:color="auto" w:fill="00B0F0"/>
            <w:vAlign w:val="top"/>
          </w:tcPr>
          <w:p>
            <w:pPr>
              <w:widowControl/>
              <w:jc w:val="center"/>
              <w:rPr>
                <w:rFonts w:hint="default" w:ascii="华文仿宋" w:hAnsi="华文仿宋" w:eastAsia="华文仿宋" w:cs="宋体"/>
                <w:kern w:val="0"/>
                <w:sz w:val="28"/>
                <w:szCs w:val="28"/>
                <w:lang w:val="en-US"/>
              </w:rPr>
            </w:pPr>
            <w:bookmarkStart w:id="23" w:name="_Toc239847715"/>
            <w:bookmarkStart w:id="24" w:name="_Toc281568202"/>
            <w:bookmarkStart w:id="25" w:name="_Toc296600812"/>
            <w:bookmarkStart w:id="26" w:name="_Toc460250405"/>
            <w:bookmarkStart w:id="27" w:name="_Toc505350009"/>
            <w:r>
              <w:rPr>
                <w:rFonts w:hint="default" w:ascii="华文仿宋" w:hAnsi="华文仿宋" w:eastAsia="华文仿宋" w:cs="宋体"/>
                <w:kern w:val="0"/>
                <w:sz w:val="28"/>
                <w:szCs w:val="28"/>
                <w:lang w:val="en-US" w:eastAsia="zh-CN"/>
              </w:rPr>
              <w:t>3</w:t>
            </w:r>
            <w:r>
              <w:rPr>
                <w:rFonts w:hint="eastAsia" w:ascii="华文仿宋" w:hAnsi="华文仿宋" w:eastAsia="华文仿宋" w:cs="宋体"/>
                <w:kern w:val="0"/>
                <w:sz w:val="28"/>
                <w:szCs w:val="28"/>
                <w:lang w:val="en-US" w:eastAsia="zh-CN"/>
              </w:rPr>
              <w:t>月</w:t>
            </w:r>
            <w:r>
              <w:rPr>
                <w:rFonts w:hint="default" w:ascii="华文仿宋" w:hAnsi="华文仿宋" w:eastAsia="华文仿宋" w:cs="宋体"/>
                <w:kern w:val="0"/>
                <w:sz w:val="28"/>
                <w:szCs w:val="28"/>
                <w:lang w:val="en-US" w:eastAsia="zh-CN"/>
              </w:rPr>
              <w:t>8</w:t>
            </w:r>
            <w:r>
              <w:rPr>
                <w:rFonts w:hint="eastAsia" w:ascii="华文仿宋" w:hAnsi="华文仿宋" w:eastAsia="华文仿宋" w:cs="宋体"/>
                <w:kern w:val="0"/>
                <w:sz w:val="28"/>
                <w:szCs w:val="28"/>
                <w:lang w:val="en-US" w:eastAsia="zh-CN"/>
              </w:rPr>
              <w:t>日</w:t>
            </w:r>
          </w:p>
        </w:tc>
        <w:tc>
          <w:tcPr>
            <w:tcW w:w="1734" w:type="dxa"/>
            <w:shd w:val="clear" w:color="auto" w:fill="00B0F0"/>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低端价（美元</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吨）</w:t>
            </w:r>
          </w:p>
        </w:tc>
        <w:tc>
          <w:tcPr>
            <w:tcW w:w="1734" w:type="dxa"/>
            <w:shd w:val="clear" w:color="auto" w:fill="00B0F0"/>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高端价（美元</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吨）</w:t>
            </w:r>
          </w:p>
        </w:tc>
        <w:tc>
          <w:tcPr>
            <w:tcW w:w="1442" w:type="dxa"/>
            <w:shd w:val="clear" w:color="auto" w:fill="00B0F0"/>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均价涨跌幅</w:t>
            </w:r>
          </w:p>
        </w:tc>
        <w:tc>
          <w:tcPr>
            <w:tcW w:w="2074" w:type="dxa"/>
            <w:shd w:val="clear" w:color="auto" w:fill="00B0F0"/>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美分</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加仑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新加坡</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61.21</w:t>
            </w:r>
            <w:r>
              <w:rPr>
                <w:rFonts w:hint="eastAsia" w:ascii="华文仿宋" w:hAnsi="华文仿宋" w:eastAsia="华文仿宋" w:cs="宋体"/>
                <w:kern w:val="0"/>
                <w:sz w:val="28"/>
                <w:szCs w:val="28"/>
                <w:lang w:val="en-US" w:eastAsia="zh-CN"/>
              </w:rPr>
              <w:t>美元</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桶</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61.25</w:t>
            </w:r>
            <w:r>
              <w:rPr>
                <w:rFonts w:hint="eastAsia" w:ascii="华文仿宋" w:hAnsi="华文仿宋" w:eastAsia="华文仿宋" w:cs="宋体"/>
                <w:kern w:val="0"/>
                <w:sz w:val="28"/>
                <w:szCs w:val="28"/>
                <w:lang w:val="en-US" w:eastAsia="zh-CN"/>
              </w:rPr>
              <w:t>美元</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桶</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-0.28</w:t>
            </w:r>
            <w:r>
              <w:rPr>
                <w:rFonts w:hint="eastAsia" w:ascii="华文仿宋" w:hAnsi="华文仿宋" w:eastAsia="华文仿宋" w:cs="宋体"/>
                <w:kern w:val="0"/>
                <w:sz w:val="28"/>
                <w:szCs w:val="28"/>
                <w:lang w:val="en-US" w:eastAsia="zh-CN"/>
              </w:rPr>
              <w:t>美元</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桶</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145.738-145.833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日本</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560.75</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564.25</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-2.50</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148.347-149.272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阿拉伯海湾</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536.54</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540.04</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-2.40</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 141.942-142.868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阿姆斯特丹、鹿特丹、安特卫普到岸价</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553.75</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554.25</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-10.00</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148.061-148.195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鹿特丹船货价</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549.75</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550.25</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-10.00</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146.992-147.126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地中海离岸价</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533.50</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534.00</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-11.00</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142.647-142.781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热那亚到岸价</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545.25</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545.75</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0.25</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145.789-145.922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美国墨西哥湾</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523.30</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523.40</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0.49</w:t>
            </w:r>
            <w:r>
              <w:rPr>
                <w:rFonts w:hint="eastAsia" w:ascii="华文仿宋" w:hAnsi="华文仿宋" w:eastAsia="华文仿宋" w:cs="宋体"/>
                <w:kern w:val="0"/>
                <w:sz w:val="28"/>
                <w:szCs w:val="28"/>
                <w:lang w:val="en-US" w:eastAsia="zh-CN"/>
              </w:rPr>
              <w:t>美分</w:t>
            </w:r>
            <w:r>
              <w:rPr>
                <w:rFonts w:hint="default" w:ascii="华文仿宋" w:hAnsi="华文仿宋" w:eastAsia="华文仿宋" w:cs="宋体"/>
                <w:kern w:val="0"/>
                <w:sz w:val="28"/>
                <w:szCs w:val="28"/>
                <w:lang w:val="en-US" w:eastAsia="zh-CN"/>
              </w:rPr>
              <w:t>/</w:t>
            </w:r>
            <w:r>
              <w:rPr>
                <w:rFonts w:hint="eastAsia" w:ascii="华文仿宋" w:hAnsi="华文仿宋" w:eastAsia="华文仿宋" w:cs="宋体"/>
                <w:kern w:val="0"/>
                <w:sz w:val="28"/>
                <w:szCs w:val="28"/>
                <w:lang w:val="en-US" w:eastAsia="zh-CN"/>
              </w:rPr>
              <w:t>加仑</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149.470-149.570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6" w:type="dxa"/>
            <w:shd w:val="clear"/>
            <w:vAlign w:val="top"/>
          </w:tcPr>
          <w:p>
            <w:pPr>
              <w:widowControl/>
              <w:jc w:val="center"/>
              <w:rPr>
                <w:rFonts w:hint="default" w:ascii="华文仿宋" w:hAnsi="华文仿宋" w:eastAsia="华文仿宋" w:cs="宋体"/>
                <w:kern w:val="0"/>
                <w:sz w:val="28"/>
                <w:szCs w:val="28"/>
                <w:lang w:val="en-US"/>
              </w:rPr>
            </w:pPr>
            <w:r>
              <w:rPr>
                <w:rFonts w:hint="eastAsia" w:ascii="华文仿宋" w:hAnsi="华文仿宋" w:eastAsia="华文仿宋" w:cs="宋体"/>
                <w:kern w:val="0"/>
                <w:sz w:val="28"/>
                <w:szCs w:val="28"/>
                <w:lang w:val="en-US" w:eastAsia="zh-CN"/>
              </w:rPr>
              <w:t>加勒比海</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w:t>
            </w:r>
          </w:p>
        </w:tc>
        <w:tc>
          <w:tcPr>
            <w:tcW w:w="173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w:t>
            </w:r>
          </w:p>
        </w:tc>
        <w:tc>
          <w:tcPr>
            <w:tcW w:w="1442"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w:t>
            </w:r>
          </w:p>
        </w:tc>
        <w:tc>
          <w:tcPr>
            <w:tcW w:w="2074" w:type="dxa"/>
            <w:shd w:val="clear"/>
            <w:vAlign w:val="top"/>
          </w:tcPr>
          <w:p>
            <w:pPr>
              <w:widowControl/>
              <w:jc w:val="center"/>
              <w:rPr>
                <w:rFonts w:hint="default" w:ascii="华文仿宋" w:hAnsi="华文仿宋" w:eastAsia="华文仿宋" w:cs="宋体"/>
                <w:kern w:val="0"/>
                <w:sz w:val="28"/>
                <w:szCs w:val="28"/>
                <w:lang w:val="en-US"/>
              </w:rPr>
            </w:pPr>
            <w:r>
              <w:rPr>
                <w:rFonts w:hint="default" w:ascii="华文仿宋" w:hAnsi="华文仿宋" w:eastAsia="华文仿宋" w:cs="宋体"/>
                <w:kern w:val="0"/>
                <w:sz w:val="28"/>
                <w:szCs w:val="28"/>
                <w:lang w:val="en-US" w:eastAsia="zh-CN"/>
              </w:rPr>
              <w:t>-</w:t>
            </w:r>
          </w:p>
        </w:tc>
      </w:tr>
    </w:tbl>
    <w:p>
      <w:pPr>
        <w:pStyle w:val="3"/>
        <w:spacing w:line="240" w:lineRule="auto"/>
        <w:rPr>
          <w:rFonts w:ascii="华文仿宋" w:hAnsi="华文仿宋" w:eastAsia="华文仿宋" w:cs="宋体"/>
          <w:b w:val="0"/>
          <w:bCs w:val="0"/>
          <w:kern w:val="0"/>
          <w:szCs w:val="28"/>
        </w:rPr>
      </w:pPr>
    </w:p>
    <w:p>
      <w:pPr>
        <w:pStyle w:val="3"/>
        <w:spacing w:line="240" w:lineRule="auto"/>
        <w:rPr>
          <w:rFonts w:hint="eastAsia" w:ascii="黑体" w:eastAsia="黑体"/>
          <w:b w:val="0"/>
          <w:sz w:val="30"/>
          <w:szCs w:val="30"/>
        </w:rPr>
      </w:pPr>
      <w:r>
        <w:rPr>
          <w:rFonts w:hint="eastAsia" w:ascii="黑体" w:hAnsi="Times New Roman" w:eastAsia="黑体"/>
          <w:b w:val="0"/>
          <w:bCs w:val="0"/>
          <w:sz w:val="30"/>
          <w:szCs w:val="30"/>
        </w:rPr>
        <w:t>.</w:t>
      </w:r>
      <w:r>
        <w:rPr>
          <w:rFonts w:hint="eastAsia" w:ascii="黑体" w:eastAsia="黑体"/>
          <w:b w:val="0"/>
          <w:sz w:val="30"/>
          <w:szCs w:val="30"/>
        </w:rPr>
        <w:t>2地炼石脑油市场</w:t>
      </w:r>
      <w:bookmarkEnd w:id="13"/>
      <w:bookmarkEnd w:id="14"/>
      <w:bookmarkEnd w:id="23"/>
      <w:bookmarkEnd w:id="24"/>
      <w:bookmarkEnd w:id="25"/>
      <w:bookmarkEnd w:id="26"/>
      <w:bookmarkEnd w:id="27"/>
      <w:r>
        <w:rPr>
          <w:rFonts w:hint="eastAsia" w:ascii="黑体" w:eastAsia="黑体"/>
          <w:b w:val="0"/>
          <w:sz w:val="30"/>
          <w:szCs w:val="30"/>
        </w:rPr>
        <w:t xml:space="preserve"> </w:t>
      </w:r>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地炼石脑油价格整体保持盘稳，零星有调整行情。国际原油呈现跌后反弹趋势，本周WTI原油价格在60.99-62.60美元/桶，布伦特原油价格在63.83-65.79美元/桶震荡。美国原油产量再创新高令投资者担忧情绪加重，同时美国恐引发贸易战的概率升温提振了市场的避险需求，而美元强势反弹更是加大了油价的下行空间。国际原油期货价格宽幅收跌，国内成品油市场深度承压，地炼石脑油价格调整有限，个别企业视库存状况调整报盘价格，成交底线无明显偏移，市场交投热度有所下降，西北地区资源供应充裕，这将对当地资源售价形成抑制。因进口端资源近期较少，国内化工原料用石脑油出货压力较小，这巩固了石脑油市场价格底部，短线石脑油市场将继续延续横盘整理态势。</w:t>
      </w:r>
    </w:p>
    <w:p/>
    <w:p>
      <w:pPr>
        <w:outlineLvl w:val="1"/>
        <w:rPr>
          <w:rFonts w:asciiTheme="minorEastAsia" w:hAnsiTheme="minorEastAsia" w:eastAsiaTheme="minorEastAsia"/>
          <w:b/>
          <w:sz w:val="28"/>
          <w:szCs w:val="28"/>
        </w:rPr>
      </w:pPr>
      <w:bookmarkStart w:id="28" w:name="_Toc460250406"/>
      <w:bookmarkStart w:id="29" w:name="_Toc281568203"/>
      <w:bookmarkStart w:id="30" w:name="_Toc296600813"/>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43"/>
        <w:gridCol w:w="1344"/>
        <w:gridCol w:w="1343"/>
        <w:gridCol w:w="1343"/>
        <w:gridCol w:w="1343"/>
        <w:gridCol w:w="153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bookmarkStart w:id="32" w:name="_Toc281568204"/>
            <w:bookmarkStart w:id="33" w:name="_Toc296600814"/>
            <w:bookmarkStart w:id="34" w:name="_Toc460250407"/>
            <w:bookmarkStart w:id="35" w:name="_Toc158203132"/>
            <w:bookmarkStart w:id="36" w:name="_Toc239847719"/>
            <w:r>
              <w:rPr>
                <w:rFonts w:hint="eastAsia" w:ascii="华文仿宋" w:hAnsi="华文仿宋" w:eastAsia="华文仿宋" w:cs="宋体"/>
                <w:kern w:val="0"/>
                <w:sz w:val="28"/>
                <w:szCs w:val="28"/>
                <w:lang w:val="en-US" w:eastAsia="zh-CN" w:bidi="ar-SA"/>
              </w:rPr>
              <w:t>地区</w:t>
            </w:r>
          </w:p>
        </w:tc>
        <w:tc>
          <w:tcPr>
            <w:tcW w:w="134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生产厂家</w:t>
            </w:r>
          </w:p>
        </w:tc>
        <w:tc>
          <w:tcPr>
            <w:tcW w:w="134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产品名称</w:t>
            </w:r>
          </w:p>
        </w:tc>
        <w:tc>
          <w:tcPr>
            <w:tcW w:w="134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价格类型</w:t>
            </w:r>
          </w:p>
        </w:tc>
        <w:tc>
          <w:tcPr>
            <w:tcW w:w="134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涨跌</w:t>
            </w:r>
          </w:p>
        </w:tc>
        <w:tc>
          <w:tcPr>
            <w:tcW w:w="153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2018-3-9</w:t>
            </w:r>
          </w:p>
        </w:tc>
        <w:tc>
          <w:tcPr>
            <w:tcW w:w="153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金城石化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恒源石化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-130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4970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东明石化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中海石化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弘润石化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华星石化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海科石化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广饶石化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5020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鑫泰石化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-150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6150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利津石化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胜华石化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长城石化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安邦石化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5950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日照源丰</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富海石化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20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5310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京博石化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昌邑石化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6050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垦利石化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寿光石化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神驰石化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400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6000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汇丰石化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5730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宝塔石化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滨化石化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高青宏远石化</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华北</w:t>
            </w:r>
          </w:p>
        </w:tc>
        <w:tc>
          <w:tcPr>
            <w:tcW w:w="134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河口实业</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石脑油</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出厂价</w:t>
            </w:r>
          </w:p>
        </w:tc>
        <w:tc>
          <w:tcPr>
            <w:tcW w:w="134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c>
          <w:tcPr>
            <w:tcW w:w="15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0</w:t>
            </w:r>
          </w:p>
        </w:tc>
      </w:tr>
    </w:tbl>
    <w:p>
      <w:pPr>
        <w:pStyle w:val="3"/>
        <w:spacing w:line="240" w:lineRule="auto"/>
        <w:jc w:val="left"/>
        <w:rPr>
          <w:rFonts w:ascii="宋体" w:hAnsi="宋体"/>
          <w:b w:val="0"/>
          <w:szCs w:val="28"/>
        </w:rPr>
      </w:pPr>
    </w:p>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r>
        <w:drawing>
          <wp:inline distT="0" distB="0" distL="114300" distR="114300">
            <wp:extent cx="5800725" cy="5928360"/>
            <wp:effectExtent l="0" t="0" r="9525" b="15240"/>
            <wp:docPr id="622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5"/>
    <w:bookmarkEnd w:id="36"/>
    <w:p>
      <w:pPr>
        <w:outlineLvl w:val="0"/>
        <w:rPr>
          <w:rFonts w:ascii="黑体" w:eastAsia="黑体"/>
          <w:b/>
          <w:sz w:val="28"/>
          <w:szCs w:val="28"/>
        </w:rPr>
      </w:pPr>
      <w:bookmarkStart w:id="38" w:name="_Toc460250408"/>
      <w:bookmarkStart w:id="39" w:name="_Toc505350012"/>
      <w:bookmarkStart w:id="40" w:name="_Toc296600816"/>
      <w:bookmarkStart w:id="41" w:name="_Toc237428455"/>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296600817"/>
      <w:bookmarkStart w:id="45" w:name="_Toc460250409"/>
      <w:bookmarkStart w:id="46" w:name="_Toc176571903"/>
      <w:bookmarkStart w:id="47" w:name="_Toc237428456"/>
    </w:p>
    <w:p>
      <w:pPr>
        <w:pStyle w:val="2"/>
        <w:spacing w:line="360" w:lineRule="auto"/>
        <w:rPr>
          <w:rFonts w:ascii="黑体" w:hAnsi="黑体"/>
          <w:b w:val="0"/>
          <w:kern w:val="2"/>
          <w:sz w:val="28"/>
          <w:szCs w:val="28"/>
        </w:rPr>
      </w:pPr>
      <w:bookmarkStart w:id="48" w:name="_Toc505350013"/>
      <w:r>
        <w:rPr>
          <w:rFonts w:hint="eastAsia" w:ascii="黑体" w:hAnsi="黑体"/>
          <w:b w:val="0"/>
          <w:kern w:val="2"/>
          <w:sz w:val="28"/>
          <w:szCs w:val="28"/>
        </w:rPr>
        <w:t>3．1  成品油市场动态</w:t>
      </w:r>
      <w:bookmarkEnd w:id="43"/>
      <w:bookmarkEnd w:id="44"/>
      <w:bookmarkEnd w:id="45"/>
      <w:bookmarkEnd w:id="48"/>
    </w:p>
    <w:bookmarkEnd w:id="46"/>
    <w:bookmarkEnd w:id="47"/>
    <w:p>
      <w:pPr>
        <w:pStyle w:val="179"/>
        <w:widowControl/>
        <w:ind w:left="420" w:firstLine="560"/>
        <w:jc w:val="left"/>
        <w:rPr>
          <w:rFonts w:ascii="华文仿宋" w:hAnsi="华文仿宋" w:eastAsia="华文仿宋"/>
          <w:sz w:val="28"/>
          <w:szCs w:val="28"/>
        </w:rPr>
      </w:pPr>
      <w:bookmarkStart w:id="49" w:name="_Toc505350014"/>
      <w:bookmarkStart w:id="50" w:name="_Toc281568208"/>
      <w:bookmarkStart w:id="51" w:name="_Toc180485827"/>
      <w:bookmarkStart w:id="52" w:name="_Toc296600818"/>
      <w:bookmarkStart w:id="53" w:name="_Toc369858747"/>
      <w:bookmarkStart w:id="54" w:name="_Toc460250410"/>
      <w:bookmarkStart w:id="55" w:name="_Toc281568211"/>
      <w:bookmarkStart w:id="56" w:name="_Toc296600819"/>
      <w:r>
        <w:rPr>
          <w:rFonts w:ascii="华文仿宋" w:hAnsi="华文仿宋" w:eastAsia="华文仿宋"/>
          <w:sz w:val="28"/>
          <w:szCs w:val="28"/>
        </w:rPr>
        <w:t>本周，国际原油期价先扬后抑，受此影响，国内成品油市场购销氛围清淡，各地主营单位汽柴油价格涨跌不一。与此同时，山东地区汽柴油行情弱势下行，各炼厂报价纷纷下调且成交保持100元/吨左右优惠。具体来看出货方面：随着节后补货接近尾声，区内油市观望气氛渐起，加上原油走跌打压业者心态，中下游商家多消化前期库存，因此地炼整体出货表现欠佳，市场交投气氛转淡。装置方面，本周节后归来，停工及降量地炼多表示元宵节后恢复，故开工率继续低位波动。预计下周，虽然部分地炼检修计划陆续出炉，但同时，此前降量炼厂加工量亦逐步恢复，或仍支撑3月份地炼开工率走势尚可。后市前瞻：进入下周，国际原油期货震荡回落为主，在缺少基本面需求支撑下，消息面利空对山东地区成品油行情继续施压，下游买家购进操作谨慎，而地炼方面仍将以出货走量为主。综上所述，预计下周山东地炼汽柴油价格弱势难改。</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华南地区成品油行情温和上行，市场交投气氛一度向好。具体来看，国际原油期货先扬后抑，零售价下调预期不减且最终兑现下调，消息方面支撑有限。但春节过后，业者入市集中补仓，主营单位出货节奏加快，汽柴油价格顺势推涨。其中汽油上调幅度约为100元/吨，柴油上涨150元/吨左右。然而，随着业者补货到位，且原油期货止涨回落，市场观望气氛重燃。但基于消费税新政实施影响，主营单位汽柴油报价相对坚挺，业者消化库存为主，交投氛围冷清。后市来看，国际原油期货震荡回落为主，本轮零售价小涨与搁浅概率并存，消息面难寻有力支撑。与此同时，元宵节过后，终端用油单位将陆续复工，柴油需求或逐步增多，汽油需求则相对平平。但业者前期补货充足，短期内消化现有库存为主，因此预计下周华南地区成品油行情涨幅有限。</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华北地区成品油行情坚挺，交投气氛由浓转淡。具体来看，国际原油震荡上行，尽管难以逆转零售价下调预期，但消息面指引呈现一定好转。与此同时，春节假期期间汽油库存得以消化，归来后市场存在补货需求，柴油方面则由于天气已经回暖，下游需求预计提升较快，故业者积极采购，从而带动主营出货顺畅，支撑汽柴油价格攀高。随着业者集中补货趋于到位，以及原油涨后复跌，市场进入观望消库阶段，业者补货气氛明显降温，不过处于月底月初交接期，主营销售政策较为稳定，故行情仍保持坚挺，仅局部出现适度回调。后期来看，原油期价或偏弱震荡，新一轮变化率将正向窄幅波动，消息面影响较为有限，而市场库存仍待进一步消化，故预计下周华北地区成品油行情略有承压。</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华中地区汽柴油价格稳中上行，整体购销一般。具体来看，国际原油高位震荡，消息面对市场有所支撑，且节后归来下游存在补货需求，市场交投气氛稍有回暖，主营顺势推涨价格。但变化率负向区间收窄有限，零售价最终兑现年内第二次下调，加之节后汽油消费量转入平稳，柴油刚需尚未完全恢复，故业者补货力度受限，并对价格提升有所抵触，因此市场实际成交较为一般。后市来看，国际原油或震荡偏弱，消息面难寻利好，且市场仍处消化库存期，但月初主营出货压力不大，故华中地区主营汽柴油价格守稳为主，业者按需采购，市场交投恢复缓慢。</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华东地区成品油行情小幅上涨，业者节后补货带动市场交投升温。具体来看，近期国际油价涨后复跌，零售价兑现年内最大幅度下调，消息面对华东市场难有提振。不过，由于节后存补货需求支撑，主营借机促销冲量，市场交投一度好转，多数主营完成销售任务。随后，业者补货完毕后纷纷退市消库，但主营单位销售任务完成后价格随之走高，汽柴涨幅约为100元/吨，部分单位仍有欠量，成交仍维持宽松优惠。尽管零售价下调，但进入3月份，主营销售压力暂消，且观望消费税新政实施对市场的影响，故价格较为坚挺。后市而言，国际油价或仍维持区间震荡，本轮零售价存小涨或搁浅可能，消息面对市场依然难有明显提振。尽管随着天气转暖，下游开工将逐步恢复，但鉴于业者库存处于高位，故短期需求仍难有明显改善，或限制汽柴价格进一步上涨空间。</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西南地区汽柴行情走势震荡，市场成交气氛持续转淡。分析来看：国际油价先扬后抑，虽然变化率负向区间收窄，但下调预期对市场仍有打压。另外，进入下旬，部分地区主营单位降价促销，汽柴价格有所回落。由于节后下游补货增多，市场成交一度好转，部分单位再度推价，但仍有部分单位销售任务完成欠佳，成交优惠空间仍大。本周三零售价下调窗口如期开启，但适逢消费税新规实施，对市场略有支撑，并且主营进入新的销售周期，出货压力暂时缓解，因此汽柴价格多维持稳定，仅重庆地区汽柴价格高位回落。业者退市消库为主，市场成交气氛清淡。后市而言，国际油价或震荡回落，变化率正向区间收窄，消息面对市场难有明显支撑。业者观望情绪难消，入市操作谨慎，市场成交难改平淡。预计短期内西南地区汽柴行情窄幅调整为主。</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西北地炼汽柴行情走高，市场成交逐步转淡。分析来看：本周初期，国际原油连续走高，消息面向好。此外，仍有部分业者存补货需求，市场成交气氛尚可。之后，国际油价止涨回落，且下调窗口临近，消息面利空再度占据市场主导。另外，下游需求对市场亦难有明显提振，业者适量补货再度退市消库，市场成交持续转淡。本周三零售价下调窗口如期开启，但炼厂库存相对低位，并且消费税新政实施，对市场略有支撑，销售公司汽柴价格不跌反而上涨。但业者观望情绪难消，入市操作寥寥。进入下周，国际油价或震荡下行，变化率正向区间收窄，市场不稳定因素增加。业者操作心态谨慎，消库之余按需采购为主，市场成交难有提升。预计短线西北地炼汽柴行情淡稳运行为主。</w:t>
      </w:r>
      <w:r>
        <w:rPr>
          <w:rFonts w:ascii="华文仿宋" w:hAnsi="华文仿宋" w:eastAsia="华文仿宋"/>
          <w:sz w:val="28"/>
          <w:szCs w:val="28"/>
        </w:rPr>
        <w:br w:type="textWrapping"/>
      </w:r>
      <w:r>
        <w:rPr>
          <w:rFonts w:hint="eastAsia" w:ascii="华文仿宋" w:hAnsi="华文仿宋" w:eastAsia="华文仿宋"/>
          <w:sz w:val="28"/>
          <w:szCs w:val="28"/>
        </w:rPr>
        <w:t xml:space="preserve">    </w:t>
      </w:r>
      <w:r>
        <w:rPr>
          <w:rFonts w:ascii="华文仿宋" w:hAnsi="华文仿宋" w:eastAsia="华文仿宋"/>
          <w:sz w:val="28"/>
          <w:szCs w:val="28"/>
        </w:rPr>
        <w:t>步入下周，国际原油期货不乏震荡回落可能，本轮零售价小涨与搁浅概率并存，因此消息方面对油市提振力度有限。与此同时，短期内山东地炼及主营炼厂开工相对平稳，因此市场供应仍较充裕。另外，随着各地气温逐渐回暖，户外工程、基建等终端用油单位开工负荷将得以提升，柴油需求量相对增多；汽油方面，春节假期结束后，车辆出行半径再度收窄，故汽油整体需求相对平淡。加之，节后业者集中补货相对充裕，短期将消化现有库存为主，需求方面难有显著放量。整体而言，当前利好因素支撑力度尚显不足，预计下周国内汽柴油市场行情涨幅受限，部分地区不乏承压小跌可能，市场整体呈现“柴强汽弱”格局。</w:t>
      </w:r>
    </w:p>
    <w:p>
      <w:pPr>
        <w:numPr>
          <w:ilvl w:val="0"/>
          <w:numId w:val="3"/>
        </w:numPr>
        <w:outlineLvl w:val="0"/>
        <w:rPr>
          <w:rFonts w:ascii="黑体"/>
          <w:b/>
          <w:bCs/>
          <w:sz w:val="28"/>
          <w:szCs w:val="28"/>
        </w:rPr>
      </w:pPr>
      <w:r>
        <w:rPr>
          <w:rFonts w:hint="eastAsia" w:ascii="黑体"/>
          <w:b/>
          <w:bCs/>
          <w:sz w:val="28"/>
          <w:szCs w:val="28"/>
        </w:rPr>
        <w:t>国内溶剂油市场综述</w:t>
      </w:r>
      <w:bookmarkEnd w:id="49"/>
    </w:p>
    <w:p>
      <w:pPr>
        <w:pStyle w:val="19"/>
        <w:keepNext w:val="0"/>
        <w:keepLines w:val="0"/>
        <w:widowControl/>
        <w:suppressLineNumbers w:val="0"/>
        <w:ind w:firstLine="560" w:firstLineChars="200"/>
        <w:rPr>
          <w:rFonts w:ascii="华文仿宋" w:hAnsi="华文仿宋" w:eastAsia="华文仿宋" w:cs="Times New Roman"/>
          <w:kern w:val="2"/>
          <w:sz w:val="28"/>
          <w:szCs w:val="28"/>
          <w:lang w:val="en-US" w:eastAsia="zh-CN" w:bidi="ar-SA"/>
        </w:rPr>
      </w:pPr>
      <w:bookmarkStart w:id="80" w:name="_GoBack"/>
      <w:r>
        <w:rPr>
          <w:rFonts w:ascii="华文仿宋" w:hAnsi="华文仿宋" w:eastAsia="华文仿宋" w:cs="Times New Roman"/>
          <w:kern w:val="2"/>
          <w:sz w:val="28"/>
          <w:szCs w:val="28"/>
          <w:lang w:val="en-US" w:eastAsia="zh-CN" w:bidi="ar-SA"/>
        </w:rPr>
        <w:t>本周溶剂油市场行情大稳小动，市场整体处于一个缓慢复苏的阶段。市场行情整体以持稳为主，价格稳中有跌。周初，溶剂油市场弱势运行，价格稳中小跌无明显变动。业者操作心态谨慎，大单采购有限，市场成交难有提升。市场成交清淡，多小单为主，需求始终疲软状况难改。原油价格震荡运行，整体价格变化率呈正向区间变动，但消息面难以支撑溶剂油市场，对溶剂油市场指引作用偏弱。临近周末，少数商家多根据自身库存情况灵活小幅调整价格，溶剂油市场行情趋稳。汽柴油对应实现下调，政策面利空。再加上年前溶剂油厂家多库存高位，下游需求持续疲软，业者多消耗库存为主。市场大单成交稀少，交投气氛清淡。商家报价稳中零星下调。整体而言，溶剂油市场行情以持稳为主。进入三月，下游厂家会有部分备货行为，在消耗库存的同时将小幅提振溶剂油市场价格，国际油价震荡，就目前来看整体价格变化稳中运行。原油价格震荡运行，整体价格变化率呈正向区间变动，但消息面难以支撑溶剂油市场，对溶剂油市场指引作用偏弱，溶剂油市场整体持稳，目前溶剂油市场交投气氛欠佳，业者多持币谨慎观望，市场需求始终疲软，整体出货不佳，下游业者入市操作积极性不高，成交多以小单为主，溶剂油市场行情趋稳。下周原油价格或呈稳中上行走势，支撑溶剂油价格上行。然而年前的库位高存，将对溶剂油市场行情存在一定抑制作用，限制溶剂油价格涨幅。三月有关成品油消费税的消息即将落实，政策面利好。但是考虑到市场疲软状态难改，出货欠佳，以及国际油价震荡的不确定性等诸多因素，利好对市场行情指引作用偏弱。因此预测下周溶剂油市场行情趋稳，市场价格无明显变动。</w:t>
      </w:r>
    </w:p>
    <w:bookmarkEnd w:id="80"/>
    <w:p>
      <w:pPr>
        <w:pStyle w:val="19"/>
        <w:ind w:firstLine="560" w:firstLineChars="200"/>
        <w:rPr>
          <w:rFonts w:ascii="华文仿宋" w:hAnsi="华文仿宋" w:eastAsia="华文仿宋" w:cs="Times New Roman"/>
          <w:kern w:val="2"/>
          <w:sz w:val="28"/>
          <w:szCs w:val="28"/>
        </w:rPr>
      </w:pPr>
    </w:p>
    <w:p>
      <w:pPr>
        <w:outlineLvl w:val="0"/>
        <w:rPr>
          <w:rFonts w:ascii="黑体"/>
          <w:b/>
          <w:bCs/>
          <w:sz w:val="28"/>
          <w:szCs w:val="28"/>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505350015"/>
      <w:bookmarkStart w:id="58" w:name="_Toc460250411"/>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5"/>
        <w:gridCol w:w="1961"/>
        <w:gridCol w:w="1095"/>
        <w:gridCol w:w="1094"/>
        <w:gridCol w:w="1095"/>
        <w:gridCol w:w="1095"/>
        <w:gridCol w:w="124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地区</w:t>
            </w:r>
          </w:p>
        </w:tc>
        <w:tc>
          <w:tcPr>
            <w:tcW w:w="1961"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生产厂家</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产品名称</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价格类型</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涨跌</w:t>
            </w:r>
          </w:p>
        </w:tc>
        <w:tc>
          <w:tcPr>
            <w:tcW w:w="1246"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2018-3-9</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4900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4600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5300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5300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沧州炼厂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140#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5600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-400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5500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6100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6100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青岛石化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济南炼厂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东明石化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7650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6600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清江石化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杭州炼厂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泰州石化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金陵烷基苯厂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6100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扬州石化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4400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4400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福建联合</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100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5850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250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5750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110#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7000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南阳石化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南充炼厂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出厂价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246"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rPr>
            </w:pPr>
            <w:r>
              <w:rPr>
                <w:rFonts w:hint="eastAsia" w:ascii="华文仿宋" w:hAnsi="华文仿宋" w:eastAsia="华文仿宋"/>
                <w:sz w:val="28"/>
                <w:szCs w:val="28"/>
                <w:lang w:val="en-US" w:eastAsia="zh-CN"/>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296600821"/>
      <w:bookmarkStart w:id="60" w:name="_Toc505350016"/>
      <w:bookmarkStart w:id="61" w:name="_Toc460250412"/>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71"/>
        <w:gridCol w:w="1211"/>
        <w:gridCol w:w="1212"/>
        <w:gridCol w:w="1211"/>
        <w:gridCol w:w="1212"/>
        <w:gridCol w:w="1379"/>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生产厂家</w:t>
            </w:r>
          </w:p>
        </w:tc>
        <w:tc>
          <w:tcPr>
            <w:tcW w:w="1211"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产品名称</w:t>
            </w:r>
          </w:p>
        </w:tc>
        <w:tc>
          <w:tcPr>
            <w:tcW w:w="12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型号</w:t>
            </w:r>
          </w:p>
        </w:tc>
        <w:tc>
          <w:tcPr>
            <w:tcW w:w="1211"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价格类型</w:t>
            </w:r>
          </w:p>
        </w:tc>
        <w:tc>
          <w:tcPr>
            <w:tcW w:w="12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涨跌</w:t>
            </w:r>
          </w:p>
        </w:tc>
        <w:tc>
          <w:tcPr>
            <w:tcW w:w="1379"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2018-3-9</w:t>
            </w:r>
          </w:p>
        </w:tc>
        <w:tc>
          <w:tcPr>
            <w:tcW w:w="1380"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抚顺石化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抚顺石化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D60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抚顺石化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抚顺石化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D20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6930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7530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D75</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7930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D90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D95</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D105</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7930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D110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7930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沧州炼厂</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D120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7530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金陵石化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D30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金陵石化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6100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金陵石化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D60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6100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金陵石化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6100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金陵石化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D90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金陵石化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6300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D30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8100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D60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8200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D110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8200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清江石化</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D130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-9000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上海高桥爱思开</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上海高桥爱思开</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D30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上海高桥爱思开</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上海高桥爱思开</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上海高桥爱思开</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D130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洛阳金达</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洛阳金达</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D70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洛阳金达</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洛阳金达</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D95</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洛阳金达</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茂名实华</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D30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6800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6800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茂名实华</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D40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茂名实华</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D65</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茂名实华</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D80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7000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7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茂名实华</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D系列</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D100</w:t>
            </w:r>
          </w:p>
        </w:tc>
        <w:tc>
          <w:tcPr>
            <w:tcW w:w="1211"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21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79"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4"/>
        <w:gridCol w:w="1654"/>
        <w:gridCol w:w="1315"/>
        <w:gridCol w:w="1114"/>
        <w:gridCol w:w="1114"/>
        <w:gridCol w:w="1083"/>
        <w:gridCol w:w="1268"/>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地区</w:t>
            </w:r>
          </w:p>
        </w:tc>
        <w:tc>
          <w:tcPr>
            <w:tcW w:w="1654"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生产厂家</w:t>
            </w:r>
          </w:p>
        </w:tc>
        <w:tc>
          <w:tcPr>
            <w:tcW w:w="13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产品名称</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型号</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价格类型</w:t>
            </w:r>
          </w:p>
        </w:tc>
        <w:tc>
          <w:tcPr>
            <w:tcW w:w="1083"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2018-3-9</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5900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混合芳烃</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混三甲苯-1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混三甲苯-3</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混四甲苯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S-2300#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S1501#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S1800A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S1800B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S100#C</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-100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-400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混合甲乙苯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混合三甲苯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C10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中海油惠州</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26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bl>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96600823"/>
      <w:bookmarkStart w:id="68" w:name="_Toc281568215"/>
      <w:bookmarkStart w:id="69" w:name="_Toc460250414"/>
      <w:bookmarkStart w:id="70" w:name="_Toc505350018"/>
      <w:bookmarkStart w:id="71" w:name="_Toc18048583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
        <w:gridCol w:w="1592"/>
        <w:gridCol w:w="1333"/>
        <w:gridCol w:w="1334"/>
        <w:gridCol w:w="1333"/>
        <w:gridCol w:w="1518"/>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地区</w:t>
            </w:r>
          </w:p>
        </w:tc>
        <w:tc>
          <w:tcPr>
            <w:tcW w:w="1592"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生产厂家</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产品名称</w:t>
            </w:r>
          </w:p>
        </w:tc>
        <w:tc>
          <w:tcPr>
            <w:tcW w:w="1334"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价格类型</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涨跌</w:t>
            </w:r>
          </w:p>
        </w:tc>
        <w:tc>
          <w:tcPr>
            <w:tcW w:w="1518"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2018-3-9</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大连石化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辽阳石化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辽阳裕丰</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辽阳亿鑫</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燕山石化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燕山集联</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华东</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扬子石化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广州赫尔普</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7500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华中</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岳阳金瀚</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7000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兰州石化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-200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6700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克拉玛依</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518"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widowControl/>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281568216"/>
      <w:bookmarkStart w:id="73" w:name="_Toc505350019"/>
      <w:bookmarkStart w:id="74" w:name="_Toc460250415"/>
      <w:bookmarkStart w:id="75" w:name="_Toc296600824"/>
      <w:r>
        <w:rPr>
          <w:rFonts w:hint="eastAsia" w:ascii="华文仿宋" w:hAnsi="华文仿宋" w:eastAsia="华文仿宋"/>
          <w:b w:val="0"/>
          <w:bCs w:val="0"/>
          <w:kern w:val="2"/>
          <w:sz w:val="28"/>
          <w:szCs w:val="28"/>
        </w:rPr>
        <w:t>九、2017年10月中国溶剂油、石脑油进出口数据统计</w:t>
      </w:r>
      <w:bookmarkEnd w:id="72"/>
      <w:bookmarkEnd w:id="73"/>
      <w:bookmarkEnd w:id="74"/>
      <w:bookmarkEnd w:id="7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96600826"/>
      <w:bookmarkStart w:id="77" w:name="_Toc281568218"/>
      <w:r>
        <w:rPr>
          <w:rFonts w:hint="eastAsia" w:ascii="华文仿宋" w:hAnsi="华文仿宋" w:eastAsia="华文仿宋"/>
          <w:sz w:val="28"/>
          <w:szCs w:val="28"/>
        </w:rPr>
        <w:t>2017年10月中国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962" w:type="dxa"/>
        <w:tblInd w:w="0" w:type="dxa"/>
        <w:tblLayout w:type="fixed"/>
        <w:tblCellMar>
          <w:top w:w="0" w:type="dxa"/>
          <w:left w:w="108" w:type="dxa"/>
          <w:bottom w:w="0" w:type="dxa"/>
          <w:right w:w="108" w:type="dxa"/>
        </w:tblCellMar>
      </w:tblPr>
      <w:tblGrid>
        <w:gridCol w:w="1862"/>
        <w:gridCol w:w="1971"/>
        <w:gridCol w:w="2244"/>
        <w:gridCol w:w="1861"/>
        <w:gridCol w:w="2024"/>
      </w:tblGrid>
      <w:tr>
        <w:tblPrEx>
          <w:tblLayout w:type="fixed"/>
          <w:tblCellMar>
            <w:top w:w="0" w:type="dxa"/>
            <w:left w:w="108" w:type="dxa"/>
            <w:bottom w:w="0" w:type="dxa"/>
            <w:right w:w="108" w:type="dxa"/>
          </w:tblCellMar>
        </w:tblPrEx>
        <w:trPr>
          <w:trHeight w:val="300" w:hRule="atLeast"/>
        </w:trPr>
        <w:tc>
          <w:tcPr>
            <w:tcW w:w="1862"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产销国</w:t>
            </w:r>
          </w:p>
        </w:tc>
        <w:tc>
          <w:tcPr>
            <w:tcW w:w="1971"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进口数量</w:t>
            </w:r>
          </w:p>
        </w:tc>
        <w:tc>
          <w:tcPr>
            <w:tcW w:w="2244"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进口美元</w:t>
            </w:r>
          </w:p>
        </w:tc>
        <w:tc>
          <w:tcPr>
            <w:tcW w:w="1861"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出口数量</w:t>
            </w:r>
          </w:p>
        </w:tc>
        <w:tc>
          <w:tcPr>
            <w:tcW w:w="2024"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出口美元</w:t>
            </w:r>
          </w:p>
        </w:tc>
      </w:tr>
      <w:tr>
        <w:tblPrEx>
          <w:tblLayout w:type="fixed"/>
          <w:tblCellMar>
            <w:top w:w="0" w:type="dxa"/>
            <w:left w:w="108" w:type="dxa"/>
            <w:bottom w:w="0" w:type="dxa"/>
            <w:right w:w="108" w:type="dxa"/>
          </w:tblCellMar>
        </w:tblPrEx>
        <w:trPr>
          <w:trHeight w:val="300" w:hRule="atLeast"/>
        </w:trPr>
        <w:tc>
          <w:tcPr>
            <w:tcW w:w="186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巴基斯坦</w:t>
            </w:r>
          </w:p>
        </w:tc>
        <w:tc>
          <w:tcPr>
            <w:tcW w:w="1971"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24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c>
          <w:tcPr>
            <w:tcW w:w="1861"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2000</w:t>
            </w:r>
          </w:p>
        </w:tc>
        <w:tc>
          <w:tcPr>
            <w:tcW w:w="202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$1,750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"javascript:clickdiy(%22_month%22,%222017|%E6%AF%94%E5%88%A9%E6%97%B6%22);" </w:instrText>
            </w:r>
            <w:r>
              <w:fldChar w:fldCharType="separate"/>
            </w:r>
            <w:r>
              <w:rPr>
                <w:rFonts w:hint="eastAsia" w:ascii="华文仿宋" w:hAnsi="华文仿宋" w:eastAsia="华文仿宋"/>
                <w:sz w:val="28"/>
                <w:szCs w:val="28"/>
              </w:rPr>
              <w:t>比利时</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19479</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$30,364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"javascript:clickdiy(%22_month%22,%222017|%E5%BE%B7%E5%9B%BD%22);" </w:instrText>
            </w:r>
            <w:r>
              <w:fldChar w:fldCharType="separate"/>
            </w:r>
            <w:r>
              <w:rPr>
                <w:rFonts w:hint="eastAsia" w:ascii="华文仿宋" w:hAnsi="华文仿宋" w:eastAsia="华文仿宋"/>
                <w:sz w:val="28"/>
                <w:szCs w:val="28"/>
              </w:rPr>
              <w:t>德国</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60619</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$46,037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"javascript:clickdiy(%22_month%22,%222017|%E9%9F%A9%E5%9B%BD%22);" </w:instrText>
            </w:r>
            <w:r>
              <w:fldChar w:fldCharType="separate"/>
            </w:r>
            <w:r>
              <w:rPr>
                <w:rFonts w:hint="eastAsia" w:ascii="华文仿宋" w:hAnsi="华文仿宋" w:eastAsia="华文仿宋"/>
                <w:sz w:val="28"/>
                <w:szCs w:val="28"/>
              </w:rPr>
              <w:t>韩国</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221560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$216,081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78650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$74,665 </w:t>
            </w:r>
          </w:p>
        </w:tc>
      </w:tr>
      <w:tr>
        <w:tblPrEx>
          <w:tblLayout w:type="fixed"/>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"javascript:clickdiy(%22_month%22,%222017|%E8%8D%B7%E5%85%B0%22);" </w:instrText>
            </w:r>
            <w:r>
              <w:fldChar w:fldCharType="separate"/>
            </w:r>
            <w:r>
              <w:rPr>
                <w:rFonts w:hint="eastAsia" w:ascii="华文仿宋" w:hAnsi="华文仿宋" w:eastAsia="华文仿宋"/>
                <w:sz w:val="28"/>
                <w:szCs w:val="28"/>
              </w:rPr>
              <w:t>荷兰</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12640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$15,942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"javascript:clickdiy(%22_month%22,%222017|%E9%A9%AC%E6%9D%A5%E8%A5%BF%E4%BA%9A%22);" </w:instrText>
            </w:r>
            <w:r>
              <w:fldChar w:fldCharType="separate"/>
            </w:r>
            <w:r>
              <w:rPr>
                <w:rFonts w:hint="eastAsia" w:ascii="华文仿宋" w:hAnsi="华文仿宋" w:eastAsia="华文仿宋"/>
                <w:sz w:val="28"/>
                <w:szCs w:val="28"/>
              </w:rPr>
              <w:t>马来西亚</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16300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$17,625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"javascript:clickdiy(%22_month%22,%222017|%E7%BE%8E%E5%9B%BD%22);" </w:instrText>
            </w:r>
            <w:r>
              <w:fldChar w:fldCharType="separate"/>
            </w:r>
            <w:r>
              <w:rPr>
                <w:rFonts w:hint="eastAsia" w:ascii="华文仿宋" w:hAnsi="华文仿宋" w:eastAsia="华文仿宋"/>
                <w:sz w:val="28"/>
                <w:szCs w:val="28"/>
              </w:rPr>
              <w:t>美国</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56560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$199,059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"javascript:clickdiy(%22_month%22,%222017|%E6%97%A5%E6%9C%AC%22);" </w:instrText>
            </w:r>
            <w:r>
              <w:fldChar w:fldCharType="separate"/>
            </w:r>
            <w:r>
              <w:rPr>
                <w:rFonts w:hint="eastAsia" w:ascii="华文仿宋" w:hAnsi="华文仿宋" w:eastAsia="华文仿宋"/>
                <w:sz w:val="28"/>
                <w:szCs w:val="28"/>
              </w:rPr>
              <w:t>日本</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9256</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$26,436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"javascript:clickdiy(%22_month%22,%222017|%E5%8F%B0%E6%B9%BE%E7%9C%81%22);" </w:instrText>
            </w:r>
            <w:r>
              <w:fldChar w:fldCharType="separate"/>
            </w:r>
            <w:r>
              <w:rPr>
                <w:rFonts w:hint="eastAsia" w:ascii="华文仿宋" w:hAnsi="华文仿宋" w:eastAsia="华文仿宋"/>
                <w:sz w:val="28"/>
                <w:szCs w:val="28"/>
              </w:rPr>
              <w:t>台湾省</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13600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$35,360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"javascript:clickdiy(%22_month%22,%222017|%E6%B3%B0%E5%9B%BD%22);" </w:instrText>
            </w:r>
            <w:r>
              <w:fldChar w:fldCharType="separate"/>
            </w:r>
            <w:r>
              <w:rPr>
                <w:rFonts w:hint="eastAsia" w:ascii="华文仿宋" w:hAnsi="华文仿宋" w:eastAsia="华文仿宋"/>
                <w:sz w:val="28"/>
                <w:szCs w:val="28"/>
              </w:rPr>
              <w:t>泰国</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24800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$22,816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21600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$34,054 </w:t>
            </w:r>
          </w:p>
        </w:tc>
      </w:tr>
      <w:tr>
        <w:tblPrEx>
          <w:tblLayout w:type="fixed"/>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"javascript:clickdiy(%22_month%22,%222017|%E9%A6%99%E6%B8%AF%22);" </w:instrText>
            </w:r>
            <w:r>
              <w:fldChar w:fldCharType="separate"/>
            </w:r>
            <w:r>
              <w:rPr>
                <w:rFonts w:hint="eastAsia" w:ascii="华文仿宋" w:hAnsi="华文仿宋" w:eastAsia="华文仿宋"/>
                <w:sz w:val="28"/>
                <w:szCs w:val="28"/>
              </w:rPr>
              <w:t>香港</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163280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$134,337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"javascript:clickdiy(%22_month%22,%222017|%E6%96%B0%E5%8A%A0%E5%9D%A1%22);" </w:instrText>
            </w:r>
            <w:r>
              <w:fldChar w:fldCharType="separate"/>
            </w:r>
            <w:r>
              <w:rPr>
                <w:rFonts w:hint="eastAsia" w:ascii="华文仿宋" w:hAnsi="华文仿宋" w:eastAsia="华文仿宋"/>
                <w:sz w:val="28"/>
                <w:szCs w:val="28"/>
              </w:rPr>
              <w:t>新加坡</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1609318</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$1,751,489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"javascript:clickdiy(%22_month%22,%222017|%E8%B6%8A%E5%8D%97%22);" </w:instrText>
            </w:r>
            <w:r>
              <w:fldChar w:fldCharType="separate"/>
            </w:r>
            <w:r>
              <w:rPr>
                <w:rFonts w:hint="eastAsia" w:ascii="华文仿宋" w:hAnsi="华文仿宋" w:eastAsia="华文仿宋"/>
                <w:sz w:val="28"/>
                <w:szCs w:val="28"/>
              </w:rPr>
              <w:t>越南</w:t>
            </w:r>
            <w:r>
              <w:rPr>
                <w:rFonts w:hint="eastAsia" w:ascii="华文仿宋" w:hAnsi="华文仿宋" w:eastAsia="华文仿宋"/>
                <w:sz w:val="28"/>
                <w:szCs w:val="28"/>
              </w:rPr>
              <w:fldChar w:fldCharType="end"/>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0</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$0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5280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$5,597 </w:t>
            </w:r>
          </w:p>
        </w:tc>
      </w:tr>
      <w:tr>
        <w:tblPrEx>
          <w:tblLayout w:type="fixed"/>
          <w:tblCellMar>
            <w:top w:w="0" w:type="dxa"/>
            <w:left w:w="108" w:type="dxa"/>
            <w:bottom w:w="0" w:type="dxa"/>
            <w:right w:w="108" w:type="dxa"/>
          </w:tblCellMar>
        </w:tblPrEx>
        <w:trPr>
          <w:trHeight w:val="285" w:hRule="atLeast"/>
        </w:trPr>
        <w:tc>
          <w:tcPr>
            <w:tcW w:w="186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2017</w:t>
            </w:r>
          </w:p>
        </w:tc>
        <w:tc>
          <w:tcPr>
            <w:tcW w:w="197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2027832</w:t>
            </w:r>
          </w:p>
        </w:tc>
        <w:tc>
          <w:tcPr>
            <w:tcW w:w="224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$2,343,584 </w:t>
            </w:r>
          </w:p>
        </w:tc>
        <w:tc>
          <w:tcPr>
            <w:tcW w:w="1861"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285110</w:t>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hint="eastAsia" w:ascii="华文仿宋" w:hAnsi="华文仿宋" w:eastAsia="华文仿宋"/>
                <w:sz w:val="28"/>
                <w:szCs w:val="28"/>
              </w:rPr>
              <w:t xml:space="preserve">$266,278 </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2017年10月石脑油进出口数据(数量单位：千克/升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962" w:type="dxa"/>
        <w:tblInd w:w="0" w:type="dxa"/>
        <w:tblLayout w:type="fixed"/>
        <w:tblCellMar>
          <w:top w:w="0" w:type="dxa"/>
          <w:left w:w="108" w:type="dxa"/>
          <w:bottom w:w="0" w:type="dxa"/>
          <w:right w:w="108" w:type="dxa"/>
        </w:tblCellMar>
      </w:tblPr>
      <w:tblGrid>
        <w:gridCol w:w="2267"/>
        <w:gridCol w:w="2024"/>
        <w:gridCol w:w="2349"/>
        <w:gridCol w:w="1674"/>
        <w:gridCol w:w="1648"/>
      </w:tblGrid>
      <w:tr>
        <w:tblPrEx>
          <w:tblLayout w:type="fixed"/>
          <w:tblCellMar>
            <w:top w:w="0" w:type="dxa"/>
            <w:left w:w="108" w:type="dxa"/>
            <w:bottom w:w="0" w:type="dxa"/>
            <w:right w:w="108" w:type="dxa"/>
          </w:tblCellMar>
        </w:tblPrEx>
        <w:trPr>
          <w:trHeight w:val="300" w:hRule="atLeast"/>
        </w:trPr>
        <w:tc>
          <w:tcPr>
            <w:tcW w:w="2267"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产销国</w:t>
            </w:r>
          </w:p>
        </w:tc>
        <w:tc>
          <w:tcPr>
            <w:tcW w:w="2024"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进口数量</w:t>
            </w:r>
          </w:p>
        </w:tc>
        <w:tc>
          <w:tcPr>
            <w:tcW w:w="2349"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进口美元</w:t>
            </w:r>
          </w:p>
        </w:tc>
        <w:tc>
          <w:tcPr>
            <w:tcW w:w="1674"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出口数量</w:t>
            </w:r>
          </w:p>
        </w:tc>
        <w:tc>
          <w:tcPr>
            <w:tcW w:w="1648" w:type="dxa"/>
            <w:tcBorders>
              <w:top w:val="single" w:color="000000" w:sz="12" w:space="0"/>
              <w:left w:val="nil"/>
              <w:bottom w:val="single" w:color="000000" w:sz="12" w:space="0"/>
              <w:right w:val="single" w:color="000000" w:sz="12" w:space="0"/>
            </w:tcBorders>
            <w:shd w:val="clear" w:color="000000" w:fill="00CCFF"/>
          </w:tcPr>
          <w:p>
            <w:pPr>
              <w:widowControl/>
              <w:jc w:val="center"/>
              <w:rPr>
                <w:rFonts w:ascii="华文仿宋" w:hAnsi="华文仿宋" w:eastAsia="华文仿宋"/>
                <w:sz w:val="28"/>
                <w:szCs w:val="28"/>
              </w:rPr>
            </w:pPr>
            <w:r>
              <w:rPr>
                <w:rFonts w:hint="eastAsia" w:ascii="华文仿宋" w:hAnsi="华文仿宋" w:eastAsia="华文仿宋"/>
                <w:sz w:val="28"/>
                <w:szCs w:val="28"/>
              </w:rPr>
              <w:t>出口美元</w:t>
            </w:r>
          </w:p>
        </w:tc>
      </w:tr>
      <w:tr>
        <w:tblPrEx>
          <w:tblLayout w:type="fixed"/>
          <w:tblCellMar>
            <w:top w:w="0" w:type="dxa"/>
            <w:left w:w="108" w:type="dxa"/>
            <w:bottom w:w="0" w:type="dxa"/>
            <w:right w:w="108" w:type="dxa"/>
          </w:tblCellMar>
        </w:tblPrEx>
        <w:trPr>
          <w:trHeight w:val="330" w:hRule="atLeast"/>
        </w:trPr>
        <w:tc>
          <w:tcPr>
            <w:tcW w:w="22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"javascript:clickdiy(%22_month%22,%222017|%E9%98%BF%E5%B0%94%E5%8F%8A%E5%88%A9%E4%BA%9A%22);" </w:instrText>
            </w:r>
            <w:r>
              <w:fldChar w:fldCharType="separate"/>
            </w:r>
            <w:r>
              <w:rPr>
                <w:rFonts w:hint="eastAsia" w:ascii="华文仿宋" w:hAnsi="华文仿宋" w:eastAsia="华文仿宋"/>
                <w:sz w:val="28"/>
                <w:szCs w:val="28"/>
              </w:rPr>
              <w:t>阿尔及利亚</w:t>
            </w:r>
            <w:r>
              <w:rPr>
                <w:rFonts w:hint="eastAsia" w:ascii="华文仿宋" w:hAnsi="华文仿宋" w:eastAsia="华文仿宋"/>
                <w:sz w:val="28"/>
                <w:szCs w:val="28"/>
              </w:rPr>
              <w:fldChar w:fldCharType="end"/>
            </w:r>
          </w:p>
        </w:tc>
        <w:tc>
          <w:tcPr>
            <w:tcW w:w="2024" w:type="dxa"/>
            <w:tcBorders>
              <w:top w:val="single" w:color="000000" w:sz="8" w:space="0"/>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84871733</w:t>
            </w:r>
          </w:p>
        </w:tc>
        <w:tc>
          <w:tcPr>
            <w:tcW w:w="2349" w:type="dxa"/>
            <w:tcBorders>
              <w:top w:val="single" w:color="000000" w:sz="8" w:space="0"/>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$43,491,140 </w:t>
            </w:r>
          </w:p>
        </w:tc>
        <w:tc>
          <w:tcPr>
            <w:tcW w:w="1674" w:type="dxa"/>
            <w:tcBorders>
              <w:top w:val="single" w:color="000000" w:sz="8" w:space="0"/>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0</w:t>
            </w:r>
          </w:p>
        </w:tc>
        <w:tc>
          <w:tcPr>
            <w:tcW w:w="1648" w:type="dxa"/>
            <w:tcBorders>
              <w:top w:val="single" w:color="000000" w:sz="8" w:space="0"/>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315" w:hRule="atLeast"/>
        </w:trPr>
        <w:tc>
          <w:tcPr>
            <w:tcW w:w="226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"javascript:clickdiy(%22_month%22,%222017|%E9%9F%A9%E5%9B%BD%22);" </w:instrText>
            </w:r>
            <w:r>
              <w:fldChar w:fldCharType="separate"/>
            </w:r>
            <w:r>
              <w:rPr>
                <w:rFonts w:hint="eastAsia" w:ascii="华文仿宋" w:hAnsi="华文仿宋" w:eastAsia="华文仿宋"/>
                <w:sz w:val="28"/>
                <w:szCs w:val="28"/>
              </w:rPr>
              <w:t>韩国</w:t>
            </w:r>
            <w:r>
              <w:rPr>
                <w:rFonts w:hint="eastAsia" w:ascii="华文仿宋" w:hAnsi="华文仿宋" w:eastAsia="华文仿宋"/>
                <w:sz w:val="28"/>
                <w:szCs w:val="28"/>
              </w:rPr>
              <w:fldChar w:fldCharType="end"/>
            </w:r>
          </w:p>
        </w:tc>
        <w:tc>
          <w:tcPr>
            <w:tcW w:w="2024"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195329118</w:t>
            </w:r>
          </w:p>
        </w:tc>
        <w:tc>
          <w:tcPr>
            <w:tcW w:w="2349"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$102,860,448 </w:t>
            </w:r>
          </w:p>
        </w:tc>
        <w:tc>
          <w:tcPr>
            <w:tcW w:w="1674"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5926467</w:t>
            </w:r>
          </w:p>
        </w:tc>
        <w:tc>
          <w:tcPr>
            <w:tcW w:w="1648"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$2,666,910 </w:t>
            </w:r>
          </w:p>
        </w:tc>
      </w:tr>
      <w:tr>
        <w:tblPrEx>
          <w:tblLayout w:type="fixed"/>
          <w:tblCellMar>
            <w:top w:w="0" w:type="dxa"/>
            <w:left w:w="108" w:type="dxa"/>
            <w:bottom w:w="0" w:type="dxa"/>
            <w:right w:w="108" w:type="dxa"/>
          </w:tblCellMar>
        </w:tblPrEx>
        <w:trPr>
          <w:trHeight w:val="315" w:hRule="atLeast"/>
        </w:trPr>
        <w:tc>
          <w:tcPr>
            <w:tcW w:w="226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"javascript:clickdiy(%22_month%22,%222017|%E6%B2%99%E7%89%B9%E9%98%BF%E6%8B%89%E4%BC%AF%22);" </w:instrText>
            </w:r>
            <w:r>
              <w:fldChar w:fldCharType="separate"/>
            </w:r>
            <w:r>
              <w:rPr>
                <w:rFonts w:hint="eastAsia" w:ascii="华文仿宋" w:hAnsi="华文仿宋" w:eastAsia="华文仿宋"/>
                <w:sz w:val="28"/>
                <w:szCs w:val="28"/>
              </w:rPr>
              <w:t>沙特阿拉伯</w:t>
            </w:r>
            <w:r>
              <w:rPr>
                <w:rFonts w:hint="eastAsia" w:ascii="华文仿宋" w:hAnsi="华文仿宋" w:eastAsia="华文仿宋"/>
                <w:sz w:val="28"/>
                <w:szCs w:val="28"/>
              </w:rPr>
              <w:fldChar w:fldCharType="end"/>
            </w:r>
          </w:p>
        </w:tc>
        <w:tc>
          <w:tcPr>
            <w:tcW w:w="2024"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63775310</w:t>
            </w:r>
          </w:p>
        </w:tc>
        <w:tc>
          <w:tcPr>
            <w:tcW w:w="2349"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$33,499,477 </w:t>
            </w:r>
          </w:p>
        </w:tc>
        <w:tc>
          <w:tcPr>
            <w:tcW w:w="1674"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0</w:t>
            </w:r>
          </w:p>
        </w:tc>
        <w:tc>
          <w:tcPr>
            <w:tcW w:w="1648"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315" w:hRule="atLeast"/>
        </w:trPr>
        <w:tc>
          <w:tcPr>
            <w:tcW w:w="226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"javascript:clickdiy(%22_month%22,%222017|%E6%B3%B0%E5%9B%BD%22);" </w:instrText>
            </w:r>
            <w:r>
              <w:fldChar w:fldCharType="separate"/>
            </w:r>
            <w:r>
              <w:rPr>
                <w:rFonts w:hint="eastAsia" w:ascii="华文仿宋" w:hAnsi="华文仿宋" w:eastAsia="华文仿宋"/>
                <w:sz w:val="28"/>
                <w:szCs w:val="28"/>
              </w:rPr>
              <w:t>泰国</w:t>
            </w:r>
            <w:r>
              <w:rPr>
                <w:rFonts w:hint="eastAsia" w:ascii="华文仿宋" w:hAnsi="华文仿宋" w:eastAsia="华文仿宋"/>
                <w:sz w:val="28"/>
                <w:szCs w:val="28"/>
              </w:rPr>
              <w:fldChar w:fldCharType="end"/>
            </w:r>
          </w:p>
        </w:tc>
        <w:tc>
          <w:tcPr>
            <w:tcW w:w="2024"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15693191</w:t>
            </w:r>
          </w:p>
        </w:tc>
        <w:tc>
          <w:tcPr>
            <w:tcW w:w="2349"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$8,160,459 </w:t>
            </w:r>
          </w:p>
        </w:tc>
        <w:tc>
          <w:tcPr>
            <w:tcW w:w="1674"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0</w:t>
            </w:r>
          </w:p>
        </w:tc>
        <w:tc>
          <w:tcPr>
            <w:tcW w:w="1648" w:type="dxa"/>
            <w:tcBorders>
              <w:top w:val="nil"/>
              <w:left w:val="nil"/>
              <w:bottom w:val="single" w:color="000000" w:sz="8" w:space="0"/>
              <w:right w:val="single" w:color="000000" w:sz="8" w:space="0"/>
            </w:tcBorders>
            <w:shd w:val="clear" w:color="auto" w:fill="auto"/>
            <w:vAlign w:val="center"/>
          </w:tcPr>
          <w:p>
            <w:pPr>
              <w:widowControl/>
              <w:jc w:val="right"/>
              <w:rPr>
                <w:rFonts w:ascii="华文仿宋" w:hAnsi="华文仿宋" w:eastAsia="华文仿宋"/>
                <w:sz w:val="28"/>
                <w:szCs w:val="28"/>
              </w:rPr>
            </w:pPr>
            <w:r>
              <w:rPr>
                <w:rFonts w:ascii="华文仿宋" w:hAnsi="华文仿宋" w:eastAsia="华文仿宋"/>
                <w:sz w:val="28"/>
                <w:szCs w:val="28"/>
              </w:rPr>
              <w:t xml:space="preserve">$0 </w:t>
            </w:r>
          </w:p>
        </w:tc>
      </w:tr>
      <w:tr>
        <w:tblPrEx>
          <w:tblLayout w:type="fixed"/>
        </w:tblPrEx>
        <w:trPr>
          <w:trHeight w:val="315" w:hRule="atLeast"/>
        </w:trPr>
        <w:tc>
          <w:tcPr>
            <w:tcW w:w="226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"javascript:clickdiy(%22_month%22,%222017|%E6%96%B0%E5%8A%A0%E5%9D%A1%22);" </w:instrText>
            </w:r>
            <w:r>
              <w:fldChar w:fldCharType="separate"/>
            </w:r>
            <w:r>
              <w:rPr>
                <w:rFonts w:hint="eastAsia" w:ascii="华文仿宋" w:hAnsi="华文仿宋" w:eastAsia="华文仿宋"/>
                <w:sz w:val="28"/>
                <w:szCs w:val="28"/>
              </w:rPr>
              <w:t>新加坡</w:t>
            </w:r>
            <w:r>
              <w:rPr>
                <w:rFonts w:hint="eastAsia" w:ascii="华文仿宋" w:hAnsi="华文仿宋" w:eastAsia="华文仿宋"/>
                <w:sz w:val="28"/>
                <w:szCs w:val="28"/>
              </w:rPr>
              <w:fldChar w:fldCharType="end"/>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9994416</w:t>
            </w:r>
          </w:p>
        </w:tc>
        <w:tc>
          <w:tcPr>
            <w:tcW w:w="2349"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 xml:space="preserve">$5,137,130 </w:t>
            </w:r>
          </w:p>
        </w:tc>
        <w:tc>
          <w:tcPr>
            <w:tcW w:w="167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0</w:t>
            </w:r>
          </w:p>
        </w:tc>
        <w:tc>
          <w:tcPr>
            <w:tcW w:w="1648"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315" w:hRule="atLeast"/>
        </w:trPr>
        <w:tc>
          <w:tcPr>
            <w:tcW w:w="2267"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fldChar w:fldCharType="begin"/>
            </w:r>
            <w:r>
              <w:instrText xml:space="preserve"> HYPERLINK "javascript:clickdiy(%22_month%22,%222017|%E5%8D%B0%E5%BA%A6%22);" </w:instrText>
            </w:r>
            <w:r>
              <w:fldChar w:fldCharType="separate"/>
            </w:r>
            <w:r>
              <w:rPr>
                <w:rFonts w:hint="eastAsia" w:ascii="华文仿宋" w:hAnsi="华文仿宋" w:eastAsia="华文仿宋"/>
                <w:sz w:val="28"/>
                <w:szCs w:val="28"/>
              </w:rPr>
              <w:t>印度</w:t>
            </w:r>
            <w:r>
              <w:rPr>
                <w:rFonts w:hint="eastAsia" w:ascii="华文仿宋" w:hAnsi="华文仿宋" w:eastAsia="华文仿宋"/>
                <w:sz w:val="28"/>
                <w:szCs w:val="28"/>
              </w:rPr>
              <w:fldChar w:fldCharType="end"/>
            </w:r>
          </w:p>
        </w:tc>
        <w:tc>
          <w:tcPr>
            <w:tcW w:w="202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97754027</w:t>
            </w:r>
          </w:p>
        </w:tc>
        <w:tc>
          <w:tcPr>
            <w:tcW w:w="2349"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 xml:space="preserve">$50,173,980 </w:t>
            </w:r>
          </w:p>
        </w:tc>
        <w:tc>
          <w:tcPr>
            <w:tcW w:w="1674"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0</w:t>
            </w:r>
          </w:p>
        </w:tc>
        <w:tc>
          <w:tcPr>
            <w:tcW w:w="1648" w:type="dxa"/>
            <w:tcBorders>
              <w:top w:val="nil"/>
              <w:left w:val="nil"/>
              <w:bottom w:val="single" w:color="000000" w:sz="8" w:space="0"/>
              <w:right w:val="single" w:color="000000" w:sz="8" w:space="0"/>
            </w:tcBorders>
            <w:shd w:val="clear" w:color="auto" w:fill="auto"/>
            <w:vAlign w:val="center"/>
          </w:tcPr>
          <w:p>
            <w:pPr>
              <w:widowControl/>
              <w:jc w:val="center"/>
              <w:rPr>
                <w:rFonts w:ascii="华文仿宋" w:hAnsi="华文仿宋" w:eastAsia="华文仿宋"/>
                <w:sz w:val="28"/>
                <w:szCs w:val="28"/>
              </w:rPr>
            </w:pPr>
            <w:r>
              <w:rPr>
                <w:rFonts w:ascii="华文仿宋" w:hAnsi="华文仿宋" w:eastAsia="华文仿宋"/>
                <w:sz w:val="28"/>
                <w:szCs w:val="28"/>
              </w:rPr>
              <w:t xml:space="preserve">$0 </w:t>
            </w:r>
          </w:p>
        </w:tc>
      </w:tr>
      <w:tr>
        <w:tblPrEx>
          <w:tblLayout w:type="fixed"/>
          <w:tblCellMar>
            <w:top w:w="0" w:type="dxa"/>
            <w:left w:w="108" w:type="dxa"/>
            <w:bottom w:w="0" w:type="dxa"/>
            <w:right w:w="108" w:type="dxa"/>
          </w:tblCellMar>
        </w:tblPrEx>
        <w:trPr>
          <w:trHeight w:val="315" w:hRule="atLeast"/>
        </w:trPr>
        <w:tc>
          <w:tcPr>
            <w:tcW w:w="2267"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华文仿宋" w:hAnsi="华文仿宋" w:eastAsia="华文仿宋"/>
                <w:sz w:val="28"/>
                <w:szCs w:val="28"/>
              </w:rPr>
            </w:pPr>
            <w:r>
              <w:rPr>
                <w:rFonts w:ascii="华文仿宋" w:hAnsi="华文仿宋" w:eastAsia="华文仿宋"/>
                <w:sz w:val="28"/>
                <w:szCs w:val="28"/>
              </w:rPr>
              <w:t>2017</w:t>
            </w:r>
          </w:p>
        </w:tc>
        <w:tc>
          <w:tcPr>
            <w:tcW w:w="2024" w:type="dxa"/>
            <w:tcBorders>
              <w:top w:val="nil"/>
              <w:left w:val="nil"/>
              <w:bottom w:val="single" w:color="000000" w:sz="8" w:space="0"/>
              <w:right w:val="single" w:color="000000" w:sz="8" w:space="0"/>
            </w:tcBorders>
            <w:shd w:val="clear" w:color="000000" w:fill="FFFFFF"/>
            <w:vAlign w:val="center"/>
          </w:tcPr>
          <w:p>
            <w:pPr>
              <w:widowControl/>
              <w:jc w:val="center"/>
              <w:rPr>
                <w:rFonts w:ascii="华文仿宋" w:hAnsi="华文仿宋" w:eastAsia="华文仿宋"/>
                <w:sz w:val="28"/>
                <w:szCs w:val="28"/>
              </w:rPr>
            </w:pPr>
            <w:r>
              <w:rPr>
                <w:rFonts w:ascii="华文仿宋" w:hAnsi="华文仿宋" w:eastAsia="华文仿宋"/>
                <w:sz w:val="28"/>
                <w:szCs w:val="28"/>
              </w:rPr>
              <w:t>467417795</w:t>
            </w:r>
          </w:p>
        </w:tc>
        <w:tc>
          <w:tcPr>
            <w:tcW w:w="2349" w:type="dxa"/>
            <w:tcBorders>
              <w:top w:val="nil"/>
              <w:left w:val="nil"/>
              <w:bottom w:val="single" w:color="000000" w:sz="8" w:space="0"/>
              <w:right w:val="single" w:color="000000" w:sz="8" w:space="0"/>
            </w:tcBorders>
            <w:shd w:val="clear" w:color="000000" w:fill="FFFFFF"/>
            <w:vAlign w:val="center"/>
          </w:tcPr>
          <w:p>
            <w:pPr>
              <w:widowControl/>
              <w:jc w:val="center"/>
              <w:rPr>
                <w:rFonts w:ascii="华文仿宋" w:hAnsi="华文仿宋" w:eastAsia="华文仿宋"/>
                <w:sz w:val="28"/>
                <w:szCs w:val="28"/>
              </w:rPr>
            </w:pPr>
            <w:r>
              <w:rPr>
                <w:rFonts w:ascii="华文仿宋" w:hAnsi="华文仿宋" w:eastAsia="华文仿宋"/>
                <w:sz w:val="28"/>
                <w:szCs w:val="28"/>
              </w:rPr>
              <w:t xml:space="preserve">$243,322,634 </w:t>
            </w:r>
          </w:p>
        </w:tc>
        <w:tc>
          <w:tcPr>
            <w:tcW w:w="1674" w:type="dxa"/>
            <w:tcBorders>
              <w:top w:val="nil"/>
              <w:left w:val="nil"/>
              <w:bottom w:val="single" w:color="000000" w:sz="8" w:space="0"/>
              <w:right w:val="single" w:color="000000" w:sz="8" w:space="0"/>
            </w:tcBorders>
            <w:shd w:val="clear" w:color="000000" w:fill="FFFFFF"/>
            <w:vAlign w:val="center"/>
          </w:tcPr>
          <w:p>
            <w:pPr>
              <w:widowControl/>
              <w:jc w:val="center"/>
              <w:rPr>
                <w:rFonts w:ascii="华文仿宋" w:hAnsi="华文仿宋" w:eastAsia="华文仿宋"/>
                <w:sz w:val="28"/>
                <w:szCs w:val="28"/>
              </w:rPr>
            </w:pPr>
            <w:r>
              <w:rPr>
                <w:rFonts w:ascii="华文仿宋" w:hAnsi="华文仿宋" w:eastAsia="华文仿宋"/>
                <w:sz w:val="28"/>
                <w:szCs w:val="28"/>
              </w:rPr>
              <w:t>5926467</w:t>
            </w:r>
          </w:p>
        </w:tc>
        <w:tc>
          <w:tcPr>
            <w:tcW w:w="1648" w:type="dxa"/>
            <w:tcBorders>
              <w:top w:val="nil"/>
              <w:left w:val="nil"/>
              <w:bottom w:val="single" w:color="000000" w:sz="8" w:space="0"/>
              <w:right w:val="single" w:color="000000" w:sz="8" w:space="0"/>
            </w:tcBorders>
            <w:shd w:val="clear" w:color="000000" w:fill="FFFFFF"/>
            <w:vAlign w:val="center"/>
          </w:tcPr>
          <w:p>
            <w:pPr>
              <w:widowControl/>
              <w:jc w:val="center"/>
              <w:rPr>
                <w:rFonts w:ascii="华文仿宋" w:hAnsi="华文仿宋" w:eastAsia="华文仿宋"/>
                <w:sz w:val="28"/>
                <w:szCs w:val="28"/>
              </w:rPr>
            </w:pPr>
            <w:r>
              <w:rPr>
                <w:rFonts w:ascii="华文仿宋" w:hAnsi="华文仿宋" w:eastAsia="华文仿宋"/>
                <w:sz w:val="28"/>
                <w:szCs w:val="28"/>
              </w:rPr>
              <w:t xml:space="preserve">$2,666,910 </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D6932"/>
    <w:multiLevelType w:val="singleLevel"/>
    <w:tmpl w:val="F97D6932"/>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abstractNum w:abstractNumId="2">
    <w:nsid w:val="3E7CA3C5"/>
    <w:multiLevelType w:val="singleLevel"/>
    <w:tmpl w:val="3E7CA3C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C6F4F00"/>
    <w:rsid w:val="14BD6DE9"/>
    <w:rsid w:val="151B0610"/>
    <w:rsid w:val="15A51265"/>
    <w:rsid w:val="1602563E"/>
    <w:rsid w:val="193B0DD2"/>
    <w:rsid w:val="1A4B0BD2"/>
    <w:rsid w:val="21467DDF"/>
    <w:rsid w:val="272712C8"/>
    <w:rsid w:val="29CF7033"/>
    <w:rsid w:val="390E2AE7"/>
    <w:rsid w:val="3D5C793D"/>
    <w:rsid w:val="3EC639AA"/>
    <w:rsid w:val="54A90501"/>
    <w:rsid w:val="552402CA"/>
    <w:rsid w:val="58343EAC"/>
    <w:rsid w:val="5B920EBC"/>
    <w:rsid w:val="5DB45A4D"/>
    <w:rsid w:val="5F5C54EB"/>
    <w:rsid w:val="66AD6F06"/>
    <w:rsid w:val="68CB2404"/>
    <w:rsid w:val="7A08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uiPriority w:val="39"/>
    <w:pPr>
      <w:ind w:left="840" w:leftChars="400"/>
    </w:pPr>
  </w:style>
  <w:style w:type="paragraph" w:styleId="9">
    <w:name w:val="Date"/>
    <w:basedOn w:val="1"/>
    <w:next w:val="1"/>
    <w:uiPriority w:val="0"/>
    <w:pPr>
      <w:ind w:left="100" w:leftChars="2500"/>
    </w:pPr>
    <w:rPr>
      <w:rFonts w:ascii="宋体"/>
      <w:kern w:val="0"/>
      <w:sz w:val="20"/>
      <w:szCs w:val="20"/>
      <w:lang w:val="zh-CN"/>
    </w:rPr>
  </w:style>
  <w:style w:type="paragraph" w:styleId="10">
    <w:name w:val="Body Text Indent 2"/>
    <w:basedOn w:val="1"/>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uiPriority w:val="99"/>
    <w:pPr>
      <w:tabs>
        <w:tab w:val="center" w:pos="4153"/>
        <w:tab w:val="right" w:pos="8306"/>
      </w:tabs>
      <w:snapToGrid w:val="0"/>
      <w:jc w:val="left"/>
    </w:pPr>
    <w:rPr>
      <w:kern w:val="0"/>
      <w:sz w:val="18"/>
      <w:szCs w:val="18"/>
    </w:rPr>
  </w:style>
  <w:style w:type="paragraph" w:styleId="13">
    <w:name w:val="header"/>
    <w:basedOn w:val="1"/>
    <w:link w:val="28"/>
    <w:unhideWhenUsed/>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uiPriority w:val="0"/>
  </w:style>
  <w:style w:type="character" w:styleId="23">
    <w:name w:val="FollowedHyperlink"/>
    <w:uiPriority w:val="99"/>
    <w:rPr>
      <w:color w:val="800080"/>
      <w:u w:val="single"/>
    </w:rPr>
  </w:style>
  <w:style w:type="character" w:styleId="24">
    <w:name w:val="Hyperlink"/>
    <w:uiPriority w:val="99"/>
    <w:rPr>
      <w:color w:val="0000FF"/>
      <w:u w:val="single"/>
    </w:rPr>
  </w:style>
  <w:style w:type="table" w:styleId="26">
    <w:name w:val="Table Theme"/>
    <w:basedOn w:val="2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uiPriority w:val="99"/>
    <w:rPr>
      <w:sz w:val="18"/>
      <w:szCs w:val="18"/>
    </w:rPr>
  </w:style>
  <w:style w:type="character" w:customStyle="1" w:styleId="29">
    <w:name w:val="showtext"/>
    <w:basedOn w:val="20"/>
    <w:uiPriority w:val="0"/>
  </w:style>
  <w:style w:type="character" w:customStyle="1" w:styleId="30">
    <w:name w:val="标题 2 Char1"/>
    <w:link w:val="3"/>
    <w:uiPriority w:val="9"/>
    <w:rPr>
      <w:rFonts w:ascii="Cambria" w:hAnsi="Cambria"/>
      <w:b/>
      <w:bCs/>
      <w:kern w:val="2"/>
      <w:sz w:val="28"/>
      <w:szCs w:val="32"/>
    </w:rPr>
  </w:style>
  <w:style w:type="character" w:customStyle="1" w:styleId="31">
    <w:name w:val="普通 (Web) Char Char2"/>
    <w:locked/>
    <w:uiPriority w:val="0"/>
    <w:rPr>
      <w:rFonts w:ascii="宋体" w:hAnsi="宋体" w:eastAsia="宋体" w:cs="宋体"/>
      <w:sz w:val="24"/>
      <w:szCs w:val="24"/>
      <w:lang w:val="en-US" w:eastAsia="zh-CN" w:bidi="ar-SA"/>
    </w:rPr>
  </w:style>
  <w:style w:type="character" w:customStyle="1" w:styleId="32">
    <w:name w:val="apple-converted-space"/>
    <w:basedOn w:val="20"/>
    <w:uiPriority w:val="0"/>
  </w:style>
  <w:style w:type="character" w:customStyle="1" w:styleId="33">
    <w:name w:val="标题 1 Char"/>
    <w:link w:val="2"/>
    <w:uiPriority w:val="9"/>
    <w:rPr>
      <w:rFonts w:eastAsia="黑体"/>
      <w:b/>
      <w:bCs/>
      <w:kern w:val="44"/>
      <w:sz w:val="32"/>
      <w:szCs w:val="44"/>
    </w:rPr>
  </w:style>
  <w:style w:type="character" w:customStyle="1" w:styleId="34">
    <w:name w:val="页脚 Char"/>
    <w:link w:val="12"/>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uiPriority w:val="99"/>
    <w:rPr>
      <w:sz w:val="18"/>
      <w:szCs w:val="18"/>
    </w:rPr>
  </w:style>
  <w:style w:type="character" w:customStyle="1" w:styleId="37">
    <w:name w:val="style11"/>
    <w:uiPriority w:val="0"/>
    <w:rPr>
      <w:color w:val="999999"/>
      <w:sz w:val="18"/>
      <w:szCs w:val="18"/>
    </w:rPr>
  </w:style>
  <w:style w:type="character" w:customStyle="1" w:styleId="38">
    <w:name w:val="副标题 Char"/>
    <w:link w:val="15"/>
    <w:uiPriority w:val="11"/>
    <w:rPr>
      <w:rFonts w:ascii="Cambria" w:hAnsi="Cambria" w:cs="Times New Roman"/>
      <w:b/>
      <w:bCs/>
      <w:kern w:val="28"/>
      <w:sz w:val="32"/>
      <w:szCs w:val="32"/>
    </w:rPr>
  </w:style>
  <w:style w:type="character" w:customStyle="1" w:styleId="39">
    <w:name w:val="标题 2 Char"/>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locked/>
    <w:uiPriority w:val="0"/>
    <w:rPr>
      <w:rFonts w:ascii="宋体" w:hAnsi="宋体" w:eastAsia="宋体" w:cs="宋体"/>
      <w:sz w:val="24"/>
      <w:szCs w:val="24"/>
      <w:lang w:val="en-US" w:eastAsia="zh-CN" w:bidi="ar-SA"/>
    </w:rPr>
  </w:style>
  <w:style w:type="character" w:customStyle="1" w:styleId="42">
    <w:name w:val="style61"/>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uiPriority w:val="0"/>
    <w:rPr>
      <w:rFonts w:eastAsia="宋体"/>
      <w:b/>
      <w:bCs/>
      <w:kern w:val="2"/>
      <w:sz w:val="32"/>
      <w:szCs w:val="32"/>
      <w:lang w:val="en-US" w:eastAsia="zh-CN" w:bidi="ar-SA"/>
    </w:rPr>
  </w:style>
  <w:style w:type="character" w:customStyle="1" w:styleId="45">
    <w:name w:val="style161"/>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uiPriority w:val="0"/>
    <w:pPr>
      <w:adjustRightInd w:val="0"/>
      <w:spacing w:line="360" w:lineRule="atLeast"/>
      <w:jc w:val="left"/>
      <w:textAlignment w:val="baseline"/>
    </w:pPr>
    <w:rPr>
      <w:kern w:val="0"/>
      <w:sz w:val="24"/>
      <w:szCs w:val="20"/>
    </w:rPr>
  </w:style>
  <w:style w:type="paragraph" w:customStyle="1" w:styleId="70">
    <w:name w:val="xl3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407;&#27833;\&#21608;&#25253;&#12289;&#26376;&#25253;\&#26368;&#26032;&#28342;&#21058;&#27833;&#21608;&#25253;&#65306;&#23665;&#19996;&#22320;&#28860;&#30707;&#33041;&#27833;&#20215;&#26684;&#36208;&#21183;&#22270;3.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'[最新溶剂油周报：山东地炼石脑油价格走势图3.9.xls]溶剂油周报-石脑油价格走势图表'!$D$178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'[最新溶剂油周报：山东地炼石脑油价格走势图3.2.xls]溶剂油周报-石脑油价格走势图表'!$A$179:$C$309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numCache>
            </c:numRef>
          </c:cat>
          <c:val>
            <c:numRef>
              <c:f>'[最新溶剂油周报：山东地炼石脑油价格走势图3.2.xls]溶剂油周报-石脑油价格走势图表'!$D$179:$D$309</c:f>
              <c:numCache>
                <c:formatCode>@</c:formatCode>
                <c:ptCount val="13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numCache>
            </c:numRef>
          </c:val>
          <c:smooth val="0"/>
        </c:ser>
        <c:ser>
          <c:idx val="10"/>
          <c:order val="1"/>
          <c:tx>
            <c:strRef>
              <c:f>'[最新溶剂油周报：山东地炼石脑油价格走势图3.9.xls]溶剂油周报-石脑油价格走势图表'!$E$178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'[最新溶剂油周报：山东地炼石脑油价格走势图3.2.xls]溶剂油周报-石脑油价格走势图表'!$A$179:$C$309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numCache>
            </c:numRef>
          </c:cat>
          <c:val>
            <c:numRef>
              <c:f>'[最新溶剂油周报：山东地炼石脑油价格走势图3.2.xls]溶剂油周报-石脑油价格走势图表'!$E$179:$E$309</c:f>
              <c:numCache>
                <c:formatCode>@</c:formatCode>
                <c:ptCount val="13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numCache>
            </c:numRef>
          </c:val>
          <c:smooth val="0"/>
        </c:ser>
        <c:ser>
          <c:idx val="1"/>
          <c:order val="2"/>
          <c:tx>
            <c:strRef>
              <c:f>'[最新溶剂油周报：山东地炼石脑油价格走势图3.9.xls]溶剂油周报-石脑油价格走势图表'!$F$178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'[最新溶剂油周报：山东地炼石脑油价格走势图3.2.xls]溶剂油周报-石脑油价格走势图表'!$A$179:$C$309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numCache>
            </c:numRef>
          </c:cat>
          <c:val>
            <c:numRef>
              <c:f>'[最新溶剂油周报：山东地炼石脑油价格走势图3.2.xls]溶剂油周报-石脑油价格走势图表'!$F$179:$F$309</c:f>
              <c:numCache>
                <c:formatCode>@</c:formatCode>
                <c:ptCount val="13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numCache>
            </c:numRef>
          </c:val>
          <c:smooth val="0"/>
        </c:ser>
        <c:ser>
          <c:idx val="5"/>
          <c:order val="3"/>
          <c:tx>
            <c:strRef>
              <c:f>'[最新溶剂油周报：山东地炼石脑油价格走势图3.9.xls]溶剂油周报-石脑油价格走势图表'!$G$178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'[最新溶剂油周报：山东地炼石脑油价格走势图3.2.xls]溶剂油周报-石脑油价格走势图表'!$A$179:$C$309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numCache>
            </c:numRef>
          </c:cat>
          <c:val>
            <c:numRef>
              <c:f>'[最新溶剂油周报：山东地炼石脑油价格走势图3.2.xls]溶剂油周报-石脑油价格走势图表'!$G$179:$G$309</c:f>
              <c:numCache>
                <c:formatCode>@</c:formatCode>
                <c:ptCount val="13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numCache>
            </c:numRef>
          </c:val>
          <c:smooth val="0"/>
        </c:ser>
        <c:ser>
          <c:idx val="6"/>
          <c:order val="4"/>
          <c:tx>
            <c:strRef>
              <c:f>'[最新溶剂油周报：山东地炼石脑油价格走势图3.9.xls]溶剂油周报-石脑油价格走势图表'!$H$178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'[最新溶剂油周报：山东地炼石脑油价格走势图3.2.xls]溶剂油周报-石脑油价格走势图表'!$A$179:$C$309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numCache>
            </c:numRef>
          </c:cat>
          <c:val>
            <c:numRef>
              <c:f>'[最新溶剂油周报：山东地炼石脑油价格走势图3.2.xls]溶剂油周报-石脑油价格走势图表'!$H$179:$H$309</c:f>
              <c:numCache>
                <c:formatCode>General</c:formatCode>
                <c:ptCount val="13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numCache>
            </c:numRef>
          </c:val>
          <c:smooth val="0"/>
        </c:ser>
        <c:dLbls>
          <c:showLegendKey val="0"/>
          <c:showVal val="0"/>
          <c:showCatName val="0"/>
          <c:showSerName val="0"/>
          <c:showPercent val="0"/>
          <c:showBubbleSize val="0"/>
        </c:dLbls>
        <c:marker val="0"/>
        <c:smooth val="0"/>
        <c:axId val="330917800"/>
        <c:axId val="657837029"/>
      </c:lineChart>
      <c:dateAx>
        <c:axId val="330917800"/>
        <c:scaling>
          <c:orientation val="minMax"/>
          <c:max val="43168"/>
          <c:min val="42803"/>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57837029"/>
        <c:crossesAt val="2000"/>
        <c:auto val="1"/>
        <c:lblOffset val="100"/>
        <c:baseTimeUnit val="days"/>
        <c:majorUnit val="1"/>
        <c:majorTimeUnit val="months"/>
        <c:minorUnit val="1"/>
        <c:minorTimeUnit val="months"/>
      </c:dateAx>
      <c:valAx>
        <c:axId val="657837029"/>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30917800"/>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TotalTime>0</TotalTime>
  <ScaleCrop>false</ScaleCrop>
  <LinksUpToDate>false</LinksUpToDate>
  <CharactersWithSpaces>26720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2018-03-09T06:11:43Z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