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74" w:rsidRDefault="005866D5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B74" w:rsidRPr="00343195" w:rsidRDefault="00F5066F" w:rsidP="00AE3455">
      <w:pPr>
        <w:spacing w:line="400" w:lineRule="exact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2D0EBE" w:rsidRDefault="002D0EBE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2D0EBE" w:rsidRDefault="002D0EBE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02928608"/>
                  <w:r>
                    <w:rPr>
                      <w:rFonts w:hint="eastAsia"/>
                      <w:kern w:val="2"/>
                    </w:rPr>
                    <w:t>2018.01.</w:t>
                  </w:r>
                  <w:bookmarkEnd w:id="0"/>
                  <w:bookmarkEnd w:id="1"/>
                  <w:r>
                    <w:rPr>
                      <w:rFonts w:hint="eastAsia"/>
                      <w:kern w:val="2"/>
                    </w:rPr>
                    <w:t>05</w:t>
                  </w:r>
                  <w:bookmarkEnd w:id="2"/>
                </w:p>
                <w:p w:rsidR="002D0EBE" w:rsidRDefault="002D0EBE"/>
              </w:txbxContent>
            </v:textbox>
          </v:shape>
        </w:pict>
      </w:r>
      <w:r w:rsidR="005866D5">
        <w:br w:type="page"/>
      </w:r>
      <w:bookmarkStart w:id="3" w:name="_Toc485828985"/>
      <w:bookmarkStart w:id="4" w:name="_Toc485904788"/>
      <w:bookmarkStart w:id="5" w:name="_Toc485904811"/>
      <w:bookmarkStart w:id="6" w:name="_Toc485904755"/>
      <w:r w:rsidRPr="00F5066F"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 style="mso-next-textbox:#_x0000_s1036"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16668852"/>
                  </w:sdtPr>
                  <w:sdtEndPr>
                    <w:rPr>
                      <w:lang w:val="en-US"/>
                    </w:rPr>
                  </w:sdtEndPr>
                  <w:sdtContent>
                    <w:p w:rsidR="002D0EBE" w:rsidRDefault="002D0EBE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0017E9" w:rsidRDefault="002D0EBE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F5066F">
                        <w:fldChar w:fldCharType="begin"/>
                      </w:r>
                      <w:r>
                        <w:instrText xml:space="preserve"> TOC \o "1-3" \h \z \u </w:instrText>
                      </w:r>
                      <w:r w:rsidRPr="00F5066F">
                        <w:fldChar w:fldCharType="separate"/>
                      </w:r>
                      <w:hyperlink r:id="rId10" w:anchor="_Toc502928608" w:history="1">
                        <w:r w:rsidR="000017E9" w:rsidRPr="003A63B8">
                          <w:rPr>
                            <w:rStyle w:val="a8"/>
                            <w:noProof/>
                          </w:rPr>
                          <w:t>2018.01.05</w:t>
                        </w:r>
                        <w:r w:rsidR="000017E9">
                          <w:rPr>
                            <w:noProof/>
                            <w:webHidden/>
                          </w:rPr>
                          <w:tab/>
                        </w:r>
                        <w:r w:rsidR="000017E9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017E9">
                          <w:rPr>
                            <w:noProof/>
                            <w:webHidden/>
                          </w:rPr>
                          <w:instrText xml:space="preserve"> PAGEREF _Toc502928608 \h </w:instrText>
                        </w:r>
                        <w:r w:rsidR="000017E9">
                          <w:rPr>
                            <w:noProof/>
                            <w:webHidden/>
                          </w:rPr>
                        </w:r>
                        <w:r w:rsidR="000017E9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017E9">
                          <w:rPr>
                            <w:noProof/>
                            <w:webHidden/>
                          </w:rPr>
                          <w:t>1</w:t>
                        </w:r>
                        <w:r w:rsidR="000017E9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09" w:history="1"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>2.2</w:t>
                        </w:r>
                        <w:r w:rsidRPr="003A63B8">
                          <w:rPr>
                            <w:rStyle w:val="a8"/>
                            <w:rFonts w:cs="宋体" w:hint="eastAsia"/>
                            <w:noProof/>
                          </w:rPr>
                          <w:t>大商所</w:t>
                        </w:r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3A63B8">
                          <w:rPr>
                            <w:rStyle w:val="a8"/>
                            <w:rFonts w:cs="宋体" w:hint="eastAsia"/>
                            <w:noProof/>
                          </w:rPr>
                          <w:t>期货价格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_Toc502928609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0" w:history="1">
                        <w:r w:rsidRPr="003A63B8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3A63B8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3A63B8">
                          <w:rPr>
                            <w:rStyle w:val="a8"/>
                            <w:noProof/>
                          </w:rPr>
                          <w:t>PVC</w:t>
                        </w:r>
                        <w:r w:rsidRPr="003A63B8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1" w:history="1"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3A63B8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3A63B8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2" w:history="1"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3A63B8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3A63B8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3" w:history="1">
                        <w:r w:rsidRPr="003A63B8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4" w:history="1"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3A63B8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5" w:history="1"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3A63B8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6" w:history="1"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7" w:history="1"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8" w:history="1">
                        <w:r w:rsidRPr="003A63B8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3A63B8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017E9" w:rsidRDefault="000017E9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2928619" w:history="1">
                        <w:r w:rsidRPr="003A63B8">
                          <w:rPr>
                            <w:rStyle w:val="a8"/>
                            <w:rFonts w:ascii="Wingdings" w:hAnsi="Wingdings" w:cs="宋体"/>
                            <w:noProof/>
                          </w:rPr>
                          <w:t></w:t>
                        </w:r>
                        <w:r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noProof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Pr="003A63B8">
                          <w:rPr>
                            <w:rStyle w:val="a8"/>
                            <w:rFonts w:hint="eastAsia"/>
                            <w:noProof/>
                          </w:rPr>
                          <w:t>专题：宏观统计数据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_Toc502928619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2D0EBE" w:rsidRDefault="002D0EBE">
                      <w:r>
                        <w:fldChar w:fldCharType="end"/>
                      </w:r>
                    </w:p>
                  </w:sdtContent>
                </w:sdt>
                <w:p w:rsidR="002D0EBE" w:rsidRDefault="002D0EBE"/>
              </w:txbxContent>
            </v:textbox>
          </v:shape>
        </w:pict>
      </w:r>
      <w:r w:rsidR="005866D5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02312498"/>
      <w:bookmarkStart w:id="14" w:name="_Toc502324692"/>
      <w:bookmarkEnd w:id="3"/>
      <w:r w:rsidR="005866D5" w:rsidRPr="00343195">
        <w:rPr>
          <w:rFonts w:hint="eastAsia"/>
          <w:b/>
          <w:sz w:val="30"/>
          <w:szCs w:val="30"/>
        </w:rPr>
        <w:lastRenderedPageBreak/>
        <w:t>一．中国国内电石市场</w:t>
      </w:r>
      <w:bookmarkStart w:id="15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083509" w:rsidRPr="00083509" w:rsidRDefault="005866D5" w:rsidP="0008350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083509" w:rsidRPr="00083509">
        <w:rPr>
          <w:rFonts w:ascii="仿宋" w:eastAsia="仿宋" w:hAnsi="仿宋" w:cs="仿宋"/>
          <w:sz w:val="28"/>
          <w:szCs w:val="28"/>
        </w:rPr>
        <w:t>中国电石市场成交重心下行。元旦小长假过后，并未止住电石价格走跌之势，部分地区市场延续了供需失衡局面。因前期到货偏多，压车现象频发，河北东北小幅探降，随后山东局部和天津地区紧随其后，山西部分亦有计划下调。由于多地降雪，高速部分路段封闭，导致河南地区及以南地区到货有所减少，价格维持前期水平。电石企业方面，内蒙部分区域限电减产，四川地区由于枯水期限电部分企业减产运行，宁夏部分停产企业逐步恢复，但由于降雪天气，多地电石企业出货一般。整体来看，各地环保形势依然严峻，电石供供应量恐难有较大提升，下游产品虽有回暖，但电石回暖难度较大。</w:t>
      </w:r>
    </w:p>
    <w:p w:rsidR="007D7B74" w:rsidRPr="003F4A5A" w:rsidRDefault="005866D5" w:rsidP="00083509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C2055C" w:rsidRPr="00C2055C">
        <w:rPr>
          <w:rFonts w:ascii="仿宋" w:eastAsia="仿宋" w:hAnsi="仿宋" w:cs="仿宋" w:hint="eastAsia"/>
          <w:sz w:val="28"/>
          <w:szCs w:val="28"/>
        </w:rPr>
        <w:t>宁夏地区电石市场盘整运行，主流成交价格维持前期水平。据了解，周边地区电石价格上行乏力，导致当地电石企业观望情绪渐起，在缺乏利好因素引导的背景下，当地电石市场多将延续平稳走势。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C2055C" w:rsidRPr="00C2055C">
        <w:rPr>
          <w:rFonts w:ascii="仿宋" w:eastAsia="仿宋" w:hAnsi="仿宋" w:cs="仿宋"/>
          <w:sz w:val="28"/>
          <w:szCs w:val="28"/>
        </w:rPr>
        <w:t>2850-2950</w:t>
      </w:r>
      <w:r w:rsidR="005B32F2" w:rsidRPr="005B32F2">
        <w:rPr>
          <w:rFonts w:ascii="仿宋" w:eastAsia="仿宋" w:hAnsi="仿宋" w:cs="仿宋"/>
          <w:sz w:val="28"/>
          <w:szCs w:val="28"/>
        </w:rPr>
        <w:t xml:space="preserve"> </w:t>
      </w:r>
      <w:r w:rsidR="0003481E" w:rsidRPr="0003481E">
        <w:rPr>
          <w:rFonts w:ascii="仿宋" w:eastAsia="仿宋" w:hAnsi="仿宋" w:cs="仿宋"/>
          <w:sz w:val="28"/>
          <w:szCs w:val="28"/>
        </w:rPr>
        <w:t>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陕西地区：</w:t>
      </w:r>
      <w:r w:rsidR="00936251" w:rsidRPr="00936251">
        <w:rPr>
          <w:rFonts w:ascii="仿宋" w:eastAsia="仿宋" w:hAnsi="仿宋" w:cs="仿宋" w:hint="eastAsia"/>
          <w:sz w:val="28"/>
          <w:szCs w:val="28"/>
        </w:rPr>
        <w:t>近期了解到，陕西地区电石市场偏向低端，高端成交日益少见。分析认为，充裕的电石到货量使得该地区氯碱企业对其采购价格不断下调。与此同时，由于周边氯碱企业降负减产，电石需求面将有所萎缩。</w:t>
      </w:r>
      <w:r>
        <w:rPr>
          <w:rFonts w:ascii="仿宋" w:eastAsia="仿宋" w:hAnsi="仿宋" w:cs="仿宋" w:hint="eastAsia"/>
          <w:sz w:val="28"/>
          <w:szCs w:val="28"/>
        </w:rPr>
        <w:t>现神木地区一级品电石主流出厂价格在</w:t>
      </w:r>
      <w:r w:rsidR="00936251">
        <w:rPr>
          <w:rFonts w:ascii="仿宋" w:eastAsia="仿宋" w:hAnsi="仿宋" w:cs="仿宋"/>
          <w:sz w:val="28"/>
          <w:szCs w:val="28"/>
        </w:rPr>
        <w:t>2800-29</w:t>
      </w:r>
      <w:r w:rsidR="00936251">
        <w:rPr>
          <w:rFonts w:ascii="仿宋" w:eastAsia="仿宋" w:hAnsi="仿宋" w:cs="仿宋" w:hint="eastAsia"/>
          <w:sz w:val="28"/>
          <w:szCs w:val="28"/>
        </w:rPr>
        <w:t>50</w:t>
      </w:r>
      <w:r w:rsidR="0003481E" w:rsidRPr="0003481E">
        <w:rPr>
          <w:rFonts w:ascii="仿宋" w:eastAsia="仿宋" w:hAnsi="仿宋" w:cs="仿宋"/>
          <w:sz w:val="28"/>
          <w:szCs w:val="28"/>
        </w:rPr>
        <w:t xml:space="preserve"> 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936251" w:rsidRPr="00936251">
        <w:rPr>
          <w:rFonts w:ascii="仿宋" w:eastAsia="仿宋" w:hAnsi="仿宋" w:cs="仿宋" w:hint="eastAsia"/>
          <w:sz w:val="28"/>
          <w:szCs w:val="28"/>
        </w:rPr>
        <w:t>乌盟地区电石市场交投气氛平淡，主流成交价格维持在前期水平。据分析，虽然周边氯碱企业开工负荷平稳，但其对电石的采购热情随着货源量的稳定而有所降低，严格控制自身库存，电石厂家出货难现前期的顺畅局面，成交方面以企稳为主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5B32F2" w:rsidRPr="005B32F2">
        <w:rPr>
          <w:rFonts w:ascii="仿宋" w:eastAsia="仿宋" w:hAnsi="仿宋" w:cs="仿宋"/>
          <w:sz w:val="28"/>
          <w:szCs w:val="28"/>
        </w:rPr>
        <w:t>2950-3000</w:t>
      </w:r>
      <w:r w:rsidR="0003481E" w:rsidRPr="0003481E">
        <w:rPr>
          <w:rFonts w:ascii="仿宋" w:eastAsia="仿宋" w:hAnsi="仿宋" w:cs="仿宋"/>
          <w:sz w:val="28"/>
          <w:szCs w:val="28"/>
        </w:rPr>
        <w:t xml:space="preserve"> 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936251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河北地区：</w:t>
      </w:r>
      <w:r w:rsidR="00936251" w:rsidRPr="00936251">
        <w:rPr>
          <w:rFonts w:ascii="仿宋" w:eastAsia="仿宋" w:hAnsi="仿宋" w:cs="仿宋" w:hint="eastAsia"/>
          <w:sz w:val="28"/>
          <w:szCs w:val="28"/>
        </w:rPr>
        <w:t>受到货量稳定的影响，河北地区电石市场难以延续淡稳的局势，部分企业采购价价在今天出现小幅下调。据了解，西北货源到货较为稳定，市场供应量有所增加，与此同时，当地PCV市场行情转淡，且部分厂家仍存在压车卸货的现象，调价控制以到货量的现象时有发生。</w:t>
      </w:r>
    </w:p>
    <w:p w:rsidR="00122991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山东地区：</w:t>
      </w:r>
      <w:r w:rsidR="00936251" w:rsidRPr="00936251">
        <w:rPr>
          <w:rFonts w:ascii="仿宋" w:eastAsia="仿宋" w:hAnsi="仿宋" w:cs="仿宋" w:hint="eastAsia"/>
          <w:sz w:val="28"/>
          <w:szCs w:val="28"/>
        </w:rPr>
        <w:t>电石市场交投气氛平淡，主流成交价格维持在前期水平，到货量勉强够用，市场僵持维稳。据分析，前期华北地区高速封路，电石物流受阻，当地市场供需矛盾的局面有所缓解，但价格方面难有较大波动。</w:t>
      </w:r>
    </w:p>
    <w:p w:rsidR="007D7B74" w:rsidRPr="00343195" w:rsidRDefault="005866D5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6" w:name="_Toc485904756"/>
      <w:bookmarkStart w:id="17" w:name="_Toc485904789"/>
      <w:bookmarkStart w:id="18" w:name="_Toc485904812"/>
      <w:bookmarkStart w:id="19" w:name="_Toc485914306"/>
      <w:bookmarkStart w:id="20" w:name="_Toc489608583"/>
    </w:p>
    <w:p w:rsidR="00F542A7" w:rsidRPr="00F542A7" w:rsidRDefault="005866D5" w:rsidP="00F542A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1、需求方面：</w:t>
      </w:r>
      <w:r w:rsidR="00F542A7" w:rsidRPr="00F542A7">
        <w:rPr>
          <w:rFonts w:ascii="仿宋" w:eastAsia="仿宋" w:hAnsi="仿宋" w:cs="仿宋"/>
          <w:sz w:val="28"/>
          <w:szCs w:val="28"/>
        </w:rPr>
        <w:t>虽有部分“2+26”城市地区氯碱企业错峰限产，下游采购积极性一般。</w:t>
      </w:r>
    </w:p>
    <w:p w:rsidR="00F542A7" w:rsidRPr="00F542A7" w:rsidRDefault="005866D5" w:rsidP="00F542A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2.供应方面：</w:t>
      </w:r>
      <w:r w:rsidR="00F542A7" w:rsidRPr="00F542A7">
        <w:rPr>
          <w:rFonts w:ascii="仿宋" w:eastAsia="仿宋" w:hAnsi="仿宋" w:cs="仿宋"/>
          <w:sz w:val="28"/>
          <w:szCs w:val="28"/>
        </w:rPr>
        <w:t>电石主产区因限电以及错峰生产等因素导致开工略有不稳，但产量未见明显减少。</w:t>
      </w:r>
    </w:p>
    <w:p w:rsidR="00F542A7" w:rsidRPr="00F542A7" w:rsidRDefault="005866D5" w:rsidP="00F542A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1D30">
        <w:rPr>
          <w:rFonts w:hint="eastAsia"/>
          <w:sz w:val="28"/>
          <w:szCs w:val="28"/>
        </w:rPr>
        <w:t>后市</w:t>
      </w:r>
      <w:r w:rsidRPr="00871D30">
        <w:rPr>
          <w:sz w:val="28"/>
          <w:szCs w:val="28"/>
        </w:rPr>
        <w:t>预测</w:t>
      </w:r>
      <w:r>
        <w:rPr>
          <w:rFonts w:ascii="仿宋" w:eastAsia="仿宋" w:hAnsi="仿宋" w:cs="仿宋"/>
          <w:sz w:val="28"/>
          <w:szCs w:val="28"/>
        </w:rPr>
        <w:t>：</w:t>
      </w:r>
      <w:r w:rsidR="00F542A7" w:rsidRPr="00F542A7">
        <w:rPr>
          <w:rFonts w:ascii="仿宋" w:eastAsia="仿宋" w:hAnsi="仿宋" w:cs="仿宋"/>
          <w:sz w:val="28"/>
          <w:szCs w:val="28"/>
        </w:rPr>
        <w:t>电石价格仍有下行空间，道路运输情况成为关键影响因素。</w:t>
      </w:r>
    </w:p>
    <w:p w:rsidR="007D7B74" w:rsidRDefault="005866D5" w:rsidP="00F542A7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1" w:name="_Toc295460176"/>
      <w:bookmarkEnd w:id="15"/>
      <w:bookmarkEnd w:id="16"/>
      <w:bookmarkEnd w:id="17"/>
      <w:bookmarkEnd w:id="18"/>
      <w:bookmarkEnd w:id="19"/>
      <w:bookmarkEnd w:id="20"/>
    </w:p>
    <w:p w:rsidR="003A05CE" w:rsidRPr="003A05CE" w:rsidRDefault="005866D5" w:rsidP="003A05C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 w:rsidR="003A05CE" w:rsidRPr="003A05CE">
        <w:rPr>
          <w:rFonts w:ascii="仿宋" w:eastAsia="仿宋" w:hAnsi="仿宋" w:cs="仿宋"/>
          <w:sz w:val="28"/>
          <w:szCs w:val="28"/>
        </w:rPr>
        <w:t>本周整体市场维稳，由于受期货影响，部分地区及生产企业报价上调。周初生产企业除部分装置检修外，在产企业保持较高负荷，出货压力大，报价未见明显变化，但实单成交中仍有低价出现。期货方面窄幅回暖，但难以对现货市场形成足够支撑。</w:t>
      </w:r>
    </w:p>
    <w:p w:rsidR="00FB5EBF" w:rsidRPr="00FB5EBF" w:rsidRDefault="005866D5" w:rsidP="00FB5EB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厂家方面：</w:t>
      </w:r>
      <w:r w:rsidR="00FB5EBF" w:rsidRPr="003A05CE">
        <w:rPr>
          <w:rFonts w:ascii="仿宋" w:eastAsia="仿宋" w:hAnsi="仿宋" w:cs="仿宋"/>
          <w:sz w:val="28"/>
          <w:szCs w:val="28"/>
        </w:rPr>
        <w:t>元旦过后，由于期货开局冲高，华东、华南等地主流贸易商随之上调报盘价格，推动市场成交重心小幅上移，由于前期价格下跌速度较快，厂家和贸易商企稳心态鉴定，加上低价货源逐渐消化，市场成交氛围有所好转。乙烯法 PVC 整体库存仍在低位，部分工厂前期出货较好，但仍难寻利好，但成本维持在高位，厂家难有让利空间。装置方面：本周厂家开工基本增长，供应稳定。环保政策方面：“2+26”城市秋冬大气污染巡查工作时间持续，部分企业错峰生产。</w:t>
      </w:r>
      <w:r w:rsidR="00FB5EBF" w:rsidRPr="00FB5EBF">
        <w:rPr>
          <w:rFonts w:ascii="仿宋" w:eastAsia="仿宋" w:hAnsi="仿宋" w:cs="仿宋"/>
          <w:sz w:val="28"/>
          <w:szCs w:val="28"/>
        </w:rPr>
        <w:t>期货方面，本周期货前期延续小涨，现货市场小幅上涨，观望气氛浓厚。</w:t>
      </w:r>
    </w:p>
    <w:p w:rsidR="00746C21" w:rsidRPr="00FB5EBF" w:rsidRDefault="00746C21" w:rsidP="00343195">
      <w:pPr>
        <w:pStyle w:val="a7"/>
        <w:spacing w:line="400" w:lineRule="exact"/>
        <w:rPr>
          <w:rFonts w:ascii="仿宋" w:eastAsia="仿宋" w:hAnsi="仿宋" w:cs="仿宋"/>
          <w:sz w:val="28"/>
          <w:szCs w:val="28"/>
        </w:rPr>
      </w:pPr>
    </w:p>
    <w:p w:rsidR="007D7B74" w:rsidRDefault="005866D5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BE08F8" w:rsidRPr="00BE08F8" w:rsidRDefault="0052739A" w:rsidP="00BE08F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lastRenderedPageBreak/>
        <w:t>华北：</w:t>
      </w:r>
      <w:r w:rsidR="00BE08F8" w:rsidRPr="00BE08F8">
        <w:rPr>
          <w:rFonts w:ascii="仿宋" w:eastAsia="仿宋" w:hAnsi="仿宋" w:cs="仿宋"/>
          <w:sz w:val="28"/>
          <w:szCs w:val="28"/>
        </w:rPr>
        <w:t>本周齐鲁化工城PVC市场报价整体上调。截止到1月4日普通5型电石料主流报6360-6380元/吨。参考报价：S700报 6740元/吨，S1000报6635元/吨;信发五型料6380元/吨、泰山盐化五型料6380元/吨、鄂尔多斯五型料6360元/吨、伊东五型料6360元/吨、亿利五型料6360元/吨。</w:t>
      </w:r>
    </w:p>
    <w:p w:rsidR="005F1E5F" w:rsidRPr="00BE08F8" w:rsidRDefault="0052739A" w:rsidP="00BE08F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t>华东：</w:t>
      </w:r>
      <w:r w:rsidR="00BE08F8" w:rsidRPr="00BE08F8">
        <w:rPr>
          <w:rFonts w:ascii="仿宋" w:eastAsia="仿宋" w:hAnsi="仿宋" w:cs="仿宋"/>
          <w:sz w:val="28"/>
          <w:szCs w:val="28"/>
        </w:rPr>
        <w:t>杭州地区 PVC 市场稳定运行，期货横盘整理，贸易商稳价出货，市场询单量稳定。截止到1月4日杭州电石法5型主流参考自提 6550-6650 元/吨，参考报价：三联自提 6580 元/吨，宜化自提 6600 元/吨，中泰 5 型自提 6650 元/吨，北元、天辰、天能 5 型自提 6670-6720 元/吨。高型号北元、天辰 8 型自提报价 6830 元/吨，天业 3 型自提报价 6850 元/吨，部分实盘可议价。本周常州地区 PVC 市场试探性提升，期货横盘整理，下游对高价货源较为抵触。截止到 1 月 4 日常州普通 5 型电石料主流自提报 6550-6650 元/吨，参考报价：盐湖自提 6570 元/吨，君正自提 6630 元/吨，中泰 5 型自提 6650 元/吨，天辰天能 5 型自提 6650 元/吨，北元 5 型自提 6650 元/吨。部分高型号报盘在 6800 元/吨左右。乙烯料暂时稳定，齐鲁、大沽 1000 型送到 6900-6950 元/吨，700 型送到在 7000-7050 元/吨;联成各型号送到在 7000-7150 元/吨。</w:t>
      </w:r>
    </w:p>
    <w:p w:rsidR="00F32F44" w:rsidRPr="005F1E5F" w:rsidRDefault="0052739A" w:rsidP="00BE08F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t>华南：</w:t>
      </w:r>
      <w:r w:rsidR="00BE08F8" w:rsidRPr="00BE08F8">
        <w:rPr>
          <w:rFonts w:ascii="仿宋" w:eastAsia="仿宋" w:hAnsi="仿宋" w:cs="仿宋"/>
          <w:sz w:val="28"/>
          <w:szCs w:val="28"/>
        </w:rPr>
        <w:t>区 PVC 市场维稳运行，个别企业报盘价格试探性上调。截止 1 月 4 日发稿，广州地区普通 5 型电石料主流自提报价 6580-6640 元/吨，君正 6700 元/吨，盐湖 6620 元/吨，天湖 6650 元/吨，东兴 6620 元/吨，亿利 6640元/吨，三联 6580 元/吨，天辰 6750 元/吨。乙烯料市场稳定运行，大沽 1300 型 7100 元/吨，大沽 1000 大小包、800大包 6800 元/吨，大沽 700 型 6900 元/吨，实际成交商谈。</w:t>
      </w:r>
    </w:p>
    <w:p w:rsidR="007D7B74" w:rsidRDefault="005866D5" w:rsidP="00F32F44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</w:p>
    <w:p w:rsidR="00133423" w:rsidRPr="00133423" w:rsidRDefault="00133423" w:rsidP="0013342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33423">
        <w:rPr>
          <w:rFonts w:ascii="仿宋" w:eastAsia="仿宋" w:hAnsi="仿宋" w:cs="仿宋"/>
          <w:sz w:val="28"/>
          <w:szCs w:val="28"/>
        </w:rPr>
        <w:t>原料电石方面，电石供应尚算充裕，价格小幅波动，PVC 成本变化不大。</w:t>
      </w:r>
    </w:p>
    <w:p w:rsidR="00951CEA" w:rsidRDefault="00133423" w:rsidP="00133423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133423">
        <w:rPr>
          <w:rFonts w:ascii="仿宋" w:eastAsia="仿宋" w:hAnsi="仿宋" w:cs="仿宋"/>
          <w:sz w:val="28"/>
          <w:szCs w:val="28"/>
        </w:rPr>
        <w:t>供需方面，整体开工正常，供应稳定。下游需求仍处于淡季，近期变化不大。</w:t>
      </w:r>
    </w:p>
    <w:p w:rsidR="004F27BF" w:rsidRDefault="004F27BF" w:rsidP="0013342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4F27BF">
        <w:rPr>
          <w:rFonts w:ascii="仿宋" w:eastAsia="仿宋" w:hAnsi="仿宋" w:cs="仿宋"/>
          <w:sz w:val="28"/>
          <w:szCs w:val="28"/>
        </w:rPr>
        <w:lastRenderedPageBreak/>
        <w:t>期货方面，本周期货前期延续小涨，现货市场心态谨慎，观望气氛浓厚。</w:t>
      </w:r>
    </w:p>
    <w:p w:rsidR="00133423" w:rsidRPr="00133423" w:rsidRDefault="005866D5" w:rsidP="0013342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bookmarkStart w:id="22" w:name="_Toc488391995"/>
      <w:bookmarkStart w:id="23" w:name="_Toc488997537"/>
      <w:bookmarkStart w:id="24" w:name="_Toc485904813"/>
      <w:bookmarkStart w:id="25" w:name="_Toc487798662"/>
      <w:bookmarkStart w:id="26" w:name="_Toc485914307"/>
      <w:bookmarkStart w:id="27" w:name="_Toc489608584"/>
      <w:bookmarkStart w:id="28" w:name="_Toc485904757"/>
      <w:bookmarkStart w:id="29" w:name="_Toc485904790"/>
      <w:r w:rsidR="00133423" w:rsidRPr="00133423">
        <w:rPr>
          <w:rFonts w:ascii="仿宋" w:eastAsia="仿宋" w:hAnsi="仿宋" w:cs="仿宋"/>
          <w:sz w:val="28"/>
          <w:szCs w:val="28"/>
        </w:rPr>
        <w:t>现货市场供应量依然较高，需求端难有改善，现货市场基本面表现一般，参与者观望心态浓厚，虽春节前期仍会有逢低适当备货的小行情，但难以对 PVC 市场形成强力推动。下周国内 PVC 市场维持高位盘整格局。</w:t>
      </w:r>
    </w:p>
    <w:p w:rsidR="0096172A" w:rsidRPr="004A793C" w:rsidRDefault="005866D5" w:rsidP="004A793C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4A793C">
        <w:rPr>
          <w:rFonts w:hint="eastAsia"/>
          <w:b/>
          <w:sz w:val="30"/>
          <w:szCs w:val="30"/>
        </w:rPr>
        <w:t>2.1 本周行情回顾</w:t>
      </w:r>
      <w:bookmarkStart w:id="30" w:name="_Toc489608585"/>
      <w:bookmarkStart w:id="31" w:name="_Toc488997538"/>
      <w:bookmarkStart w:id="32" w:name="_Toc488391996"/>
      <w:bookmarkStart w:id="33" w:name="_Toc487798663"/>
      <w:bookmarkStart w:id="34" w:name="_Toc247424466"/>
      <w:bookmarkStart w:id="35" w:name="_Toc485914308"/>
      <w:bookmarkStart w:id="36" w:name="_Toc295460177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4A793C" w:rsidRPr="004A793C" w:rsidRDefault="004A793C" w:rsidP="004A793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37" w:name="_Toc502312499"/>
      <w:bookmarkStart w:id="38" w:name="_Toc502324693"/>
      <w:r w:rsidRPr="004A793C">
        <w:rPr>
          <w:rFonts w:ascii="仿宋" w:eastAsia="仿宋" w:hAnsi="仿宋" w:cs="仿宋"/>
          <w:sz w:val="28"/>
          <w:szCs w:val="28"/>
        </w:rPr>
        <w:t>PVC 企业的库存虽然不高，但需求淡季，下游采购的积极性不高，现货供应呈现增加趋势，受期货影响，北方部分 PVC 生产企业保持小涨态势。</w:t>
      </w:r>
    </w:p>
    <w:p w:rsidR="007D7B74" w:rsidRDefault="005866D5" w:rsidP="00810EAE">
      <w:pPr>
        <w:pStyle w:val="1"/>
        <w:spacing w:line="579" w:lineRule="auto"/>
        <w:ind w:firstLineChars="200" w:firstLine="602"/>
        <w:rPr>
          <w:rFonts w:asciiTheme="majorEastAsia" w:eastAsiaTheme="majorEastAsia" w:hAnsiTheme="majorEastAsia"/>
          <w:sz w:val="28"/>
          <w:szCs w:val="28"/>
        </w:rPr>
      </w:pPr>
      <w:bookmarkStart w:id="39" w:name="_Toc502922916"/>
      <w:bookmarkStart w:id="40" w:name="_Toc502928609"/>
      <w:r>
        <w:rPr>
          <w:rFonts w:ascii="宋体" w:eastAsia="宋体" w:hAnsi="宋体" w:cs="宋体" w:hint="eastAsia"/>
          <w:sz w:val="30"/>
          <w:szCs w:val="30"/>
        </w:rPr>
        <w:t>2.2大商所PVC期货价格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7D7B74" w:rsidRDefault="00343195">
      <w:pPr>
        <w:jc w:val="center"/>
        <w:rPr>
          <w:rFonts w:ascii="宋体" w:hAnsi="宋体" w:cs="宋体"/>
          <w:b/>
          <w:sz w:val="28"/>
          <w:szCs w:val="28"/>
        </w:rPr>
      </w:pPr>
      <w:r w:rsidRPr="00AE5436"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AE5436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7D7B74" w:rsidRDefault="00AE5436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AE5436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173149"/>
            <wp:effectExtent l="19050" t="0" r="10160" b="8201"/>
            <wp:docPr id="1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C26C7" w:rsidRDefault="006C26C7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</w:p>
    <w:p w:rsidR="00A91591" w:rsidRDefault="00A9159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</w:p>
    <w:p w:rsidR="007D7B74" w:rsidRDefault="00F5066F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2D0EBE" w:rsidRDefault="002D0EBE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7D7B74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1" w:name="_Toc483664856"/>
            <w:bookmarkStart w:id="42" w:name="_Toc489608586"/>
            <w:bookmarkStart w:id="43" w:name="_Toc485914309"/>
            <w:bookmarkStart w:id="44" w:name="_Toc487798664"/>
            <w:bookmarkStart w:id="45" w:name="_Toc488391997"/>
            <w:bookmarkStart w:id="46" w:name="_Toc488997539"/>
            <w:bookmarkStart w:id="47" w:name="_Toc295460178"/>
            <w:bookmarkStart w:id="48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AE543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6460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6730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6470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6485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1396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12324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-970</w:t>
            </w:r>
          </w:p>
        </w:tc>
      </w:tr>
      <w:tr w:rsidR="00AE543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6870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6870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6455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6625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744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12026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-298</w:t>
            </w:r>
          </w:p>
        </w:tc>
      </w:tr>
      <w:tr w:rsidR="00AE543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12046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20</w:t>
            </w:r>
          </w:p>
        </w:tc>
      </w:tr>
      <w:tr w:rsidR="00AE543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12046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AE5436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12082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436" w:rsidRPr="00AE5436" w:rsidRDefault="00AE5436" w:rsidP="00AE543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E5436">
              <w:rPr>
                <w:rFonts w:asciiTheme="minorEastAsia" w:eastAsiaTheme="minorEastAsia" w:hAnsiTheme="minorEastAsia" w:hint="eastAsia"/>
                <w:sz w:val="20"/>
                <w:szCs w:val="20"/>
              </w:rPr>
              <w:t>36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49" w:name="_Toc502312500"/>
      <w:bookmarkStart w:id="50" w:name="_Toc502324694"/>
      <w:bookmarkStart w:id="51" w:name="_Toc502922917"/>
      <w:bookmarkStart w:id="52" w:name="_Toc502928610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7D7B74" w:rsidRDefault="00BB65C7" w:rsidP="00475C68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7D7B74" w:rsidRDefault="007D7B74">
      <w:pPr>
        <w:rPr>
          <w:szCs w:val="21"/>
        </w:rPr>
      </w:pPr>
    </w:p>
    <w:p w:rsidR="007D7B74" w:rsidRDefault="00BB65C7">
      <w:pPr>
        <w:rPr>
          <w:szCs w:val="21"/>
        </w:rPr>
      </w:pPr>
      <w:r w:rsidRPr="00BB65C7">
        <w:rPr>
          <w:szCs w:val="21"/>
        </w:rPr>
        <w:drawing>
          <wp:inline distT="0" distB="0" distL="0" distR="0">
            <wp:extent cx="5400040" cy="3445829"/>
            <wp:effectExtent l="19050" t="0" r="10160" b="2221"/>
            <wp:docPr id="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7D7B74" w:rsidRDefault="00B123F0">
      <w:pPr>
        <w:rPr>
          <w:szCs w:val="21"/>
        </w:rPr>
      </w:pPr>
      <w:r>
        <w:rPr>
          <w:szCs w:val="21"/>
        </w:rPr>
        <w:br/>
      </w:r>
      <w:r w:rsidR="00F5066F" w:rsidRPr="00F5066F">
        <w:pict>
          <v:shape id="文本框 17" o:spid="_x0000_s1034" type="#_x0000_t202" style="position:absolute;left:0;text-align:left;margin-left:127.5pt;margin-top:14pt;width:154.2pt;height:34.95pt;z-index:251662336;mso-position-horizontal-relative:text;mso-position-vertical-relative:text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>
              <w:txbxContent>
                <w:p w:rsidR="002D0EBE" w:rsidRDefault="002D0EBE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2D0EBE" w:rsidRDefault="002D0EBE"/>
              </w:txbxContent>
            </v:textbox>
            <w10:wrap type="square"/>
          </v:shape>
        </w:pict>
      </w:r>
    </w:p>
    <w:p w:rsidR="007D7B74" w:rsidRDefault="007D7B74"/>
    <w:p w:rsidR="00B123F0" w:rsidRDefault="00B123F0"/>
    <w:p w:rsidR="007D7B74" w:rsidRDefault="007D7B74" w:rsidP="00B123F0"/>
    <w:p w:rsidR="007D7B74" w:rsidRDefault="005866D5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3"/>
        <w:gridCol w:w="1692"/>
        <w:gridCol w:w="1693"/>
      </w:tblGrid>
      <w:tr w:rsidR="007D7B74">
        <w:trPr>
          <w:trHeight w:val="315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3" w:name="_Toc483664857"/>
            <w:bookmarkStart w:id="54" w:name="_Toc489608587"/>
            <w:bookmarkStart w:id="55" w:name="_Toc485914310"/>
            <w:bookmarkStart w:id="56" w:name="_Toc247424468"/>
            <w:bookmarkStart w:id="57" w:name="_Toc295460179"/>
            <w:bookmarkStart w:id="58" w:name="_Toc488997540"/>
            <w:bookmarkStart w:id="59" w:name="_Toc488391998"/>
            <w:bookmarkStart w:id="60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7D7B74">
        <w:trPr>
          <w:trHeight w:val="312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7D7B74">
        <w:trPr>
          <w:trHeight w:val="285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BB65C7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BB65C7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BB65C7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BB65C7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BB65C7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65C7" w:rsidRPr="00BB65C7" w:rsidRDefault="00BB65C7" w:rsidP="00BB65C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B65C7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61" w:name="_Toc502312501"/>
      <w:bookmarkStart w:id="62" w:name="_Toc502324695"/>
      <w:bookmarkStart w:id="63" w:name="_Toc502922918"/>
      <w:bookmarkStart w:id="64" w:name="_Toc502928611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7D7B74" w:rsidRDefault="006E094C" w:rsidP="00A9159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7D7B74" w:rsidRDefault="007D7B74"/>
    <w:p w:rsidR="007D7B74" w:rsidRDefault="006E094C">
      <w:r w:rsidRPr="006E094C">
        <w:drawing>
          <wp:inline distT="0" distB="0" distL="0" distR="0">
            <wp:extent cx="5400040" cy="3150648"/>
            <wp:effectExtent l="19050" t="0" r="10160" b="0"/>
            <wp:docPr id="9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91591" w:rsidRDefault="00A91591"/>
    <w:p w:rsidR="00A91591" w:rsidRDefault="00A91591"/>
    <w:p w:rsidR="00A91591" w:rsidRDefault="00A91591"/>
    <w:p w:rsidR="00A91591" w:rsidRDefault="00A91591"/>
    <w:p w:rsidR="007D7B74" w:rsidRDefault="00F5066F">
      <w:pPr>
        <w:rPr>
          <w:rFonts w:ascii="宋体"/>
          <w:b/>
        </w:rPr>
      </w:pPr>
      <w:r w:rsidRPr="00F5066F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宋体"/>
          <w:b/>
        </w:rPr>
      </w:pPr>
    </w:p>
    <w:p w:rsidR="00A91591" w:rsidRDefault="00A91591">
      <w:pPr>
        <w:rPr>
          <w:rFonts w:ascii="宋体"/>
          <w:b/>
        </w:rPr>
      </w:pPr>
    </w:p>
    <w:p w:rsidR="007D7B74" w:rsidRDefault="005866D5" w:rsidP="00A91591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65" w:name="_Toc247424469"/>
      <w:bookmarkStart w:id="66" w:name="_Toc295460180"/>
      <w:bookmarkStart w:id="67" w:name="_Toc488997541"/>
      <w:bookmarkStart w:id="68" w:name="_Toc488391999"/>
      <w:bookmarkStart w:id="69" w:name="_Toc483664858"/>
      <w:bookmarkStart w:id="70" w:name="_Toc489608588"/>
      <w:bookmarkStart w:id="71" w:name="_Toc487798666"/>
      <w:bookmarkStart w:id="72" w:name="_Toc485914311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7D7B74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6E094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</w:tr>
      <w:tr w:rsidR="006E094C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6690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</w:tr>
      <w:tr w:rsidR="006E094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6690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6640</w:t>
            </w:r>
          </w:p>
        </w:tc>
      </w:tr>
      <w:tr w:rsidR="006E094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6690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6640</w:t>
            </w:r>
          </w:p>
        </w:tc>
      </w:tr>
      <w:tr w:rsidR="006E094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6690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E094C" w:rsidRPr="006E094C" w:rsidRDefault="006E0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094C">
              <w:rPr>
                <w:rFonts w:asciiTheme="minorEastAsia" w:eastAsiaTheme="minorEastAsia" w:hAnsiTheme="minorEastAsia" w:hint="eastAsia"/>
                <w:sz w:val="20"/>
                <w:szCs w:val="20"/>
              </w:rPr>
              <w:t>6640</w:t>
            </w:r>
          </w:p>
        </w:tc>
      </w:tr>
    </w:tbl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p w:rsidR="007D7B74" w:rsidRDefault="007D7B74">
      <w:pPr>
        <w:pStyle w:val="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73" w:name="_Toc502312502"/>
      <w:bookmarkStart w:id="74" w:name="_Toc502324696"/>
      <w:bookmarkStart w:id="75" w:name="_Toc502922919"/>
      <w:bookmarkStart w:id="76" w:name="_Toc502928612"/>
      <w:r w:rsidRPr="003637F5">
        <w:rPr>
          <w:rFonts w:ascii="宋体" w:hAnsi="宋体" w:cs="宋体" w:hint="eastAsia"/>
          <w:sz w:val="30"/>
          <w:szCs w:val="30"/>
        </w:rPr>
        <w:t>2.5国际PVC市场价格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7D7B74" w:rsidRDefault="00986B37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5866D5">
        <w:rPr>
          <w:rFonts w:ascii="仿宋" w:eastAsia="仿宋" w:hAnsi="仿宋" w:hint="eastAsia"/>
          <w:b/>
          <w:sz w:val="28"/>
          <w:szCs w:val="28"/>
        </w:rPr>
        <w:t>年国际</w:t>
      </w:r>
      <w:r w:rsidR="005866D5">
        <w:rPr>
          <w:rFonts w:ascii="仿宋" w:eastAsia="仿宋" w:hAnsi="仿宋"/>
          <w:b/>
          <w:sz w:val="28"/>
          <w:szCs w:val="28"/>
        </w:rPr>
        <w:t>PVC</w:t>
      </w:r>
      <w:r w:rsidR="005866D5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7D7B74" w:rsidRDefault="00986B37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986B37">
        <w:rPr>
          <w:szCs w:val="21"/>
        </w:rPr>
        <w:drawing>
          <wp:inline distT="0" distB="0" distL="0" distR="0">
            <wp:extent cx="5400040" cy="3183774"/>
            <wp:effectExtent l="19050" t="0" r="10160" b="0"/>
            <wp:docPr id="12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91591" w:rsidRDefault="00A91591">
      <w:pPr>
        <w:widowControl/>
        <w:spacing w:beforeAutospacing="1" w:after="375" w:line="420" w:lineRule="atLeast"/>
        <w:ind w:firstLine="420"/>
        <w:jc w:val="center"/>
        <w:rPr>
          <w:rFonts w:hint="eastAsia"/>
          <w:szCs w:val="21"/>
        </w:rPr>
      </w:pPr>
    </w:p>
    <w:p w:rsidR="00A91591" w:rsidRDefault="00A91591" w:rsidP="00A91591">
      <w:pPr>
        <w:widowControl/>
        <w:spacing w:beforeAutospacing="1" w:after="375" w:line="420" w:lineRule="atLeast"/>
        <w:rPr>
          <w:rFonts w:hint="eastAsia"/>
          <w:szCs w:val="21"/>
        </w:rPr>
      </w:pPr>
    </w:p>
    <w:p w:rsidR="002D0EBE" w:rsidRDefault="002D0EBE" w:rsidP="00A91591">
      <w:pPr>
        <w:widowControl/>
        <w:spacing w:beforeAutospacing="1" w:after="375" w:line="420" w:lineRule="atLeast"/>
        <w:rPr>
          <w:szCs w:val="21"/>
        </w:rPr>
      </w:pPr>
    </w:p>
    <w:p w:rsidR="00A91591" w:rsidRPr="00A91591" w:rsidRDefault="00F5066F">
      <w:pPr>
        <w:rPr>
          <w:rFonts w:ascii="宋体" w:hAnsi="宋体"/>
        </w:rPr>
      </w:pPr>
      <w:r w:rsidRPr="00F5066F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7D7B74" w:rsidRPr="00A91591" w:rsidRDefault="005866D5" w:rsidP="00A91591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7D7B74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986B3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780</w:t>
            </w:r>
          </w:p>
        </w:tc>
      </w:tr>
      <w:tr w:rsidR="00986B3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800</w:t>
            </w:r>
          </w:p>
        </w:tc>
      </w:tr>
      <w:tr w:rsidR="00986B3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875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810</w:t>
            </w:r>
          </w:p>
        </w:tc>
      </w:tr>
      <w:tr w:rsidR="00986B3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880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86B37" w:rsidRPr="00986B37" w:rsidRDefault="00986B3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86B37">
              <w:rPr>
                <w:rFonts w:asciiTheme="minorEastAsia" w:eastAsiaTheme="minorEastAsia" w:hAnsiTheme="minorEastAsia" w:hint="eastAsia"/>
                <w:sz w:val="20"/>
                <w:szCs w:val="20"/>
              </w:rPr>
              <w:t>815</w:t>
            </w:r>
          </w:p>
        </w:tc>
      </w:tr>
    </w:tbl>
    <w:p w:rsidR="007D7B74" w:rsidRDefault="007D7B74">
      <w:pPr>
        <w:rPr>
          <w:sz w:val="18"/>
          <w:szCs w:val="18"/>
        </w:rPr>
      </w:pPr>
    </w:p>
    <w:p w:rsidR="007D7B74" w:rsidRDefault="005866D5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77" w:name="_Toc485914312"/>
      <w:bookmarkStart w:id="78" w:name="_Toc488997542"/>
      <w:bookmarkStart w:id="79" w:name="_Toc487798667"/>
      <w:bookmarkStart w:id="80" w:name="_Toc489608589"/>
      <w:bookmarkStart w:id="81" w:name="_Toc488392000"/>
      <w:bookmarkStart w:id="82" w:name="_Toc295460181"/>
      <w:bookmarkStart w:id="83" w:name="_Toc247424474"/>
      <w:bookmarkStart w:id="84" w:name="_Toc483664859"/>
      <w:bookmarkStart w:id="85" w:name="_Toc502312503"/>
      <w:bookmarkStart w:id="86" w:name="_Toc502324697"/>
      <w:bookmarkStart w:id="87" w:name="_Toc502922920"/>
      <w:bookmarkStart w:id="88" w:name="_Toc502928613"/>
      <w:r>
        <w:rPr>
          <w:rFonts w:ascii="宋体" w:hAnsi="宋体" w:hint="eastAsia"/>
          <w:sz w:val="30"/>
          <w:szCs w:val="30"/>
        </w:rPr>
        <w:t>三、相关产品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89" w:name="_Toc483664860"/>
      <w:bookmarkStart w:id="90" w:name="_Toc295460182"/>
      <w:bookmarkStart w:id="91" w:name="_Toc488392001"/>
      <w:bookmarkStart w:id="92" w:name="_Toc487798668"/>
      <w:bookmarkStart w:id="93" w:name="_Toc489608590"/>
      <w:bookmarkStart w:id="94" w:name="_Toc485914313"/>
      <w:bookmarkStart w:id="95" w:name="_Toc247424475"/>
      <w:bookmarkStart w:id="96" w:name="_Toc488997543"/>
      <w:bookmarkStart w:id="97" w:name="_Toc502312504"/>
      <w:bookmarkStart w:id="98" w:name="_Toc502324698"/>
      <w:bookmarkStart w:id="99" w:name="_Toc502922921"/>
      <w:bookmarkStart w:id="100" w:name="_Toc502928614"/>
      <w:r w:rsidRPr="00793BF3">
        <w:rPr>
          <w:rFonts w:ascii="宋体" w:hAnsi="宋体" w:cs="宋体" w:hint="eastAsia"/>
          <w:sz w:val="30"/>
          <w:szCs w:val="30"/>
        </w:rPr>
        <w:t>3.1原油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7D7B74" w:rsidRDefault="00E7162C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3D6775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7D7B74" w:rsidRDefault="00793BF3">
      <w:pPr>
        <w:jc w:val="center"/>
      </w:pPr>
      <w:r w:rsidRPr="00793BF3">
        <w:drawing>
          <wp:inline distT="0" distB="0" distL="0" distR="0">
            <wp:extent cx="5086350" cy="3124200"/>
            <wp:effectExtent l="19050" t="0" r="19050" b="0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7B74" w:rsidRDefault="007D7B74"/>
    <w:p w:rsidR="007D7B74" w:rsidRDefault="007D7B74">
      <w:pPr>
        <w:rPr>
          <w:szCs w:val="21"/>
        </w:rPr>
      </w:pPr>
    </w:p>
    <w:p w:rsidR="007D7B74" w:rsidRDefault="005866D5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7D7B74" w:rsidRDefault="005866D5" w:rsidP="00272CA8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7D7B74" w:rsidRDefault="007D7B74">
      <w:pPr>
        <w:ind w:leftChars="412" w:left="865"/>
        <w:rPr>
          <w:rFonts w:ascii="宋体" w:hAnsi="宋体" w:cs="宋体"/>
          <w:sz w:val="18"/>
          <w:szCs w:val="18"/>
        </w:rPr>
      </w:pPr>
    </w:p>
    <w:p w:rsidR="007D7B74" w:rsidRDefault="007D7B74">
      <w:pPr>
        <w:ind w:leftChars="100" w:left="210" w:firstLineChars="312" w:firstLine="655"/>
        <w:rPr>
          <w:rFonts w:ascii="宋体"/>
          <w:szCs w:val="21"/>
        </w:rPr>
      </w:pPr>
    </w:p>
    <w:p w:rsidR="00A91591" w:rsidRDefault="00A91591">
      <w:pPr>
        <w:ind w:leftChars="100" w:left="210" w:firstLineChars="312" w:firstLine="655"/>
        <w:rPr>
          <w:rFonts w:ascii="宋体"/>
          <w:szCs w:val="21"/>
        </w:rPr>
      </w:pPr>
    </w:p>
    <w:p w:rsidR="007D7B74" w:rsidRDefault="00F5066F">
      <w:pPr>
        <w:ind w:leftChars="100" w:left="210" w:firstLineChars="312" w:firstLine="655"/>
        <w:rPr>
          <w:rFonts w:ascii="宋体"/>
          <w:szCs w:val="21"/>
        </w:rPr>
      </w:pPr>
      <w:r w:rsidRPr="00F5066F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7D7B7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01" w:name="_Toc295460183"/>
            <w:bookmarkStart w:id="102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793BF3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59.84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66.72</w:t>
            </w:r>
          </w:p>
        </w:tc>
      </w:tr>
      <w:tr w:rsidR="00793BF3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60.42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66.87</w:t>
            </w:r>
          </w:p>
        </w:tc>
      </w:tr>
      <w:tr w:rsidR="00793BF3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60.37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66.57</w:t>
            </w:r>
          </w:p>
        </w:tc>
      </w:tr>
      <w:tr w:rsidR="00793BF3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60.37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66.57</w:t>
            </w:r>
          </w:p>
        </w:tc>
      </w:tr>
      <w:tr w:rsidR="00793BF3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62.01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3BF3" w:rsidRPr="00793BF3" w:rsidRDefault="00793B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93BF3">
              <w:rPr>
                <w:rFonts w:asciiTheme="minorEastAsia" w:eastAsiaTheme="minorEastAsia" w:hAnsiTheme="minorEastAsia" w:hint="eastAsia"/>
                <w:sz w:val="20"/>
                <w:szCs w:val="20"/>
              </w:rPr>
              <w:t>68.07</w:t>
            </w:r>
          </w:p>
        </w:tc>
      </w:tr>
    </w:tbl>
    <w:p w:rsidR="007D7B74" w:rsidRDefault="005866D5">
      <w:pPr>
        <w:pStyle w:val="2"/>
        <w:spacing w:line="415" w:lineRule="auto"/>
      </w:pPr>
      <w:r>
        <w:rPr>
          <w:rFonts w:hint="eastAsia"/>
        </w:rPr>
        <w:t xml:space="preserve">　</w:t>
      </w:r>
      <w:bookmarkStart w:id="103" w:name="_Toc487798669"/>
      <w:bookmarkStart w:id="104" w:name="_Toc488392002"/>
      <w:bookmarkStart w:id="105" w:name="_Toc483664861"/>
      <w:bookmarkStart w:id="106" w:name="_Toc489608591"/>
      <w:bookmarkStart w:id="107" w:name="_Toc485914314"/>
      <w:bookmarkStart w:id="108" w:name="_Toc488997544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09" w:name="_Toc502312505"/>
      <w:bookmarkStart w:id="110" w:name="_Toc502324699"/>
      <w:bookmarkStart w:id="111" w:name="_Toc502922922"/>
      <w:bookmarkStart w:id="112" w:name="_Toc502928615"/>
      <w:r>
        <w:rPr>
          <w:rFonts w:ascii="宋体" w:hAnsi="宋体" w:cs="宋体" w:hint="eastAsia"/>
          <w:sz w:val="30"/>
          <w:szCs w:val="30"/>
        </w:rPr>
        <w:t>3.2 乙烯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7D7B74" w:rsidRDefault="00106A44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D7B74" w:rsidRDefault="00106A44" w:rsidP="00106A44">
      <w:pPr>
        <w:widowControl/>
        <w:spacing w:beforeAutospacing="1" w:after="375" w:line="420" w:lineRule="atLeast"/>
        <w:ind w:firstLine="284"/>
      </w:pPr>
      <w:r w:rsidRPr="00106A44">
        <w:drawing>
          <wp:inline distT="0" distB="0" distL="0" distR="0">
            <wp:extent cx="5353050" cy="3209925"/>
            <wp:effectExtent l="19050" t="0" r="19050" b="0"/>
            <wp:docPr id="13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91591">
        <w:rPr>
          <w:rFonts w:hint="eastAsia"/>
        </w:rPr>
        <w:br/>
      </w:r>
    </w:p>
    <w:p w:rsidR="00A91591" w:rsidRDefault="00A91591">
      <w:pPr>
        <w:widowControl/>
        <w:spacing w:beforeAutospacing="1" w:after="375" w:line="420" w:lineRule="atLeast"/>
        <w:ind w:firstLine="420"/>
        <w:jc w:val="center"/>
      </w:pPr>
    </w:p>
    <w:p w:rsidR="00A91591" w:rsidRDefault="00A91591">
      <w:pPr>
        <w:widowControl/>
        <w:spacing w:beforeAutospacing="1" w:after="375" w:line="420" w:lineRule="atLeast"/>
        <w:ind w:firstLine="420"/>
        <w:jc w:val="center"/>
      </w:pPr>
    </w:p>
    <w:p w:rsidR="007D7B74" w:rsidRPr="00A91591" w:rsidRDefault="00F5066F" w:rsidP="00A91591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5866D5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13" w:name="_Toc487798670"/>
      <w:bookmarkStart w:id="114" w:name="_Toc489608592"/>
      <w:bookmarkStart w:id="115" w:name="_Toc483664862"/>
      <w:bookmarkStart w:id="116" w:name="_Toc485914315"/>
      <w:bookmarkStart w:id="117" w:name="_Toc488392003"/>
      <w:bookmarkStart w:id="118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7D7B7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4569FB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1175.5</w:t>
            </w:r>
          </w:p>
        </w:tc>
      </w:tr>
      <w:tr w:rsidR="004569FB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1178.5</w:t>
            </w:r>
          </w:p>
        </w:tc>
      </w:tr>
      <w:tr w:rsidR="004569FB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1184.5</w:t>
            </w:r>
          </w:p>
        </w:tc>
      </w:tr>
      <w:tr w:rsidR="004569FB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1182</w:t>
            </w:r>
          </w:p>
        </w:tc>
      </w:tr>
      <w:tr w:rsidR="004569FB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1400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1290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569FB" w:rsidRPr="004569FB" w:rsidRDefault="004569FB" w:rsidP="004569F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569FB">
              <w:rPr>
                <w:rFonts w:asciiTheme="minorEastAsia" w:eastAsiaTheme="minorEastAsia" w:hAnsiTheme="minorEastAsia" w:hint="eastAsia"/>
                <w:sz w:val="20"/>
                <w:szCs w:val="20"/>
              </w:rPr>
              <w:t>1187</w:t>
            </w:r>
          </w:p>
        </w:tc>
      </w:tr>
    </w:tbl>
    <w:p w:rsidR="007D7B74" w:rsidRDefault="007D7B74" w:rsidP="00871D30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19" w:name="_Toc502312506"/>
      <w:bookmarkStart w:id="120" w:name="_Toc502324700"/>
      <w:bookmarkStart w:id="121" w:name="_Toc502922923"/>
      <w:bookmarkStart w:id="122" w:name="_Toc502928616"/>
      <w:r>
        <w:rPr>
          <w:rFonts w:ascii="宋体" w:hAnsi="宋体" w:cs="宋体" w:hint="eastAsia"/>
          <w:sz w:val="30"/>
          <w:szCs w:val="30"/>
        </w:rPr>
        <w:t>3.3 EDC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7D7B74" w:rsidRDefault="00363BED" w:rsidP="00A9159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A96AC2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7D7B74" w:rsidRDefault="00363BED">
      <w:r w:rsidRPr="00363BED">
        <w:drawing>
          <wp:inline distT="0" distB="0" distL="0" distR="0">
            <wp:extent cx="5400040" cy="3180649"/>
            <wp:effectExtent l="19050" t="0" r="10160" b="701"/>
            <wp:docPr id="1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7B74" w:rsidRDefault="007D7B74"/>
    <w:p w:rsidR="007D7B74" w:rsidRDefault="00F5066F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2D0EBE" w:rsidRDefault="002D0EBE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7D7B74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lastRenderedPageBreak/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363BE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115</w:t>
            </w:r>
          </w:p>
        </w:tc>
      </w:tr>
      <w:tr w:rsidR="00363BE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115</w:t>
            </w:r>
          </w:p>
        </w:tc>
      </w:tr>
      <w:tr w:rsidR="00363BED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120</w:t>
            </w:r>
          </w:p>
        </w:tc>
      </w:tr>
      <w:tr w:rsidR="00363BE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BED" w:rsidRPr="00363BED" w:rsidRDefault="00363BED" w:rsidP="00363BE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63BED">
              <w:rPr>
                <w:rFonts w:asciiTheme="minorEastAsia" w:eastAsiaTheme="minorEastAsia" w:hAnsiTheme="minorEastAsia" w:hint="eastAsia"/>
                <w:sz w:val="20"/>
                <w:szCs w:val="20"/>
              </w:rPr>
              <w:t>115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23" w:name="_Toc487798671"/>
      <w:bookmarkStart w:id="124" w:name="_Toc489608593"/>
      <w:bookmarkStart w:id="125" w:name="_Toc488997546"/>
      <w:bookmarkStart w:id="126" w:name="_Toc322078441"/>
      <w:bookmarkStart w:id="127" w:name="_Toc247424478"/>
      <w:bookmarkStart w:id="128" w:name="_Toc286647029"/>
      <w:bookmarkStart w:id="129" w:name="_Toc488392004"/>
      <w:bookmarkStart w:id="130" w:name="_Toc485914316"/>
      <w:bookmarkStart w:id="131" w:name="_Toc283391557"/>
      <w:bookmarkStart w:id="132" w:name="_Toc295460185"/>
      <w:bookmarkStart w:id="133" w:name="_Toc292436437"/>
      <w:bookmarkStart w:id="134" w:name="_Toc483664863"/>
      <w:bookmarkStart w:id="135" w:name="_Toc291835541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36" w:name="_Toc502312507"/>
      <w:bookmarkStart w:id="137" w:name="_Toc502324701"/>
      <w:bookmarkStart w:id="138" w:name="_Toc502922924"/>
      <w:bookmarkStart w:id="139" w:name="_Toc502928617"/>
      <w:r>
        <w:rPr>
          <w:rFonts w:ascii="宋体" w:hAnsi="宋体" w:cs="宋体" w:hint="eastAsia"/>
          <w:sz w:val="30"/>
          <w:szCs w:val="30"/>
        </w:rPr>
        <w:t>3.4 VCM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:rsidR="007D7B74" w:rsidRDefault="00770F28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A96AC2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7D7B74" w:rsidRDefault="00770F28">
      <w:r w:rsidRPr="00770F28">
        <w:drawing>
          <wp:inline distT="0" distB="0" distL="0" distR="0">
            <wp:extent cx="5400040" cy="3140023"/>
            <wp:effectExtent l="19050" t="0" r="10160" b="3227"/>
            <wp:docPr id="1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7B74" w:rsidRDefault="007D7B74">
      <w:pPr>
        <w:spacing w:line="360" w:lineRule="auto"/>
        <w:rPr>
          <w:sz w:val="18"/>
          <w:szCs w:val="18"/>
        </w:rPr>
      </w:pPr>
    </w:p>
    <w:p w:rsidR="007D7B74" w:rsidRDefault="00F5066F">
      <w:pPr>
        <w:spacing w:line="360" w:lineRule="auto"/>
        <w:rPr>
          <w:sz w:val="18"/>
          <w:szCs w:val="18"/>
        </w:rPr>
      </w:pPr>
      <w:r w:rsidRPr="00F5066F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2D0EBE" w:rsidRDefault="002D0EBE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7D7B7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bookmarkEnd w:id="101"/>
      <w:bookmarkEnd w:id="102"/>
      <w:tr w:rsidR="00770F28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770F28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770F28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535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</w:tr>
      <w:tr w:rsidR="00770F28" w:rsidRPr="00301D45" w:rsidTr="00301D4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715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0F28" w:rsidRPr="00770F28" w:rsidRDefault="00770F2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70F28">
              <w:rPr>
                <w:rFonts w:asciiTheme="minorEastAsia" w:eastAsiaTheme="minorEastAsia" w:hAnsiTheme="minorEastAsia" w:hint="eastAsia"/>
                <w:sz w:val="20"/>
                <w:szCs w:val="20"/>
              </w:rPr>
              <w:t>525</w:t>
            </w:r>
          </w:p>
        </w:tc>
      </w:tr>
    </w:tbl>
    <w:p w:rsidR="007D7B74" w:rsidRDefault="007D7B74">
      <w:bookmarkStart w:id="140" w:name="_Toc488392005"/>
      <w:bookmarkStart w:id="141" w:name="_Toc489608594"/>
      <w:bookmarkStart w:id="142" w:name="_Toc295460186"/>
      <w:bookmarkStart w:id="143" w:name="_Toc247424479"/>
      <w:bookmarkStart w:id="144" w:name="_Toc485914317"/>
      <w:bookmarkStart w:id="145" w:name="_Toc483664864"/>
      <w:bookmarkStart w:id="146" w:name="_Toc488997547"/>
      <w:bookmarkStart w:id="147" w:name="_Toc487798672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48" w:name="_Toc502312508"/>
      <w:bookmarkStart w:id="149" w:name="_Toc502324702"/>
      <w:bookmarkStart w:id="150" w:name="_Toc502922925"/>
      <w:bookmarkStart w:id="151" w:name="_Toc502928618"/>
      <w:r>
        <w:rPr>
          <w:rFonts w:ascii="宋体" w:hAnsi="宋体" w:cs="宋体" w:hint="eastAsia"/>
          <w:sz w:val="30"/>
          <w:szCs w:val="30"/>
        </w:rPr>
        <w:lastRenderedPageBreak/>
        <w:t>3.5电石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7D7B74" w:rsidRDefault="007D7B74"/>
    <w:p w:rsidR="007D7B74" w:rsidRDefault="00A847DB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7D7B74" w:rsidRPr="00475C68" w:rsidRDefault="00A847DB" w:rsidP="00475C6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A847DB"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362575" cy="3171825"/>
            <wp:effectExtent l="19050" t="0" r="9525" b="0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D7B74" w:rsidRDefault="005866D5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52" w:name="_GoBack"/>
      <w:bookmarkEnd w:id="152"/>
      <w:r w:rsidR="00F5066F" w:rsidRPr="00F5066F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2D0EBE" w:rsidRDefault="002D0EBE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7D7B74" w:rsidRDefault="007D7B74">
      <w:pPr>
        <w:wordWrap w:val="0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7D7B7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A847DB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A847DB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A847DB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A847DB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A847DB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847DB" w:rsidRPr="00A847DB" w:rsidRDefault="00A847DB" w:rsidP="00A847D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847DB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</w:tbl>
    <w:p w:rsidR="007D7B74" w:rsidRDefault="007D7B74">
      <w:pPr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53" w:name="_Toc260227055"/>
      <w:bookmarkStart w:id="154" w:name="_Toc260229009"/>
      <w:bookmarkStart w:id="155" w:name="_Toc262550199"/>
      <w:bookmarkStart w:id="156" w:name="_Toc261616908"/>
      <w:bookmarkStart w:id="157" w:name="_Toc401302144"/>
      <w:bookmarkStart w:id="158" w:name="_Toc488997548"/>
      <w:bookmarkStart w:id="159" w:name="_Toc487798673"/>
      <w:bookmarkStart w:id="160" w:name="_Toc483664865"/>
      <w:bookmarkStart w:id="161" w:name="_Toc488392006"/>
      <w:bookmarkStart w:id="162" w:name="_Toc489608595"/>
      <w:bookmarkStart w:id="163" w:name="_Toc485914318"/>
      <w:bookmarkStart w:id="164" w:name="_Toc295460173"/>
      <w:bookmarkStart w:id="165" w:name="_Toc262826500"/>
      <w:bookmarkStart w:id="166" w:name="_Toc502312509"/>
      <w:bookmarkStart w:id="167" w:name="_Toc502324703"/>
      <w:bookmarkStart w:id="168" w:name="_Toc502922926"/>
      <w:bookmarkStart w:id="169" w:name="_Toc502928619"/>
      <w:r>
        <w:rPr>
          <w:rFonts w:hint="eastAsia"/>
          <w:sz w:val="30"/>
          <w:szCs w:val="30"/>
        </w:rPr>
        <w:t>专题：</w:t>
      </w:r>
      <w:bookmarkEnd w:id="153"/>
      <w:bookmarkEnd w:id="154"/>
      <w:bookmarkEnd w:id="155"/>
      <w:r>
        <w:rPr>
          <w:rFonts w:hint="eastAsia"/>
          <w:sz w:val="30"/>
          <w:szCs w:val="30"/>
        </w:rPr>
        <w:t>宏观统计数据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:rsidR="007E7F8E" w:rsidRDefault="007E7F8E" w:rsidP="007E7F8E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E7F8E">
        <w:rPr>
          <w:rFonts w:ascii="仿宋" w:eastAsia="仿宋" w:hAnsi="仿宋" w:cs="仿宋"/>
          <w:sz w:val="28"/>
          <w:szCs w:val="28"/>
        </w:rPr>
        <w:t>1-11</w:t>
      </w:r>
      <w:r w:rsidRPr="007E7F8E">
        <w:rPr>
          <w:rFonts w:ascii="仿宋" w:eastAsia="仿宋" w:hAnsi="仿宋" w:cs="仿宋" w:hint="eastAsia"/>
          <w:sz w:val="28"/>
          <w:szCs w:val="28"/>
        </w:rPr>
        <w:t>月份，商品房销售面积</w:t>
      </w:r>
      <w:r w:rsidRPr="007E7F8E">
        <w:rPr>
          <w:rFonts w:ascii="仿宋" w:eastAsia="仿宋" w:hAnsi="仿宋" w:cs="仿宋"/>
          <w:sz w:val="28"/>
          <w:szCs w:val="28"/>
        </w:rPr>
        <w:t>146568</w:t>
      </w:r>
      <w:r w:rsidRPr="007E7F8E">
        <w:rPr>
          <w:rFonts w:ascii="仿宋" w:eastAsia="仿宋" w:hAnsi="仿宋" w:cs="仿宋" w:hint="eastAsia"/>
          <w:sz w:val="28"/>
          <w:szCs w:val="28"/>
        </w:rPr>
        <w:t>万平方米，同比增长</w:t>
      </w:r>
      <w:r w:rsidRPr="007E7F8E">
        <w:rPr>
          <w:rFonts w:ascii="仿宋" w:eastAsia="仿宋" w:hAnsi="仿宋" w:cs="仿宋"/>
          <w:sz w:val="28"/>
          <w:szCs w:val="28"/>
        </w:rPr>
        <w:t>7.9%</w:t>
      </w:r>
      <w:r w:rsidRPr="007E7F8E">
        <w:rPr>
          <w:rFonts w:ascii="仿宋" w:eastAsia="仿宋" w:hAnsi="仿宋" w:cs="仿宋" w:hint="eastAsia"/>
          <w:sz w:val="28"/>
          <w:szCs w:val="28"/>
        </w:rPr>
        <w:t>，增速比</w:t>
      </w:r>
      <w:r w:rsidRPr="007E7F8E">
        <w:rPr>
          <w:rFonts w:ascii="仿宋" w:eastAsia="仿宋" w:hAnsi="仿宋" w:cs="仿宋"/>
          <w:sz w:val="28"/>
          <w:szCs w:val="28"/>
        </w:rPr>
        <w:t>1-10</w:t>
      </w:r>
      <w:r w:rsidRPr="007E7F8E">
        <w:rPr>
          <w:rFonts w:ascii="仿宋" w:eastAsia="仿宋" w:hAnsi="仿宋" w:cs="仿宋" w:hint="eastAsia"/>
          <w:sz w:val="28"/>
          <w:szCs w:val="28"/>
        </w:rPr>
        <w:t>月份回落</w:t>
      </w:r>
      <w:r w:rsidRPr="007E7F8E">
        <w:rPr>
          <w:rFonts w:ascii="仿宋" w:eastAsia="仿宋" w:hAnsi="仿宋" w:cs="仿宋"/>
          <w:sz w:val="28"/>
          <w:szCs w:val="28"/>
        </w:rPr>
        <w:t>0.3</w:t>
      </w:r>
      <w:r w:rsidRPr="007E7F8E">
        <w:rPr>
          <w:rFonts w:ascii="仿宋" w:eastAsia="仿宋" w:hAnsi="仿宋" w:cs="仿宋" w:hint="eastAsia"/>
          <w:sz w:val="28"/>
          <w:szCs w:val="28"/>
        </w:rPr>
        <w:t>个百分点。其中，住宅销售面积增长</w:t>
      </w:r>
      <w:r w:rsidRPr="007E7F8E">
        <w:rPr>
          <w:rFonts w:ascii="仿宋" w:eastAsia="仿宋" w:hAnsi="仿宋" w:cs="仿宋"/>
          <w:sz w:val="28"/>
          <w:szCs w:val="28"/>
        </w:rPr>
        <w:t>5.4%</w:t>
      </w:r>
      <w:r w:rsidRPr="007E7F8E">
        <w:rPr>
          <w:rFonts w:ascii="仿宋" w:eastAsia="仿宋" w:hAnsi="仿宋" w:cs="仿宋" w:hint="eastAsia"/>
          <w:sz w:val="28"/>
          <w:szCs w:val="28"/>
        </w:rPr>
        <w:t>，办公楼销售面积增长</w:t>
      </w:r>
      <w:r w:rsidRPr="007E7F8E">
        <w:rPr>
          <w:rFonts w:ascii="仿宋" w:eastAsia="仿宋" w:hAnsi="仿宋" w:cs="仿宋"/>
          <w:sz w:val="28"/>
          <w:szCs w:val="28"/>
        </w:rPr>
        <w:t>26.7%</w:t>
      </w:r>
      <w:r w:rsidRPr="007E7F8E">
        <w:rPr>
          <w:rFonts w:ascii="仿宋" w:eastAsia="仿宋" w:hAnsi="仿宋" w:cs="仿宋" w:hint="eastAsia"/>
          <w:sz w:val="28"/>
          <w:szCs w:val="28"/>
        </w:rPr>
        <w:t>，商业营业用房销售面积增长</w:t>
      </w:r>
      <w:r w:rsidRPr="007E7F8E">
        <w:rPr>
          <w:rFonts w:ascii="仿宋" w:eastAsia="仿宋" w:hAnsi="仿宋" w:cs="仿宋"/>
          <w:sz w:val="28"/>
          <w:szCs w:val="28"/>
        </w:rPr>
        <w:t>19.3%</w:t>
      </w:r>
      <w:r w:rsidRPr="007E7F8E">
        <w:rPr>
          <w:rFonts w:ascii="仿宋" w:eastAsia="仿宋" w:hAnsi="仿宋" w:cs="仿宋" w:hint="eastAsia"/>
          <w:sz w:val="28"/>
          <w:szCs w:val="28"/>
        </w:rPr>
        <w:t>。商品房销售额</w:t>
      </w:r>
      <w:r w:rsidRPr="007E7F8E">
        <w:rPr>
          <w:rFonts w:ascii="仿宋" w:eastAsia="仿宋" w:hAnsi="仿宋" w:cs="仿宋"/>
          <w:sz w:val="28"/>
          <w:szCs w:val="28"/>
        </w:rPr>
        <w:t>115481</w:t>
      </w:r>
      <w:r w:rsidRPr="007E7F8E">
        <w:rPr>
          <w:rFonts w:ascii="仿宋" w:eastAsia="仿宋" w:hAnsi="仿宋" w:cs="仿宋" w:hint="eastAsia"/>
          <w:sz w:val="28"/>
          <w:szCs w:val="28"/>
        </w:rPr>
        <w:t>亿元，增长</w:t>
      </w:r>
      <w:r w:rsidRPr="007E7F8E">
        <w:rPr>
          <w:rFonts w:ascii="仿宋" w:eastAsia="仿宋" w:hAnsi="仿宋" w:cs="仿宋"/>
          <w:sz w:val="28"/>
          <w:szCs w:val="28"/>
        </w:rPr>
        <w:t>12.7%</w:t>
      </w:r>
      <w:r w:rsidRPr="007E7F8E">
        <w:rPr>
          <w:rFonts w:ascii="仿宋" w:eastAsia="仿宋" w:hAnsi="仿宋" w:cs="仿宋" w:hint="eastAsia"/>
          <w:sz w:val="28"/>
          <w:szCs w:val="28"/>
        </w:rPr>
        <w:t>，增速提高</w:t>
      </w:r>
      <w:r w:rsidRPr="007E7F8E">
        <w:rPr>
          <w:rFonts w:ascii="仿宋" w:eastAsia="仿宋" w:hAnsi="仿宋" w:cs="仿宋"/>
          <w:sz w:val="28"/>
          <w:szCs w:val="28"/>
        </w:rPr>
        <w:t>0.1</w:t>
      </w:r>
      <w:r w:rsidRPr="007E7F8E">
        <w:rPr>
          <w:rFonts w:ascii="仿宋" w:eastAsia="仿宋" w:hAnsi="仿宋" w:cs="仿宋" w:hint="eastAsia"/>
          <w:sz w:val="28"/>
          <w:szCs w:val="28"/>
        </w:rPr>
        <w:t>个百分点。其中，</w:t>
      </w:r>
      <w:r w:rsidRPr="007E7F8E">
        <w:rPr>
          <w:rFonts w:ascii="仿宋" w:eastAsia="仿宋" w:hAnsi="仿宋" w:cs="仿宋" w:hint="eastAsia"/>
          <w:sz w:val="28"/>
          <w:szCs w:val="28"/>
        </w:rPr>
        <w:lastRenderedPageBreak/>
        <w:t>住宅销售额增长</w:t>
      </w:r>
      <w:r w:rsidRPr="007E7F8E">
        <w:rPr>
          <w:rFonts w:ascii="仿宋" w:eastAsia="仿宋" w:hAnsi="仿宋" w:cs="仿宋"/>
          <w:sz w:val="28"/>
          <w:szCs w:val="28"/>
        </w:rPr>
        <w:t>9.9%</w:t>
      </w:r>
      <w:r w:rsidRPr="007E7F8E">
        <w:rPr>
          <w:rFonts w:ascii="仿宋" w:eastAsia="仿宋" w:hAnsi="仿宋" w:cs="仿宋" w:hint="eastAsia"/>
          <w:sz w:val="28"/>
          <w:szCs w:val="28"/>
        </w:rPr>
        <w:t>，办公楼销售额增长</w:t>
      </w:r>
      <w:r w:rsidRPr="007E7F8E">
        <w:rPr>
          <w:rFonts w:ascii="仿宋" w:eastAsia="仿宋" w:hAnsi="仿宋" w:cs="仿宋"/>
          <w:sz w:val="28"/>
          <w:szCs w:val="28"/>
        </w:rPr>
        <w:t>19.4%</w:t>
      </w:r>
      <w:r w:rsidRPr="007E7F8E">
        <w:rPr>
          <w:rFonts w:ascii="仿宋" w:eastAsia="仿宋" w:hAnsi="仿宋" w:cs="仿宋" w:hint="eastAsia"/>
          <w:sz w:val="28"/>
          <w:szCs w:val="28"/>
        </w:rPr>
        <w:t>，商业营业用房销售额增长</w:t>
      </w:r>
      <w:r w:rsidRPr="007E7F8E">
        <w:rPr>
          <w:rFonts w:ascii="仿宋" w:eastAsia="仿宋" w:hAnsi="仿宋" w:cs="仿宋"/>
          <w:sz w:val="28"/>
          <w:szCs w:val="28"/>
        </w:rPr>
        <w:t>26.2%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</w:p>
    <w:p w:rsidR="007E7F8E" w:rsidRDefault="007E7F8E" w:rsidP="007E7F8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E7F8E">
        <w:rPr>
          <w:rFonts w:ascii="仿宋" w:eastAsia="仿宋" w:hAnsi="仿宋" w:cs="仿宋"/>
          <w:sz w:val="28"/>
          <w:szCs w:val="28"/>
        </w:rPr>
        <w:t>2017</w:t>
      </w:r>
      <w:r w:rsidRPr="007E7F8E">
        <w:rPr>
          <w:rFonts w:ascii="仿宋" w:eastAsia="仿宋" w:hAnsi="仿宋" w:cs="仿宋" w:hint="eastAsia"/>
          <w:sz w:val="28"/>
          <w:szCs w:val="28"/>
        </w:rPr>
        <w:t>年</w:t>
      </w:r>
      <w:r w:rsidRPr="007E7F8E">
        <w:rPr>
          <w:rFonts w:ascii="仿宋" w:eastAsia="仿宋" w:hAnsi="仿宋" w:cs="仿宋"/>
          <w:sz w:val="28"/>
          <w:szCs w:val="28"/>
        </w:rPr>
        <w:t>11</w:t>
      </w:r>
      <w:r w:rsidRPr="007E7F8E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7E7F8E">
        <w:rPr>
          <w:rFonts w:ascii="仿宋" w:eastAsia="仿宋" w:hAnsi="仿宋" w:cs="仿宋"/>
          <w:sz w:val="28"/>
          <w:szCs w:val="28"/>
        </w:rPr>
        <w:t>1.7%</w:t>
      </w:r>
      <w:r w:rsidRPr="007E7F8E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7E7F8E">
        <w:rPr>
          <w:rFonts w:ascii="仿宋" w:eastAsia="仿宋" w:hAnsi="仿宋" w:cs="仿宋"/>
          <w:sz w:val="28"/>
          <w:szCs w:val="28"/>
        </w:rPr>
        <w:t>1.8%</w:t>
      </w:r>
      <w:r w:rsidRPr="007E7F8E">
        <w:rPr>
          <w:rFonts w:ascii="仿宋" w:eastAsia="仿宋" w:hAnsi="仿宋" w:cs="仿宋" w:hint="eastAsia"/>
          <w:sz w:val="28"/>
          <w:szCs w:val="28"/>
        </w:rPr>
        <w:t>，农村上涨</w:t>
      </w:r>
      <w:r w:rsidRPr="007E7F8E">
        <w:rPr>
          <w:rFonts w:ascii="仿宋" w:eastAsia="仿宋" w:hAnsi="仿宋" w:cs="仿宋"/>
          <w:sz w:val="28"/>
          <w:szCs w:val="28"/>
        </w:rPr>
        <w:t>1.5%</w:t>
      </w:r>
      <w:r w:rsidRPr="007E7F8E">
        <w:rPr>
          <w:rFonts w:ascii="仿宋" w:eastAsia="仿宋" w:hAnsi="仿宋" w:cs="仿宋" w:hint="eastAsia"/>
          <w:sz w:val="28"/>
          <w:szCs w:val="28"/>
        </w:rPr>
        <w:t>；食品价格下降</w:t>
      </w:r>
      <w:r w:rsidRPr="007E7F8E">
        <w:rPr>
          <w:rFonts w:ascii="仿宋" w:eastAsia="仿宋" w:hAnsi="仿宋" w:cs="仿宋"/>
          <w:sz w:val="28"/>
          <w:szCs w:val="28"/>
        </w:rPr>
        <w:t>1.1%</w:t>
      </w:r>
      <w:r w:rsidRPr="007E7F8E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7E7F8E">
        <w:rPr>
          <w:rFonts w:ascii="仿宋" w:eastAsia="仿宋" w:hAnsi="仿宋" w:cs="仿宋"/>
          <w:sz w:val="28"/>
          <w:szCs w:val="28"/>
        </w:rPr>
        <w:t>2.5%</w:t>
      </w:r>
      <w:r w:rsidRPr="007E7F8E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7E7F8E">
        <w:rPr>
          <w:rFonts w:ascii="仿宋" w:eastAsia="仿宋" w:hAnsi="仿宋" w:cs="仿宋"/>
          <w:sz w:val="28"/>
          <w:szCs w:val="28"/>
        </w:rPr>
        <w:t>0.9%</w:t>
      </w:r>
      <w:r w:rsidRPr="007E7F8E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7E7F8E">
        <w:rPr>
          <w:rFonts w:ascii="仿宋" w:eastAsia="仿宋" w:hAnsi="仿宋" w:cs="仿宋"/>
          <w:sz w:val="28"/>
          <w:szCs w:val="28"/>
        </w:rPr>
        <w:t>3.1%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  <w:r w:rsidRPr="007E7F8E">
        <w:rPr>
          <w:rFonts w:ascii="仿宋" w:eastAsia="仿宋" w:hAnsi="仿宋" w:cs="仿宋"/>
          <w:sz w:val="28"/>
          <w:szCs w:val="28"/>
        </w:rPr>
        <w:t>1-11</w:t>
      </w:r>
      <w:r w:rsidRPr="007E7F8E">
        <w:rPr>
          <w:rFonts w:ascii="仿宋" w:eastAsia="仿宋" w:hAnsi="仿宋" w:cs="仿宋" w:hint="eastAsia"/>
          <w:sz w:val="28"/>
          <w:szCs w:val="28"/>
        </w:rPr>
        <w:t>月平均，全国居民消费价格总水平比去年同期上涨</w:t>
      </w:r>
      <w:r w:rsidRPr="007E7F8E">
        <w:rPr>
          <w:rFonts w:ascii="仿宋" w:eastAsia="仿宋" w:hAnsi="仿宋" w:cs="仿宋"/>
          <w:sz w:val="28"/>
          <w:szCs w:val="28"/>
        </w:rPr>
        <w:t>1.5%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  <w:r w:rsidRPr="007E7F8E">
        <w:rPr>
          <w:rFonts w:ascii="仿宋" w:eastAsia="仿宋" w:hAnsi="仿宋" w:cs="仿宋"/>
          <w:sz w:val="28"/>
          <w:szCs w:val="28"/>
        </w:rPr>
        <w:t>11</w:t>
      </w:r>
      <w:r w:rsidRPr="007E7F8E">
        <w:rPr>
          <w:rFonts w:ascii="仿宋" w:eastAsia="仿宋" w:hAnsi="仿宋" w:cs="仿宋" w:hint="eastAsia"/>
          <w:sz w:val="28"/>
          <w:szCs w:val="28"/>
        </w:rPr>
        <w:t>月份，全国居民消费价格环比持平。其中，城市和农村均持平；食品价格下降</w:t>
      </w:r>
      <w:r w:rsidRPr="007E7F8E">
        <w:rPr>
          <w:rFonts w:ascii="仿宋" w:eastAsia="仿宋" w:hAnsi="仿宋" w:cs="仿宋"/>
          <w:sz w:val="28"/>
          <w:szCs w:val="28"/>
        </w:rPr>
        <w:t>0.5%</w:t>
      </w:r>
      <w:r w:rsidRPr="007E7F8E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7E7F8E">
        <w:rPr>
          <w:rFonts w:ascii="仿宋" w:eastAsia="仿宋" w:hAnsi="仿宋" w:cs="仿宋"/>
          <w:sz w:val="28"/>
          <w:szCs w:val="28"/>
        </w:rPr>
        <w:t>0.1%</w:t>
      </w:r>
      <w:r w:rsidRPr="007E7F8E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7E7F8E">
        <w:rPr>
          <w:rFonts w:ascii="仿宋" w:eastAsia="仿宋" w:hAnsi="仿宋" w:cs="仿宋"/>
          <w:sz w:val="28"/>
          <w:szCs w:val="28"/>
        </w:rPr>
        <w:t>0.1%</w:t>
      </w:r>
      <w:r w:rsidRPr="007E7F8E">
        <w:rPr>
          <w:rFonts w:ascii="仿宋" w:eastAsia="仿宋" w:hAnsi="仿宋" w:cs="仿宋" w:hint="eastAsia"/>
          <w:sz w:val="28"/>
          <w:szCs w:val="28"/>
        </w:rPr>
        <w:t>，服务价格下降</w:t>
      </w:r>
      <w:r w:rsidRPr="007E7F8E">
        <w:rPr>
          <w:rFonts w:ascii="仿宋" w:eastAsia="仿宋" w:hAnsi="仿宋" w:cs="仿宋"/>
          <w:sz w:val="28"/>
          <w:szCs w:val="28"/>
        </w:rPr>
        <w:t>0.1%</w:t>
      </w:r>
      <w:r w:rsidRPr="007E7F8E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682AB3" w:rsidP="00682AB3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82AB3">
        <w:rPr>
          <w:rFonts w:ascii="仿宋" w:eastAsia="仿宋" w:hAnsi="仿宋" w:cs="仿宋"/>
          <w:sz w:val="28"/>
          <w:szCs w:val="28"/>
        </w:rPr>
        <w:t>2017</w:t>
      </w:r>
      <w:r w:rsidRPr="00682AB3">
        <w:rPr>
          <w:rFonts w:ascii="仿宋" w:eastAsia="仿宋" w:hAnsi="仿宋" w:cs="仿宋" w:hint="eastAsia"/>
          <w:sz w:val="28"/>
          <w:szCs w:val="28"/>
        </w:rPr>
        <w:t>年</w:t>
      </w:r>
      <w:r w:rsidRPr="00682AB3">
        <w:rPr>
          <w:rFonts w:ascii="仿宋" w:eastAsia="仿宋" w:hAnsi="仿宋" w:cs="仿宋"/>
          <w:sz w:val="28"/>
          <w:szCs w:val="28"/>
        </w:rPr>
        <w:t>1-11</w:t>
      </w:r>
      <w:r w:rsidRPr="00682AB3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682AB3">
        <w:rPr>
          <w:rFonts w:ascii="仿宋" w:eastAsia="仿宋" w:hAnsi="仿宋" w:cs="仿宋"/>
          <w:sz w:val="28"/>
          <w:szCs w:val="28"/>
        </w:rPr>
        <w:t>575057</w:t>
      </w:r>
      <w:r w:rsidRPr="00682AB3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82AB3">
        <w:rPr>
          <w:rFonts w:ascii="仿宋" w:eastAsia="仿宋" w:hAnsi="仿宋" w:cs="仿宋"/>
          <w:sz w:val="28"/>
          <w:szCs w:val="28"/>
        </w:rPr>
        <w:t>7.2%</w:t>
      </w:r>
      <w:r w:rsidRPr="00682AB3">
        <w:rPr>
          <w:rFonts w:ascii="仿宋" w:eastAsia="仿宋" w:hAnsi="仿宋" w:cs="仿宋" w:hint="eastAsia"/>
          <w:sz w:val="28"/>
          <w:szCs w:val="28"/>
        </w:rPr>
        <w:t>，增速比</w:t>
      </w:r>
      <w:r w:rsidRPr="00682AB3">
        <w:rPr>
          <w:rFonts w:ascii="仿宋" w:eastAsia="仿宋" w:hAnsi="仿宋" w:cs="仿宋"/>
          <w:sz w:val="28"/>
          <w:szCs w:val="28"/>
        </w:rPr>
        <w:t>1-10</w:t>
      </w:r>
      <w:r w:rsidRPr="00682AB3">
        <w:rPr>
          <w:rFonts w:ascii="仿宋" w:eastAsia="仿宋" w:hAnsi="仿宋" w:cs="仿宋" w:hint="eastAsia"/>
          <w:sz w:val="28"/>
          <w:szCs w:val="28"/>
        </w:rPr>
        <w:t>月份回落</w:t>
      </w:r>
      <w:r w:rsidRPr="00682AB3">
        <w:rPr>
          <w:rFonts w:ascii="仿宋" w:eastAsia="仿宋" w:hAnsi="仿宋" w:cs="仿宋"/>
          <w:sz w:val="28"/>
          <w:szCs w:val="28"/>
        </w:rPr>
        <w:t>0.1</w:t>
      </w:r>
      <w:r w:rsidRPr="00682AB3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682AB3">
        <w:rPr>
          <w:rFonts w:ascii="仿宋" w:eastAsia="仿宋" w:hAnsi="仿宋" w:cs="仿宋"/>
          <w:sz w:val="28"/>
          <w:szCs w:val="28"/>
        </w:rPr>
        <w:t>11</w:t>
      </w:r>
      <w:r w:rsidRPr="00682AB3">
        <w:rPr>
          <w:rFonts w:ascii="仿宋" w:eastAsia="仿宋" w:hAnsi="仿宋" w:cs="仿宋" w:hint="eastAsia"/>
          <w:sz w:val="28"/>
          <w:szCs w:val="28"/>
        </w:rPr>
        <w:t>月份比</w:t>
      </w:r>
      <w:r w:rsidRPr="00682AB3">
        <w:rPr>
          <w:rFonts w:ascii="仿宋" w:eastAsia="仿宋" w:hAnsi="仿宋" w:cs="仿宋"/>
          <w:sz w:val="28"/>
          <w:szCs w:val="28"/>
        </w:rPr>
        <w:t>10</w:t>
      </w:r>
      <w:r w:rsidRPr="00682AB3">
        <w:rPr>
          <w:rFonts w:ascii="仿宋" w:eastAsia="仿宋" w:hAnsi="仿宋" w:cs="仿宋" w:hint="eastAsia"/>
          <w:sz w:val="28"/>
          <w:szCs w:val="28"/>
        </w:rPr>
        <w:t>月份增长</w:t>
      </w:r>
      <w:r w:rsidRPr="00682AB3">
        <w:rPr>
          <w:rFonts w:ascii="仿宋" w:eastAsia="仿宋" w:hAnsi="仿宋" w:cs="仿宋"/>
          <w:sz w:val="28"/>
          <w:szCs w:val="28"/>
        </w:rPr>
        <w:t>0.53%</w:t>
      </w:r>
      <w:r w:rsidRPr="00682AB3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7D7B74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7D7B74" w:rsidRDefault="005866D5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7D7B74" w:rsidRDefault="005866D5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7D7B74" w:rsidRDefault="007D7B74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7D7B74" w:rsidSect="007D7B74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224" w:rsidRDefault="00AE2224" w:rsidP="007D7B74">
      <w:r>
        <w:separator/>
      </w:r>
    </w:p>
  </w:endnote>
  <w:endnote w:type="continuationSeparator" w:id="1">
    <w:p w:rsidR="00AE2224" w:rsidRDefault="00AE2224" w:rsidP="007D7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BE" w:rsidRDefault="002D0EBE">
    <w:pPr>
      <w:pStyle w:val="a4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017E9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017E9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2D0EBE" w:rsidRDefault="002D0EB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224" w:rsidRDefault="00AE2224" w:rsidP="007D7B74">
      <w:r>
        <w:separator/>
      </w:r>
    </w:p>
  </w:footnote>
  <w:footnote w:type="continuationSeparator" w:id="1">
    <w:p w:rsidR="00AE2224" w:rsidRDefault="00AE2224" w:rsidP="007D7B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BE" w:rsidRDefault="002D0EBE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D0EBE" w:rsidRDefault="002D0EBE">
    <w:pPr>
      <w:pStyle w:val="a5"/>
      <w:pBdr>
        <w:bottom w:val="none" w:sz="0" w:space="0" w:color="auto"/>
      </w:pBdr>
    </w:pPr>
  </w:p>
  <w:p w:rsidR="002D0EBE" w:rsidRDefault="002D0EBE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22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17E9"/>
    <w:rsid w:val="00007DFB"/>
    <w:rsid w:val="000133F2"/>
    <w:rsid w:val="00025F3A"/>
    <w:rsid w:val="0003056D"/>
    <w:rsid w:val="000308BA"/>
    <w:rsid w:val="0003481E"/>
    <w:rsid w:val="00034D91"/>
    <w:rsid w:val="00035EF6"/>
    <w:rsid w:val="0004312A"/>
    <w:rsid w:val="00043BD5"/>
    <w:rsid w:val="000538D5"/>
    <w:rsid w:val="000619A2"/>
    <w:rsid w:val="0006271A"/>
    <w:rsid w:val="00072A96"/>
    <w:rsid w:val="0007451C"/>
    <w:rsid w:val="00083509"/>
    <w:rsid w:val="00083CF6"/>
    <w:rsid w:val="00085917"/>
    <w:rsid w:val="00085939"/>
    <w:rsid w:val="00096A95"/>
    <w:rsid w:val="00096CEE"/>
    <w:rsid w:val="000B0FBD"/>
    <w:rsid w:val="000C2753"/>
    <w:rsid w:val="000C5BD8"/>
    <w:rsid w:val="000C6A76"/>
    <w:rsid w:val="000D3807"/>
    <w:rsid w:val="000D7161"/>
    <w:rsid w:val="000E75D7"/>
    <w:rsid w:val="000F4871"/>
    <w:rsid w:val="000F5020"/>
    <w:rsid w:val="001006E5"/>
    <w:rsid w:val="0010493A"/>
    <w:rsid w:val="00106A44"/>
    <w:rsid w:val="00106FBB"/>
    <w:rsid w:val="001076A7"/>
    <w:rsid w:val="001128DB"/>
    <w:rsid w:val="001209C8"/>
    <w:rsid w:val="00122991"/>
    <w:rsid w:val="00133423"/>
    <w:rsid w:val="00134A19"/>
    <w:rsid w:val="00135602"/>
    <w:rsid w:val="00140694"/>
    <w:rsid w:val="0014454E"/>
    <w:rsid w:val="001470D3"/>
    <w:rsid w:val="001526FE"/>
    <w:rsid w:val="0018339A"/>
    <w:rsid w:val="00193843"/>
    <w:rsid w:val="001944C7"/>
    <w:rsid w:val="001A611D"/>
    <w:rsid w:val="001A6CDE"/>
    <w:rsid w:val="001B0566"/>
    <w:rsid w:val="001C20CD"/>
    <w:rsid w:val="001D3943"/>
    <w:rsid w:val="001D51C3"/>
    <w:rsid w:val="001D66C9"/>
    <w:rsid w:val="001E436A"/>
    <w:rsid w:val="001E44DF"/>
    <w:rsid w:val="001F5133"/>
    <w:rsid w:val="001F53BC"/>
    <w:rsid w:val="0020375C"/>
    <w:rsid w:val="0021248D"/>
    <w:rsid w:val="002153A3"/>
    <w:rsid w:val="00215CC5"/>
    <w:rsid w:val="0022723B"/>
    <w:rsid w:val="00233C66"/>
    <w:rsid w:val="0023654D"/>
    <w:rsid w:val="0023692F"/>
    <w:rsid w:val="002432F1"/>
    <w:rsid w:val="00254B8C"/>
    <w:rsid w:val="0026357C"/>
    <w:rsid w:val="0027222D"/>
    <w:rsid w:val="00272CA8"/>
    <w:rsid w:val="00277D2C"/>
    <w:rsid w:val="00284A3C"/>
    <w:rsid w:val="00285155"/>
    <w:rsid w:val="00294308"/>
    <w:rsid w:val="00294BF0"/>
    <w:rsid w:val="002B1650"/>
    <w:rsid w:val="002B4374"/>
    <w:rsid w:val="002B7E00"/>
    <w:rsid w:val="002C1E4D"/>
    <w:rsid w:val="002C3D9A"/>
    <w:rsid w:val="002C5A7C"/>
    <w:rsid w:val="002D0EBE"/>
    <w:rsid w:val="002D2965"/>
    <w:rsid w:val="002D67FA"/>
    <w:rsid w:val="002E08B2"/>
    <w:rsid w:val="002F230B"/>
    <w:rsid w:val="00300114"/>
    <w:rsid w:val="00301D45"/>
    <w:rsid w:val="0030370A"/>
    <w:rsid w:val="00324E26"/>
    <w:rsid w:val="00327218"/>
    <w:rsid w:val="00330140"/>
    <w:rsid w:val="00342E76"/>
    <w:rsid w:val="003430CA"/>
    <w:rsid w:val="00343195"/>
    <w:rsid w:val="00345994"/>
    <w:rsid w:val="00351054"/>
    <w:rsid w:val="00361079"/>
    <w:rsid w:val="003637F5"/>
    <w:rsid w:val="00363A5A"/>
    <w:rsid w:val="00363BED"/>
    <w:rsid w:val="00386F9E"/>
    <w:rsid w:val="003A05CE"/>
    <w:rsid w:val="003C03BF"/>
    <w:rsid w:val="003D5435"/>
    <w:rsid w:val="003D6775"/>
    <w:rsid w:val="003E5A2D"/>
    <w:rsid w:val="003F4A5A"/>
    <w:rsid w:val="003F534D"/>
    <w:rsid w:val="00400BB7"/>
    <w:rsid w:val="004012AC"/>
    <w:rsid w:val="00403EAD"/>
    <w:rsid w:val="00404F29"/>
    <w:rsid w:val="004240C3"/>
    <w:rsid w:val="004438D9"/>
    <w:rsid w:val="004457C0"/>
    <w:rsid w:val="004468EC"/>
    <w:rsid w:val="00447A7E"/>
    <w:rsid w:val="00455424"/>
    <w:rsid w:val="004569FB"/>
    <w:rsid w:val="00460727"/>
    <w:rsid w:val="00475C68"/>
    <w:rsid w:val="0048213C"/>
    <w:rsid w:val="00487D2C"/>
    <w:rsid w:val="00491A4E"/>
    <w:rsid w:val="00491FD8"/>
    <w:rsid w:val="0049544D"/>
    <w:rsid w:val="00497981"/>
    <w:rsid w:val="004A028A"/>
    <w:rsid w:val="004A325A"/>
    <w:rsid w:val="004A793C"/>
    <w:rsid w:val="004B3F10"/>
    <w:rsid w:val="004B7B29"/>
    <w:rsid w:val="004C4D15"/>
    <w:rsid w:val="004E5F2C"/>
    <w:rsid w:val="004F27BF"/>
    <w:rsid w:val="005000A9"/>
    <w:rsid w:val="005027CA"/>
    <w:rsid w:val="00514F38"/>
    <w:rsid w:val="00516BB6"/>
    <w:rsid w:val="0052739A"/>
    <w:rsid w:val="005369A0"/>
    <w:rsid w:val="00537871"/>
    <w:rsid w:val="00562C5F"/>
    <w:rsid w:val="00564DD0"/>
    <w:rsid w:val="005728D8"/>
    <w:rsid w:val="00583127"/>
    <w:rsid w:val="005866D5"/>
    <w:rsid w:val="00587A17"/>
    <w:rsid w:val="0059522B"/>
    <w:rsid w:val="005A0041"/>
    <w:rsid w:val="005B2422"/>
    <w:rsid w:val="005B32F2"/>
    <w:rsid w:val="005C0E51"/>
    <w:rsid w:val="005C27BC"/>
    <w:rsid w:val="005D235E"/>
    <w:rsid w:val="005D7BFA"/>
    <w:rsid w:val="005E152A"/>
    <w:rsid w:val="005E5645"/>
    <w:rsid w:val="005E6DA3"/>
    <w:rsid w:val="005F185E"/>
    <w:rsid w:val="005F1E5F"/>
    <w:rsid w:val="005F335A"/>
    <w:rsid w:val="005F4661"/>
    <w:rsid w:val="00612B48"/>
    <w:rsid w:val="00620F37"/>
    <w:rsid w:val="006349D1"/>
    <w:rsid w:val="00635DE9"/>
    <w:rsid w:val="006456B0"/>
    <w:rsid w:val="00645CD6"/>
    <w:rsid w:val="00655213"/>
    <w:rsid w:val="0066117C"/>
    <w:rsid w:val="006653C3"/>
    <w:rsid w:val="00682AB3"/>
    <w:rsid w:val="0068419C"/>
    <w:rsid w:val="00687DFE"/>
    <w:rsid w:val="00695DC6"/>
    <w:rsid w:val="0069612A"/>
    <w:rsid w:val="006A1C4E"/>
    <w:rsid w:val="006A5CC5"/>
    <w:rsid w:val="006B00C4"/>
    <w:rsid w:val="006B780F"/>
    <w:rsid w:val="006C26C7"/>
    <w:rsid w:val="006E094C"/>
    <w:rsid w:val="006E0B9A"/>
    <w:rsid w:val="006E3200"/>
    <w:rsid w:val="006E3F43"/>
    <w:rsid w:val="007116AF"/>
    <w:rsid w:val="00712DCA"/>
    <w:rsid w:val="00725225"/>
    <w:rsid w:val="007274C1"/>
    <w:rsid w:val="00727A1F"/>
    <w:rsid w:val="00735CCE"/>
    <w:rsid w:val="007419C8"/>
    <w:rsid w:val="00743E17"/>
    <w:rsid w:val="00743EAD"/>
    <w:rsid w:val="00743F73"/>
    <w:rsid w:val="007441A5"/>
    <w:rsid w:val="00746C21"/>
    <w:rsid w:val="00746C71"/>
    <w:rsid w:val="007477A6"/>
    <w:rsid w:val="007510DA"/>
    <w:rsid w:val="007545F7"/>
    <w:rsid w:val="00760F98"/>
    <w:rsid w:val="00761DA8"/>
    <w:rsid w:val="00762659"/>
    <w:rsid w:val="00764161"/>
    <w:rsid w:val="00770F28"/>
    <w:rsid w:val="00777E3C"/>
    <w:rsid w:val="00791197"/>
    <w:rsid w:val="00793BF3"/>
    <w:rsid w:val="007A2906"/>
    <w:rsid w:val="007A4701"/>
    <w:rsid w:val="007B1F58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D7B74"/>
    <w:rsid w:val="007E15A8"/>
    <w:rsid w:val="007E325A"/>
    <w:rsid w:val="007E3D63"/>
    <w:rsid w:val="007E47F0"/>
    <w:rsid w:val="007E65C9"/>
    <w:rsid w:val="007E7F8E"/>
    <w:rsid w:val="00800CDB"/>
    <w:rsid w:val="0080388E"/>
    <w:rsid w:val="0080544C"/>
    <w:rsid w:val="00810EAE"/>
    <w:rsid w:val="008117C9"/>
    <w:rsid w:val="00813D36"/>
    <w:rsid w:val="0081768D"/>
    <w:rsid w:val="008236E7"/>
    <w:rsid w:val="00823AC9"/>
    <w:rsid w:val="00824F69"/>
    <w:rsid w:val="008253ED"/>
    <w:rsid w:val="008322E6"/>
    <w:rsid w:val="00851423"/>
    <w:rsid w:val="008567F6"/>
    <w:rsid w:val="00857BA3"/>
    <w:rsid w:val="00871D30"/>
    <w:rsid w:val="00872209"/>
    <w:rsid w:val="0087364C"/>
    <w:rsid w:val="00884C52"/>
    <w:rsid w:val="00885481"/>
    <w:rsid w:val="00891E12"/>
    <w:rsid w:val="008A13F1"/>
    <w:rsid w:val="008A16F4"/>
    <w:rsid w:val="008A4ADF"/>
    <w:rsid w:val="008C0961"/>
    <w:rsid w:val="008C0DDF"/>
    <w:rsid w:val="008D0BC3"/>
    <w:rsid w:val="008D4287"/>
    <w:rsid w:val="008F0C22"/>
    <w:rsid w:val="008F0EA6"/>
    <w:rsid w:val="009067E8"/>
    <w:rsid w:val="00910F41"/>
    <w:rsid w:val="00911C20"/>
    <w:rsid w:val="00914E5F"/>
    <w:rsid w:val="00936251"/>
    <w:rsid w:val="009373E9"/>
    <w:rsid w:val="00951CEA"/>
    <w:rsid w:val="00953D05"/>
    <w:rsid w:val="0096172A"/>
    <w:rsid w:val="00965694"/>
    <w:rsid w:val="009714AB"/>
    <w:rsid w:val="00981905"/>
    <w:rsid w:val="009851BE"/>
    <w:rsid w:val="00986B37"/>
    <w:rsid w:val="00990AE6"/>
    <w:rsid w:val="00993180"/>
    <w:rsid w:val="00993879"/>
    <w:rsid w:val="0099657D"/>
    <w:rsid w:val="009A6423"/>
    <w:rsid w:val="009A7964"/>
    <w:rsid w:val="009B2B0B"/>
    <w:rsid w:val="009B4D23"/>
    <w:rsid w:val="009B4DE2"/>
    <w:rsid w:val="009B6896"/>
    <w:rsid w:val="009D4C30"/>
    <w:rsid w:val="009D59ED"/>
    <w:rsid w:val="009D5BA1"/>
    <w:rsid w:val="009E1398"/>
    <w:rsid w:val="00A039D4"/>
    <w:rsid w:val="00A05943"/>
    <w:rsid w:val="00A0658F"/>
    <w:rsid w:val="00A11BB0"/>
    <w:rsid w:val="00A13F55"/>
    <w:rsid w:val="00A202F9"/>
    <w:rsid w:val="00A31F3B"/>
    <w:rsid w:val="00A3381B"/>
    <w:rsid w:val="00A431A7"/>
    <w:rsid w:val="00A45A0A"/>
    <w:rsid w:val="00A47797"/>
    <w:rsid w:val="00A54A17"/>
    <w:rsid w:val="00A564D5"/>
    <w:rsid w:val="00A70333"/>
    <w:rsid w:val="00A724EB"/>
    <w:rsid w:val="00A7553D"/>
    <w:rsid w:val="00A77016"/>
    <w:rsid w:val="00A847DB"/>
    <w:rsid w:val="00A86414"/>
    <w:rsid w:val="00A9016F"/>
    <w:rsid w:val="00A91591"/>
    <w:rsid w:val="00A96AC2"/>
    <w:rsid w:val="00AA2B10"/>
    <w:rsid w:val="00AA726E"/>
    <w:rsid w:val="00AB6ECB"/>
    <w:rsid w:val="00AB77E9"/>
    <w:rsid w:val="00AC0BBE"/>
    <w:rsid w:val="00AD0D88"/>
    <w:rsid w:val="00AD4A90"/>
    <w:rsid w:val="00AD545F"/>
    <w:rsid w:val="00AD5D7D"/>
    <w:rsid w:val="00AE1F6F"/>
    <w:rsid w:val="00AE2224"/>
    <w:rsid w:val="00AE3455"/>
    <w:rsid w:val="00AE47CF"/>
    <w:rsid w:val="00AE5436"/>
    <w:rsid w:val="00AE5627"/>
    <w:rsid w:val="00AF48E9"/>
    <w:rsid w:val="00B048E7"/>
    <w:rsid w:val="00B10BC4"/>
    <w:rsid w:val="00B123F0"/>
    <w:rsid w:val="00B306B3"/>
    <w:rsid w:val="00B31CA8"/>
    <w:rsid w:val="00B36608"/>
    <w:rsid w:val="00B4232A"/>
    <w:rsid w:val="00B42350"/>
    <w:rsid w:val="00B42A6D"/>
    <w:rsid w:val="00B42DF1"/>
    <w:rsid w:val="00B44411"/>
    <w:rsid w:val="00B51E9D"/>
    <w:rsid w:val="00B57551"/>
    <w:rsid w:val="00B62BC8"/>
    <w:rsid w:val="00B65FD7"/>
    <w:rsid w:val="00B76376"/>
    <w:rsid w:val="00B779AB"/>
    <w:rsid w:val="00BA72F0"/>
    <w:rsid w:val="00BA7BA1"/>
    <w:rsid w:val="00BB56DD"/>
    <w:rsid w:val="00BB65C7"/>
    <w:rsid w:val="00BD5E1E"/>
    <w:rsid w:val="00BE08F8"/>
    <w:rsid w:val="00BE4EC7"/>
    <w:rsid w:val="00BE5DEE"/>
    <w:rsid w:val="00BE7E7B"/>
    <w:rsid w:val="00BF3636"/>
    <w:rsid w:val="00C043A4"/>
    <w:rsid w:val="00C04AAC"/>
    <w:rsid w:val="00C12E62"/>
    <w:rsid w:val="00C14D9D"/>
    <w:rsid w:val="00C14FC0"/>
    <w:rsid w:val="00C16639"/>
    <w:rsid w:val="00C1768C"/>
    <w:rsid w:val="00C2055C"/>
    <w:rsid w:val="00C3412F"/>
    <w:rsid w:val="00C40029"/>
    <w:rsid w:val="00C42911"/>
    <w:rsid w:val="00C50B6A"/>
    <w:rsid w:val="00C641DD"/>
    <w:rsid w:val="00C64DB3"/>
    <w:rsid w:val="00C70A39"/>
    <w:rsid w:val="00C92DB0"/>
    <w:rsid w:val="00C92F00"/>
    <w:rsid w:val="00CA2500"/>
    <w:rsid w:val="00CB3350"/>
    <w:rsid w:val="00CB48B7"/>
    <w:rsid w:val="00CC67C0"/>
    <w:rsid w:val="00CC7472"/>
    <w:rsid w:val="00CD2145"/>
    <w:rsid w:val="00CD2B03"/>
    <w:rsid w:val="00CD3B11"/>
    <w:rsid w:val="00CD7279"/>
    <w:rsid w:val="00CE3D30"/>
    <w:rsid w:val="00CE4B61"/>
    <w:rsid w:val="00CE6635"/>
    <w:rsid w:val="00CF01D1"/>
    <w:rsid w:val="00CF6D64"/>
    <w:rsid w:val="00D013C8"/>
    <w:rsid w:val="00D14616"/>
    <w:rsid w:val="00D15608"/>
    <w:rsid w:val="00D1688D"/>
    <w:rsid w:val="00D16CB4"/>
    <w:rsid w:val="00D241EB"/>
    <w:rsid w:val="00D436F2"/>
    <w:rsid w:val="00D56D51"/>
    <w:rsid w:val="00D67120"/>
    <w:rsid w:val="00D70F3A"/>
    <w:rsid w:val="00D9274F"/>
    <w:rsid w:val="00D9634D"/>
    <w:rsid w:val="00DA010F"/>
    <w:rsid w:val="00DA113E"/>
    <w:rsid w:val="00DB121A"/>
    <w:rsid w:val="00DB7721"/>
    <w:rsid w:val="00DD14F8"/>
    <w:rsid w:val="00DD3ECF"/>
    <w:rsid w:val="00DF738C"/>
    <w:rsid w:val="00E12651"/>
    <w:rsid w:val="00E21742"/>
    <w:rsid w:val="00E21C2B"/>
    <w:rsid w:val="00E22F7D"/>
    <w:rsid w:val="00E251C6"/>
    <w:rsid w:val="00E269BF"/>
    <w:rsid w:val="00E30E69"/>
    <w:rsid w:val="00E46156"/>
    <w:rsid w:val="00E50622"/>
    <w:rsid w:val="00E51B0B"/>
    <w:rsid w:val="00E551D3"/>
    <w:rsid w:val="00E5577A"/>
    <w:rsid w:val="00E57FC7"/>
    <w:rsid w:val="00E6031F"/>
    <w:rsid w:val="00E70F83"/>
    <w:rsid w:val="00E7162C"/>
    <w:rsid w:val="00E71AEA"/>
    <w:rsid w:val="00E71B40"/>
    <w:rsid w:val="00E90BA4"/>
    <w:rsid w:val="00E94998"/>
    <w:rsid w:val="00E960D1"/>
    <w:rsid w:val="00E97139"/>
    <w:rsid w:val="00EA21F5"/>
    <w:rsid w:val="00EB41F5"/>
    <w:rsid w:val="00EB5F32"/>
    <w:rsid w:val="00EC1596"/>
    <w:rsid w:val="00EC6EDD"/>
    <w:rsid w:val="00EC7A75"/>
    <w:rsid w:val="00ED4E0B"/>
    <w:rsid w:val="00EE240D"/>
    <w:rsid w:val="00EE5CEB"/>
    <w:rsid w:val="00EF033D"/>
    <w:rsid w:val="00EF2763"/>
    <w:rsid w:val="00EF685F"/>
    <w:rsid w:val="00F07379"/>
    <w:rsid w:val="00F12A47"/>
    <w:rsid w:val="00F15674"/>
    <w:rsid w:val="00F16010"/>
    <w:rsid w:val="00F168F6"/>
    <w:rsid w:val="00F230AD"/>
    <w:rsid w:val="00F267F7"/>
    <w:rsid w:val="00F27154"/>
    <w:rsid w:val="00F32F44"/>
    <w:rsid w:val="00F36DE5"/>
    <w:rsid w:val="00F5066F"/>
    <w:rsid w:val="00F51A12"/>
    <w:rsid w:val="00F542A7"/>
    <w:rsid w:val="00F57BBF"/>
    <w:rsid w:val="00F6141E"/>
    <w:rsid w:val="00F63B59"/>
    <w:rsid w:val="00F72F1C"/>
    <w:rsid w:val="00F90807"/>
    <w:rsid w:val="00F913D1"/>
    <w:rsid w:val="00FA620A"/>
    <w:rsid w:val="00FA6990"/>
    <w:rsid w:val="00FB5EBF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7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D7B74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7B7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7D7B74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7D7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7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D7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7D7B74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7D7B74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7D7B74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7D7B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7D7B74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7D7B74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7D7B7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7D7B74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7D7B74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7D7B74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7D7B74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7D7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7D7B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7D7B74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0013;&#21326;&#21830;&#21153;&#32593;VIP&#26381;&#21153;&#21608;&#25253;&#65306;&#30005;&#30707;-PVC&#21608;&#25253;20180105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26032;&#24314;&#25991;&#20214;&#22841;%20(3)\&#21270;&#24037;&#34920;&#26684;\05pvc&#26399;&#36135;&#30701;&#2044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26032;&#24314;&#25991;&#20214;&#22841;%20(3)\&#21270;&#24037;&#34920;&#26684;\01pvc&#20986;&#21378;&#20215;&#26684;&#34920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&#26032;&#24314;&#25991;&#20214;&#22841;%20(3)\&#21270;&#24037;&#34920;&#26684;\01pvc&#20986;&#21378;&#20215;&#26684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6032;&#24314;&#25991;&#20214;&#22841;%20(3)\&#21608;&#25253;\&#21608;&#25253;&#29992;-&#22269;&#38469;&#21407;&#27833;&#20215;&#26684;170424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&#26032;&#24314;&#25991;&#20214;&#22841;%20(3)\&#21270;&#24037;&#34920;&#26684;\01pvc&#20986;&#21378;&#20215;&#26684;&#34920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&#26032;&#24314;&#25991;&#20214;&#22841;%20(3)\&#21270;&#24037;&#34920;&#26684;\01pvc&#20986;&#21378;&#20215;&#26684;&#34920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&#26032;&#24314;&#25991;&#20214;&#22841;%20(3)\&#21270;&#24037;&#34920;&#26684;\01pvc&#20986;&#21378;&#20215;&#26684;&#34920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765"/>
          <c:h val="0.672415680045806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'!$B$7:$B$2105</c:f>
              <c:numCache>
                <c:formatCode>yy/mm/dd</c:formatCode>
                <c:ptCount val="2091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</c:numCache>
            </c:numRef>
          </c:cat>
          <c:val>
            <c:numRef>
              <c:f>'pvc期货  '!$H$7:$H$2105</c:f>
              <c:numCache>
                <c:formatCode>0_);[Red]\(0\)</c:formatCode>
                <c:ptCount val="2091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</c:numCache>
            </c:numRef>
          </c:val>
        </c:ser>
        <c:marker val="1"/>
        <c:axId val="260635648"/>
        <c:axId val="275084032"/>
      </c:lineChart>
      <c:dateAx>
        <c:axId val="260635648"/>
        <c:scaling>
          <c:orientation val="minMax"/>
          <c:max val="43104"/>
          <c:min val="42525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75084032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75084032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0635648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8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3697514851558934E-2"/>
          <c:y val="0.21764737139156687"/>
          <c:w val="0.863866255142342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重点PVC厂家价格!$A$16:$A$2179</c:f>
              <c:numCache>
                <c:formatCode>yy/mm/dd</c:formatCode>
                <c:ptCount val="216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</c:numCache>
            </c:numRef>
          </c:cat>
          <c:val>
            <c:numRef>
              <c:f>重点PVC厂家价格!$B$16:$B$2179</c:f>
              <c:numCache>
                <c:formatCode>General</c:formatCode>
                <c:ptCount val="2164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7750</c:v>
                </c:pt>
                <c:pt idx="2095">
                  <c:v>7550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7400</c:v>
                </c:pt>
                <c:pt idx="2100">
                  <c:v>7200</c:v>
                </c:pt>
                <c:pt idx="2101">
                  <c:v>7200</c:v>
                </c:pt>
                <c:pt idx="2102">
                  <c:v>7100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6850</c:v>
                </c:pt>
                <c:pt idx="2108">
                  <c:v>6850</c:v>
                </c:pt>
                <c:pt idx="2109">
                  <c:v>6750</c:v>
                </c:pt>
                <c:pt idx="2110">
                  <c:v>6750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6670</c:v>
                </c:pt>
                <c:pt idx="2121">
                  <c:v>6670</c:v>
                </c:pt>
                <c:pt idx="2122">
                  <c:v>6670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6600</c:v>
                </c:pt>
                <c:pt idx="2127">
                  <c:v>6500</c:v>
                </c:pt>
                <c:pt idx="2128">
                  <c:v>6500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6400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6450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6550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6650</c:v>
                </c:pt>
                <c:pt idx="2153">
                  <c:v>6700</c:v>
                </c:pt>
                <c:pt idx="2154">
                  <c:v>6600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6700</c:v>
                </c:pt>
                <c:pt idx="2163">
                  <c:v>6750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重点PVC厂家价格!$A$16:$A$2179</c:f>
              <c:numCache>
                <c:formatCode>yy/mm/dd</c:formatCode>
                <c:ptCount val="216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</c:numCache>
            </c:numRef>
          </c:cat>
          <c:val>
            <c:numRef>
              <c:f>重点PVC厂家价格!$D$16:$D$2179</c:f>
              <c:numCache>
                <c:formatCode>General</c:formatCode>
                <c:ptCount val="2164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重点PVC厂家价格!$A$16:$A$2179</c:f>
              <c:numCache>
                <c:formatCode>yy/mm/dd</c:formatCode>
                <c:ptCount val="216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</c:numCache>
            </c:numRef>
          </c:cat>
          <c:val>
            <c:numRef>
              <c:f>重点PVC厂家价格!$E$16:$E$2179</c:f>
              <c:numCache>
                <c:formatCode>General</c:formatCode>
                <c:ptCount val="2164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</c:numCache>
            </c:numRef>
          </c:val>
        </c:ser>
        <c:marker val="1"/>
        <c:axId val="61233792"/>
        <c:axId val="61268352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61233792"/>
        <c:scaling>
          <c:orientation val="minMax"/>
          <c:max val="43104"/>
          <c:min val="4252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268352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26835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233792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7162"/>
          <c:w val="0.30756320165862344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2017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476449052684369"/>
          <c:y val="3.8747199483255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306"/>
          <c:w val="0.81708579531006897"/>
          <c:h val="0.667020069461027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'!$B$21:$B$2115</c:f>
              <c:numCache>
                <c:formatCode>yy/mm/dd</c:formatCode>
                <c:ptCount val="209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</c:numCache>
            </c:numRef>
          </c:cat>
          <c:val>
            <c:numRef>
              <c:f>'国内电石法PVC市场价格 '!$C$21:$C$2115</c:f>
              <c:numCache>
                <c:formatCode>General</c:formatCode>
                <c:ptCount val="2095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'!$B$21:$B$2115</c:f>
              <c:numCache>
                <c:formatCode>yy/mm/dd</c:formatCode>
                <c:ptCount val="209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</c:numCache>
            </c:numRef>
          </c:cat>
          <c:val>
            <c:numRef>
              <c:f>'国内电石法PVC市场价格 '!$D$21:$D$2115</c:f>
              <c:numCache>
                <c:formatCode>General</c:formatCode>
                <c:ptCount val="2095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'!$B$21:$B$2115</c:f>
              <c:numCache>
                <c:formatCode>yy/mm/dd</c:formatCode>
                <c:ptCount val="209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</c:numCache>
            </c:numRef>
          </c:cat>
          <c:val>
            <c:numRef>
              <c:f>'国内电石法PVC市场价格 '!$E$21:$E$2115</c:f>
              <c:numCache>
                <c:formatCode>General</c:formatCode>
                <c:ptCount val="2095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'!$B$21:$B$2115</c:f>
              <c:numCache>
                <c:formatCode>yy/mm/dd</c:formatCode>
                <c:ptCount val="209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</c:numCache>
            </c:numRef>
          </c:cat>
          <c:val>
            <c:numRef>
              <c:f>'国内电石法PVC市场价格 '!$F$21:$F$2115</c:f>
              <c:numCache>
                <c:formatCode>General</c:formatCode>
                <c:ptCount val="2095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'!$B$21:$B$2115</c:f>
              <c:numCache>
                <c:formatCode>yy/mm/dd</c:formatCode>
                <c:ptCount val="209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</c:numCache>
            </c:numRef>
          </c:cat>
          <c:val>
            <c:numRef>
              <c:f>'国内电石法PVC市场价格 '!$G$21:$G$2115</c:f>
              <c:numCache>
                <c:formatCode>General</c:formatCode>
                <c:ptCount val="2095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6411.7647058823522</c:v>
                </c:pt>
                <c:pt idx="91">
                  <c:v>6632.1428571428569</c:v>
                </c:pt>
                <c:pt idx="114">
                  <c:v>7056.521739130435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</c:numCache>
            </c:numRef>
          </c:val>
        </c:ser>
        <c:marker val="1"/>
        <c:axId val="61262848"/>
        <c:axId val="61313792"/>
      </c:lineChart>
      <c:dateAx>
        <c:axId val="61262848"/>
        <c:scaling>
          <c:orientation val="minMax"/>
          <c:max val="43104"/>
          <c:min val="4252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31379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31379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262848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526"/>
          <c:w val="0.10666666666666859"/>
          <c:h val="0.2120415007712430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057"/>
          <c:h val="0.650569084263313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PVC外盘'!$A$7:$A$571</c:f>
              <c:numCache>
                <c:formatCode>yy/mm/dd</c:formatCode>
                <c:ptCount val="448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</c:numCache>
            </c:numRef>
          </c:cat>
          <c:val>
            <c:numRef>
              <c:f>'乙烯法PVC国际价格表  周四 PVC外盘'!$B$7:$B$571</c:f>
              <c:numCache>
                <c:formatCode>0_ </c:formatCode>
                <c:ptCount val="448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PVC外盘'!$A$7:$A$571</c:f>
              <c:numCache>
                <c:formatCode>yy/mm/dd</c:formatCode>
                <c:ptCount val="448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</c:numCache>
            </c:numRef>
          </c:cat>
          <c:val>
            <c:numRef>
              <c:f>'乙烯法PVC国际价格表  周四 PVC外盘'!$C$7:$C$571</c:f>
              <c:numCache>
                <c:formatCode>0_ </c:formatCode>
                <c:ptCount val="448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</c:numCache>
            </c:numRef>
          </c:val>
        </c:ser>
        <c:marker val="1"/>
        <c:axId val="61420672"/>
        <c:axId val="61422208"/>
      </c:lineChart>
      <c:dateAx>
        <c:axId val="61420672"/>
        <c:scaling>
          <c:orientation val="minMax"/>
          <c:max val="43104"/>
          <c:min val="4252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422208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422208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420672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752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074"/>
          <c:h val="0.65798707294552461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Sheet1!$B$4:$B$517</c:f>
              <c:numCache>
                <c:formatCode>yy/mm/dd</c:formatCode>
                <c:ptCount val="51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</c:numCache>
            </c:numRef>
          </c:cat>
          <c:val>
            <c:numRef>
              <c:f>Sheet1!$C$4:$C$517</c:f>
              <c:numCache>
                <c:formatCode>General</c:formatCode>
                <c:ptCount val="514"/>
                <c:pt idx="0">
                  <c:v>36.760000000000005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33.160000000000004</c:v>
                </c:pt>
                <c:pt idx="4">
                  <c:v>31.41</c:v>
                </c:pt>
                <c:pt idx="5">
                  <c:v>30.439999999999998</c:v>
                </c:pt>
                <c:pt idx="6">
                  <c:v>30.479999999999997</c:v>
                </c:pt>
                <c:pt idx="7">
                  <c:v>31.2</c:v>
                </c:pt>
                <c:pt idx="8">
                  <c:v>29.419999999999998</c:v>
                </c:pt>
                <c:pt idx="10">
                  <c:v>28.459999999999997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32.190000000000005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32.300000000000011</c:v>
                </c:pt>
                <c:pt idx="17">
                  <c:v>33.220000000000006</c:v>
                </c:pt>
                <c:pt idx="18">
                  <c:v>33.620000000000005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27.939999999999998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29.439999999999998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31.479999999999997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34.660000000000004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39.790000000000006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37.260000000000005</c:v>
                </c:pt>
                <c:pt idx="68">
                  <c:v>39.720000000000006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41.760000000000005</c:v>
                </c:pt>
                <c:pt idx="72">
                  <c:v>41.760000000000005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43.730000000000004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44.660000000000004</c:v>
                </c:pt>
                <c:pt idx="89">
                  <c:v>43.44</c:v>
                </c:pt>
                <c:pt idx="90">
                  <c:v>44.660000000000004</c:v>
                </c:pt>
                <c:pt idx="91">
                  <c:v>46.230000000000004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47.720000000000006</c:v>
                </c:pt>
                <c:pt idx="95">
                  <c:v>48.309999999999995</c:v>
                </c:pt>
                <c:pt idx="96">
                  <c:v>48.190000000000005</c:v>
                </c:pt>
                <c:pt idx="97">
                  <c:v>48.160000000000004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48.620000000000005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48.620000000000005</c:v>
                </c:pt>
                <c:pt idx="109" formatCode="0.00_);[Red]\(0.00\)">
                  <c:v>49.690000000000005</c:v>
                </c:pt>
                <c:pt idx="110" formatCode="0.00_);[Red]\(0.00\)">
                  <c:v>50.36</c:v>
                </c:pt>
                <c:pt idx="111" formatCode="0.00_);[Red]\(0.00\)">
                  <c:v>51.230000000000004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48.760000000000005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44.760000000000005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44.190000000000005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46.790000000000006</c:v>
                </c:pt>
                <c:pt idx="162" formatCode="0.00_);[Red]\(0.00\)">
                  <c:v>48.220000000000006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43.160000000000004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47.620000000000005</c:v>
                </c:pt>
                <c:pt idx="178" formatCode="0.00_);[Red]\(0.00\)">
                  <c:v>45.879999999999995</c:v>
                </c:pt>
                <c:pt idx="179" formatCode="0.00_);[Red]\(0.00\)">
                  <c:v>46.290000000000006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48.690000000000005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50.790000000000006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50.290000000000006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49.720000000000006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44.660000000000004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44.660000000000004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45.690000000000005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45.230000000000004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51.790000000000006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52.120000000000005</c:v>
                </c:pt>
                <c:pt idx="249" formatCode="0.00_);[Red]\(0.00\)">
                  <c:v>52.230000000000004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53.720000000000006</c:v>
                </c:pt>
                <c:pt idx="259" formatCode="0.00_);[Red]\(0.00\)">
                  <c:v>52.33</c:v>
                </c:pt>
                <c:pt idx="260" formatCode="0.00_);[Red]\(0.00\)">
                  <c:v>53.260000000000005</c:v>
                </c:pt>
                <c:pt idx="261" formatCode="0.00_);[Red]\(0.00\)">
                  <c:v>53.760000000000005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47.720000000000006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48.220000000000006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47.730000000000004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49.620000000000005</c:v>
                </c:pt>
                <c:pt idx="337" formatCode="0.00_);[Red]\(0.00\)">
                  <c:v>49.230000000000004</c:v>
                </c:pt>
                <c:pt idx="338" formatCode="0.00_);[Red]\(0.00\)">
                  <c:v>49.56</c:v>
                </c:pt>
                <c:pt idx="339" formatCode="0.00_);[Red]\(0.00\)">
                  <c:v>49.620000000000005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47.660000000000004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46.220000000000006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48.660000000000004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50.730000000000004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49.660000000000004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47.660000000000004</c:v>
                </c:pt>
                <c:pt idx="367">
                  <c:v>47.4</c:v>
                </c:pt>
                <c:pt idx="368">
                  <c:v>48.190000000000005</c:v>
                </c:pt>
                <c:pt idx="369">
                  <c:v>45.720000000000006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44.730000000000004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43.230000000000004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44.230000000000004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47.120000000000005</c:v>
                </c:pt>
                <c:pt idx="400">
                  <c:v>46.790000000000006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49.160000000000004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47.230000000000004</c:v>
                </c:pt>
                <c:pt idx="431">
                  <c:v>47.290000000000006</c:v>
                </c:pt>
                <c:pt idx="432">
                  <c:v>0</c:v>
                </c:pt>
                <c:pt idx="433">
                  <c:v>48.660000000000004</c:v>
                </c:pt>
                <c:pt idx="434">
                  <c:v>49.160000000000004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48.230000000000004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50.660000000000004</c:v>
                </c:pt>
                <c:pt idx="447">
                  <c:v>52.220000000000006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49.290000000000006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51.290000000000006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56.760000000000005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57.620000000000005</c:v>
                </c:pt>
                <c:pt idx="494">
                  <c:v>55.96</c:v>
                </c:pt>
                <c:pt idx="495">
                  <c:v>56.690000000000005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57.160000000000004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Sheet1!$B$4:$B$517</c:f>
              <c:numCache>
                <c:formatCode>yy/mm/dd</c:formatCode>
                <c:ptCount val="51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</c:numCache>
            </c:numRef>
          </c:cat>
          <c:val>
            <c:numRef>
              <c:f>Sheet1!$D$4:$D$517</c:f>
              <c:numCache>
                <c:formatCode>General</c:formatCode>
                <c:ptCount val="514"/>
                <c:pt idx="0">
                  <c:v>37.220000000000006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30.310000000000002</c:v>
                </c:pt>
                <c:pt idx="7">
                  <c:v>31.03</c:v>
                </c:pt>
                <c:pt idx="8">
                  <c:v>28.939999999999998</c:v>
                </c:pt>
                <c:pt idx="9">
                  <c:v>28.55</c:v>
                </c:pt>
                <c:pt idx="10">
                  <c:v>28.759999999999998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32.720000000000006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34.690000000000005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35.290000000000006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38.720000000000006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41.790000000000006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39.260000000000005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37.690000000000005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44.690000000000005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44.620000000000005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48.720000000000006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49.690000000000005</c:v>
                </c:pt>
                <c:pt idx="106" formatCode="0.00_);[Red]\(0.00\)">
                  <c:v>49.720000000000006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47.190000000000005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50.620000000000005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47.160000000000004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46.760000000000005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46.260000000000005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46.660000000000004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45.690000000000005</c:v>
                </c:pt>
                <c:pt idx="144" formatCode="0.00_);[Red]\(0.00\)">
                  <c:v>44.720000000000006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44.290000000000006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49.230000000000004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49.160000000000004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49.260000000000005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47.260000000000005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48.690000000000005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50.790000000000006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49.120000000000005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55.690000000000005</c:v>
                </c:pt>
                <c:pt idx="244" formatCode="0.00_);[Red]\(0.00\)">
                  <c:v>55.720000000000006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55.160000000000004</c:v>
                </c:pt>
                <c:pt idx="254" formatCode="0.00_);[Red]\(0.00\)">
                  <c:v>56.09</c:v>
                </c:pt>
                <c:pt idx="255" formatCode="0.00_);[Red]\(0.00\)">
                  <c:v>56.220000000000006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54.160000000000004</c:v>
                </c:pt>
                <c:pt idx="272" formatCode="0.00_);[Red]\(0.00\)">
                  <c:v>55.49</c:v>
                </c:pt>
                <c:pt idx="273" formatCode="0.00_);[Red]\(0.00\)">
                  <c:v>55.230000000000004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55.230000000000004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55.720000000000006</c:v>
                </c:pt>
                <c:pt idx="284" formatCode="0.00_);[Red]\(0.00\)">
                  <c:v>55.05</c:v>
                </c:pt>
                <c:pt idx="285" formatCode="0.00_);[Red]\(0.00\)">
                  <c:v>55.120000000000005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56.660000000000004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52.190000000000005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51.760000000000005</c:v>
                </c:pt>
                <c:pt idx="313" formatCode="0.00_);[Red]\(0.00\)">
                  <c:v>51.620000000000005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53.120000000000005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56.230000000000004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51.730000000000004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50.790000000000006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48.730000000000004</c:v>
                </c:pt>
                <c:pt idx="349">
                  <c:v>50.220000000000006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52.290000000000006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50.120000000000005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48.290000000000006</c:v>
                </c:pt>
                <c:pt idx="373">
                  <c:v>48.720000000000006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45.220000000000006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47.790000000000006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50.730000000000004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52.720000000000006</c:v>
                </c:pt>
                <c:pt idx="422">
                  <c:v>51.660000000000004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55.160000000000004</c:v>
                </c:pt>
                <c:pt idx="440">
                  <c:v>55.47</c:v>
                </c:pt>
                <c:pt idx="441">
                  <c:v>55.620000000000005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56.290000000000006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55.620000000000005</c:v>
                </c:pt>
                <c:pt idx="453" formatCode="0.00_ ">
                  <c:v>55.790000000000006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57.230000000000004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60.620000000000005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63.690000000000005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63.160000000000004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62.720000000000006</c:v>
                </c:pt>
                <c:pt idx="483">
                  <c:v>62.220000000000006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63.730000000000004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61.220000000000006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63.230000000000004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66.440000000000012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</c:numCache>
            </c:numRef>
          </c:val>
        </c:ser>
        <c:marker val="1"/>
        <c:axId val="61430784"/>
        <c:axId val="61469440"/>
      </c:lineChart>
      <c:dateAx>
        <c:axId val="61430784"/>
        <c:scaling>
          <c:orientation val="minMax"/>
          <c:max val="43105"/>
          <c:min val="42405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1469440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469440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1430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055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5782"/>
          <c:h val="0.66959255526019623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每日外盘1'!$A$7:$C$2343</c:f>
              <c:numCache>
                <c:formatCode>yy/mm/dd</c:formatCode>
                <c:ptCount val="2333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</c:numCache>
            </c:numRef>
          </c:cat>
          <c:val>
            <c:numRef>
              <c:f>'乙烯单体价格表  每日外盘1'!$D$9:$D$2343</c:f>
              <c:numCache>
                <c:formatCode>General</c:formatCode>
                <c:ptCount val="2331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每日外盘1'!$A$7:$A$2343</c:f>
              <c:numCache>
                <c:formatCode>yy/mm/dd</c:formatCode>
                <c:ptCount val="2333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</c:numCache>
            </c:numRef>
          </c:cat>
          <c:val>
            <c:numRef>
              <c:f>'乙烯单体价格表  每日外盘1'!$E$7:$E$2343</c:f>
              <c:numCache>
                <c:formatCode>General</c:formatCode>
                <c:ptCount val="2333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每日外盘1'!$A$7:$A$2343</c:f>
              <c:numCache>
                <c:formatCode>yy/mm/dd</c:formatCode>
                <c:ptCount val="2333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</c:numCache>
            </c:numRef>
          </c:cat>
          <c:val>
            <c:numRef>
              <c:f>'乙烯单体价格表  每日外盘1'!$F$7:$F$2343</c:f>
              <c:numCache>
                <c:formatCode>General</c:formatCode>
                <c:ptCount val="2333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</c:numCache>
            </c:numRef>
          </c:val>
        </c:ser>
        <c:marker val="1"/>
        <c:axId val="61341056"/>
        <c:axId val="61375616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每日外盘1'!$A$7:$A$2320</c15:sqref>
                        </c15:formulaRef>
                      </c:ext>
                    </c:extLst>
                    <c:numCache>
                      <c:formatCode>yy/mm/dd</c:formatCode>
                      <c:ptCount val="2310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61341056"/>
        <c:scaling>
          <c:orientation val="minMax"/>
          <c:max val="43104"/>
          <c:min val="4252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375616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375616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34105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3189"/>
          <c:w val="0.49649214900769856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28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7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'!$A$6:$A$565</c:f>
              <c:numCache>
                <c:formatCode>yy/mm/dd</c:formatCode>
                <c:ptCount val="560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</c:numCache>
            </c:numRef>
          </c:cat>
          <c:val>
            <c:numRef>
              <c:f>'国际EDC市场价格   周五 每周五中间体 '!$B$6:$B$565</c:f>
              <c:numCache>
                <c:formatCode>0_ </c:formatCode>
                <c:ptCount val="560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190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'!$A$6:$A$561</c:f>
              <c:numCache>
                <c:formatCode>yy/mm/dd</c:formatCode>
                <c:ptCount val="55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'!$A$6:$A$565</c:f>
              <c:numCache>
                <c:formatCode>yy/mm/dd</c:formatCode>
                <c:ptCount val="560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</c:numCache>
            </c:numRef>
          </c:cat>
          <c:val>
            <c:numRef>
              <c:f>'国际EDC市场价格   周五 每周五中间体 '!$D$6:$D$565</c:f>
              <c:numCache>
                <c:formatCode>0_ </c:formatCode>
                <c:ptCount val="560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'!$A$6:$A$565</c:f>
              <c:numCache>
                <c:formatCode>yy/mm/dd</c:formatCode>
                <c:ptCount val="560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</c:numCache>
            </c:numRef>
          </c:cat>
          <c:val>
            <c:numRef>
              <c:f>'国际EDC市场价格   周五 每周五中间体 '!$E$6:$E$565</c:f>
              <c:numCache>
                <c:formatCode>0_ </c:formatCode>
                <c:ptCount val="560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</c:numCache>
            </c:numRef>
          </c:val>
        </c:ser>
        <c:marker val="1"/>
        <c:axId val="61717504"/>
        <c:axId val="61727488"/>
      </c:lineChart>
      <c:dateAx>
        <c:axId val="61717504"/>
        <c:scaling>
          <c:orientation val="minMax"/>
          <c:max val="43104"/>
          <c:min val="4252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727488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727488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71750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4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88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周五中间体'!$A$7:$A$564</c:f>
              <c:numCache>
                <c:formatCode>yy/mm/dd</c:formatCode>
                <c:ptCount val="558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</c:numCache>
            </c:numRef>
          </c:cat>
          <c:val>
            <c:numRef>
              <c:f>'国际VCM市场价格  周五中间体'!$B$7:$B$564</c:f>
              <c:numCache>
                <c:formatCode>0_ </c:formatCode>
                <c:ptCount val="558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formatCode="General">
                  <c:v>699</c:v>
                </c:pt>
                <c:pt idx="525" formatCode="General">
                  <c:v>699</c:v>
                </c:pt>
                <c:pt idx="526" formatCode="General">
                  <c:v>665</c:v>
                </c:pt>
                <c:pt idx="527" formatCode="General">
                  <c:v>670</c:v>
                </c:pt>
                <c:pt idx="528" formatCode="General">
                  <c:v>670</c:v>
                </c:pt>
                <c:pt idx="529" formatCode="General">
                  <c:v>650</c:v>
                </c:pt>
                <c:pt idx="530" formatCode="General">
                  <c:v>650</c:v>
                </c:pt>
                <c:pt idx="531" formatCode="General">
                  <c:v>645</c:v>
                </c:pt>
                <c:pt idx="532" formatCode="General">
                  <c:v>620</c:v>
                </c:pt>
                <c:pt idx="533" formatCode="General">
                  <c:v>600</c:v>
                </c:pt>
                <c:pt idx="534" formatCode="General">
                  <c:v>600</c:v>
                </c:pt>
                <c:pt idx="535" formatCode="General">
                  <c:v>600</c:v>
                </c:pt>
                <c:pt idx="536" formatCode="General">
                  <c:v>610</c:v>
                </c:pt>
                <c:pt idx="537" formatCode="General">
                  <c:v>645</c:v>
                </c:pt>
                <c:pt idx="538" formatCode="General">
                  <c:v>660</c:v>
                </c:pt>
                <c:pt idx="539" formatCode="General">
                  <c:v>660</c:v>
                </c:pt>
                <c:pt idx="540" formatCode="General">
                  <c:v>665</c:v>
                </c:pt>
                <c:pt idx="541" formatCode="General">
                  <c:v>705</c:v>
                </c:pt>
                <c:pt idx="542" formatCode="General">
                  <c:v>725</c:v>
                </c:pt>
                <c:pt idx="543" formatCode="General">
                  <c:v>730</c:v>
                </c:pt>
                <c:pt idx="544" formatCode="General">
                  <c:v>730</c:v>
                </c:pt>
                <c:pt idx="545" formatCode="General">
                  <c:v>760</c:v>
                </c:pt>
                <c:pt idx="546" formatCode="General">
                  <c:v>750</c:v>
                </c:pt>
                <c:pt idx="547" formatCode="General">
                  <c:v>740</c:v>
                </c:pt>
                <c:pt idx="548" formatCode="General">
                  <c:v>740</c:v>
                </c:pt>
                <c:pt idx="549" formatCode="General">
                  <c:v>720</c:v>
                </c:pt>
                <c:pt idx="550" formatCode="General">
                  <c:v>719</c:v>
                </c:pt>
                <c:pt idx="551" formatCode="General">
                  <c:v>710</c:v>
                </c:pt>
                <c:pt idx="552" formatCode="General">
                  <c:v>710</c:v>
                </c:pt>
                <c:pt idx="553" formatCode="General">
                  <c:v>695</c:v>
                </c:pt>
                <c:pt idx="554" formatCode="General">
                  <c:v>690</c:v>
                </c:pt>
                <c:pt idx="555" formatCode="General">
                  <c:v>680</c:v>
                </c:pt>
                <c:pt idx="556" formatCode="General">
                  <c:v>670</c:v>
                </c:pt>
                <c:pt idx="557" formatCode="General">
                  <c:v>660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周五中间体'!$A$7:$A$564</c:f>
              <c:numCache>
                <c:formatCode>yy/mm/dd</c:formatCode>
                <c:ptCount val="558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</c:numCache>
            </c:numRef>
          </c:cat>
          <c:val>
            <c:numRef>
              <c:f>'国际VCM市场价格  周五中间体'!$D$7:$D$564</c:f>
              <c:numCache>
                <c:formatCode>0_ </c:formatCode>
                <c:ptCount val="558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formatCode="General">
                  <c:v>675</c:v>
                </c:pt>
                <c:pt idx="525" formatCode="General">
                  <c:v>675</c:v>
                </c:pt>
                <c:pt idx="526" formatCode="General">
                  <c:v>675</c:v>
                </c:pt>
                <c:pt idx="527" formatCode="General">
                  <c:v>685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685</c:v>
                </c:pt>
                <c:pt idx="532" formatCode="General">
                  <c:v>685</c:v>
                </c:pt>
                <c:pt idx="533" formatCode="General">
                  <c:v>635</c:v>
                </c:pt>
                <c:pt idx="534" formatCode="General">
                  <c:v>635</c:v>
                </c:pt>
                <c:pt idx="535" formatCode="General">
                  <c:v>585</c:v>
                </c:pt>
                <c:pt idx="536" formatCode="General">
                  <c:v>585</c:v>
                </c:pt>
                <c:pt idx="537" formatCode="General">
                  <c:v>580</c:v>
                </c:pt>
                <c:pt idx="538" formatCode="General">
                  <c:v>580</c:v>
                </c:pt>
                <c:pt idx="539" formatCode="General">
                  <c:v>580</c:v>
                </c:pt>
                <c:pt idx="540" formatCode="General">
                  <c:v>580</c:v>
                </c:pt>
                <c:pt idx="541" formatCode="General">
                  <c:v>605</c:v>
                </c:pt>
                <c:pt idx="542" formatCode="General">
                  <c:v>605</c:v>
                </c:pt>
                <c:pt idx="543" formatCode="General">
                  <c:v>605</c:v>
                </c:pt>
                <c:pt idx="544" formatCode="General">
                  <c:v>605</c:v>
                </c:pt>
                <c:pt idx="545" formatCode="General">
                  <c:v>605</c:v>
                </c:pt>
                <c:pt idx="546" formatCode="General">
                  <c:v>605</c:v>
                </c:pt>
                <c:pt idx="547" formatCode="General">
                  <c:v>605</c:v>
                </c:pt>
                <c:pt idx="548" formatCode="General">
                  <c:v>605</c:v>
                </c:pt>
                <c:pt idx="549" formatCode="General">
                  <c:v>570</c:v>
                </c:pt>
                <c:pt idx="550" formatCode="General">
                  <c:v>570</c:v>
                </c:pt>
                <c:pt idx="551" formatCode="General">
                  <c:v>570</c:v>
                </c:pt>
                <c:pt idx="552" formatCode="General">
                  <c:v>545</c:v>
                </c:pt>
                <c:pt idx="553" formatCode="General">
                  <c:v>545</c:v>
                </c:pt>
                <c:pt idx="554" formatCode="General">
                  <c:v>545</c:v>
                </c:pt>
                <c:pt idx="555" formatCode="General">
                  <c:v>545</c:v>
                </c:pt>
                <c:pt idx="556" formatCode="General">
                  <c:v>535</c:v>
                </c:pt>
                <c:pt idx="557" formatCode="General">
                  <c:v>715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周五中间体'!$A$7:$A$564</c:f>
              <c:numCache>
                <c:formatCode>yy/mm/dd</c:formatCode>
                <c:ptCount val="558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</c:numCache>
            </c:numRef>
          </c:cat>
          <c:val>
            <c:numRef>
              <c:f>'国际VCM市场价格  周五中间体'!$E$7:$E$564</c:f>
              <c:numCache>
                <c:formatCode>0_ </c:formatCode>
                <c:ptCount val="558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formatCode="General">
                  <c:v>675</c:v>
                </c:pt>
                <c:pt idx="525" formatCode="General">
                  <c:v>670</c:v>
                </c:pt>
                <c:pt idx="526" formatCode="General">
                  <c:v>675</c:v>
                </c:pt>
                <c:pt idx="527" formatCode="General">
                  <c:v>675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680</c:v>
                </c:pt>
                <c:pt idx="532" formatCode="General">
                  <c:v>685</c:v>
                </c:pt>
                <c:pt idx="533" formatCode="General">
                  <c:v>685</c:v>
                </c:pt>
                <c:pt idx="534" formatCode="General">
                  <c:v>680</c:v>
                </c:pt>
                <c:pt idx="535" formatCode="General">
                  <c:v>680</c:v>
                </c:pt>
                <c:pt idx="536" formatCode="General">
                  <c:v>695</c:v>
                </c:pt>
                <c:pt idx="537" formatCode="General">
                  <c:v>690</c:v>
                </c:pt>
                <c:pt idx="538" formatCode="General">
                  <c:v>690</c:v>
                </c:pt>
                <c:pt idx="539" formatCode="General">
                  <c:v>690</c:v>
                </c:pt>
                <c:pt idx="540" formatCode="General">
                  <c:v>690</c:v>
                </c:pt>
                <c:pt idx="541" formatCode="General">
                  <c:v>720</c:v>
                </c:pt>
                <c:pt idx="542" formatCode="General">
                  <c:v>725</c:v>
                </c:pt>
                <c:pt idx="543" formatCode="General">
                  <c:v>750</c:v>
                </c:pt>
                <c:pt idx="544" formatCode="General">
                  <c:v>765</c:v>
                </c:pt>
                <c:pt idx="545" formatCode="General">
                  <c:v>765</c:v>
                </c:pt>
                <c:pt idx="546" formatCode="General">
                  <c:v>765</c:v>
                </c:pt>
                <c:pt idx="547" formatCode="General">
                  <c:v>765</c:v>
                </c:pt>
                <c:pt idx="548" formatCode="General">
                  <c:v>705</c:v>
                </c:pt>
                <c:pt idx="549" formatCode="General">
                  <c:v>670</c:v>
                </c:pt>
                <c:pt idx="550" formatCode="General">
                  <c:v>670</c:v>
                </c:pt>
                <c:pt idx="551" formatCode="General">
                  <c:v>655</c:v>
                </c:pt>
                <c:pt idx="552" formatCode="General">
                  <c:v>655</c:v>
                </c:pt>
                <c:pt idx="553" formatCode="General">
                  <c:v>650</c:v>
                </c:pt>
                <c:pt idx="554" formatCode="General">
                  <c:v>650</c:v>
                </c:pt>
                <c:pt idx="555" formatCode="General">
                  <c:v>650</c:v>
                </c:pt>
                <c:pt idx="556" formatCode="General">
                  <c:v>660</c:v>
                </c:pt>
                <c:pt idx="557" formatCode="General">
                  <c:v>525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</c:numCache>
            </c:numRef>
          </c:val>
        </c:ser>
        <c:marker val="1"/>
        <c:axId val="61402496"/>
        <c:axId val="61449344"/>
      </c:lineChart>
      <c:dateAx>
        <c:axId val="61402496"/>
        <c:scaling>
          <c:orientation val="minMax"/>
          <c:max val="43104"/>
          <c:min val="4252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449344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61449344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402496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91575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7435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4628044682820486E-2"/>
          <c:y val="0.12869681987426004"/>
          <c:w val="0.85674931129480214"/>
          <c:h val="0.681296703115874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新电石市场价格!$A$1614:$A$2105</c:f>
              <c:numCache>
                <c:formatCode>yy/mm/dd</c:formatCode>
                <c:ptCount val="492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</c:numCache>
            </c:numRef>
          </c:cat>
          <c:val>
            <c:numRef>
              <c:f>新电石市场价格!$C$1612:$C$2105</c:f>
              <c:numCache>
                <c:formatCode>General</c:formatCode>
                <c:ptCount val="494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新电石市场价格!$A$1614:$A$2105</c:f>
              <c:numCache>
                <c:formatCode>yy/mm/dd</c:formatCode>
                <c:ptCount val="492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</c:numCache>
            </c:numRef>
          </c:cat>
          <c:val>
            <c:numRef>
              <c:f>新电石市场价格!$D$1612:$D$2105</c:f>
              <c:numCache>
                <c:formatCode>General</c:formatCode>
                <c:ptCount val="494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新电石市场价格!$A$1614:$A$2105</c:f>
              <c:numCache>
                <c:formatCode>yy/mm/dd</c:formatCode>
                <c:ptCount val="492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</c:numCache>
            </c:numRef>
          </c:cat>
          <c:val>
            <c:numRef>
              <c:f>新电石市场价格!$E$1612:$E$2105</c:f>
              <c:numCache>
                <c:formatCode>General</c:formatCode>
                <c:ptCount val="494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新电石市场价格!$A$1614:$A$2106</c:f>
              <c:numCache>
                <c:formatCode>yy/mm/dd</c:formatCode>
                <c:ptCount val="49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</c:numCache>
            </c:numRef>
          </c:cat>
          <c:val>
            <c:numRef>
              <c:f>新电石市场价格!$F$1613:$F$2105</c:f>
              <c:numCache>
                <c:formatCode>General</c:formatCode>
                <c:ptCount val="493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</c:numCache>
            </c:numRef>
          </c:val>
        </c:ser>
        <c:marker val="1"/>
        <c:axId val="61463552"/>
        <c:axId val="61801216"/>
      </c:lineChart>
      <c:dateAx>
        <c:axId val="61463552"/>
        <c:scaling>
          <c:orientation val="minMax"/>
          <c:max val="43104"/>
          <c:min val="4252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801216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801216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463552"/>
        <c:crosses val="autoZero"/>
        <c:crossBetween val="between"/>
        <c:majorUnit val="300"/>
        <c:minorUnit val="40"/>
      </c:valAx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2631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F5DE8854-CE21-4ACD-98B4-4B314A7B84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</Pages>
  <Words>758</Words>
  <Characters>4322</Characters>
  <Application>Microsoft Office Word</Application>
  <DocSecurity>0</DocSecurity>
  <Lines>36</Lines>
  <Paragraphs>10</Paragraphs>
  <ScaleCrop>false</ScaleCrop>
  <Company>china</Company>
  <LinksUpToDate>false</LinksUpToDate>
  <CharactersWithSpaces>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176</cp:revision>
  <dcterms:created xsi:type="dcterms:W3CDTF">2017-12-15T04:22:00Z</dcterms:created>
  <dcterms:modified xsi:type="dcterms:W3CDTF">2018-01-05T07:17:00Z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