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-501650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责任编辑：王璐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kern w:val="2"/>
                    </w:rPr>
                  </w:pPr>
                  <w:bookmarkStart w:id="120" w:name="_Toc485828984"/>
                  <w:bookmarkStart w:id="121" w:name="_Toc489608581"/>
                  <w:bookmarkStart w:id="122" w:name="_Toc485904810"/>
                  <w:r>
                    <w:rPr>
                      <w:rFonts w:hint="eastAsia"/>
                      <w:kern w:val="2"/>
                    </w:rPr>
                    <w:t>2017.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120"/>
                  <w:bookmarkEnd w:id="121"/>
                  <w:bookmarkEnd w:id="122"/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</w:p>
                <w:p/>
              </w:txbxContent>
            </v:textbox>
          </v:shape>
        </w:pict>
      </w:r>
      <w: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2" w:firstLineChars="200"/>
        <w:jc w:val="both"/>
        <w:textAlignment w:val="auto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bookmarkStart w:id="0" w:name="_Toc485828985"/>
      <w:bookmarkStart w:id="1" w:name="_Toc485904811"/>
      <w:bookmarkStart w:id="2" w:name="_Toc485904755"/>
      <w:bookmarkStart w:id="3" w:name="_Toc485904788"/>
      <w:r>
        <w:rPr>
          <w:rFonts w:eastAsia="宋体"/>
          <w:sz w:val="21"/>
          <w:szCs w:val="22"/>
        </w:rPr>
        <w:pict>
          <v:shape id="_x0000_s1028" o:spid="_x0000_s1028" o:spt="202" type="#_x0000_t202" style="position:absolute;left:0pt;margin-left:-39.15pt;margin-top:24.25pt;height:565.3pt;width:49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sdt>
                  <w:sdtPr>
                    <w:rPr>
                      <w:rFonts w:ascii="Calibri" w:hAnsi="Calibri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</w:sdtPr>
                  <w:sdtEndPr>
                    <w:rPr>
                      <w:rFonts w:ascii="Calibri" w:hAnsi="Calibri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en-US"/>
                    </w:rPr>
                  </w:sdtEndPr>
                  <w:sdtContent>
                    <w:p>
                      <w:pPr>
                        <w:pStyle w:val="22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TOC \o "1-3" \h \z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"file:///D:\\PVC%20全\\PVC%20全\\PVC周报\\中华商务网VIP服务周报：电石-PVC周报20170803.docx" \l "_Toc489608581"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</w:rPr>
                        <w:t>2017.</w:t>
                      </w:r>
                      <w:r>
                        <w:rPr>
                          <w:rStyle w:val="13"/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rPr>
                          <w:rStyle w:val="13"/>
                        </w:rPr>
                        <w:t>.</w:t>
                      </w:r>
                      <w:r>
                        <w:rPr>
                          <w:rStyle w:val="13"/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_Toc489608581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一．中国内电石市场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_Toc489608582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二、聚氯乙烯市场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2.1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本周行情回顾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</w:pPr>
                      <w:r>
                        <w:fldChar w:fldCharType="begin"/>
                      </w:r>
                      <w:r>
                        <w:instrText xml:space="preserve"> HYPERLINK \l "_Toc489608585"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2.2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大商所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期货价格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"_Toc489608586"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</w:rPr>
                        <w:t xml:space="preserve">2.3 </w:t>
                      </w:r>
                      <w:r>
                        <w:rPr>
                          <w:rStyle w:val="13"/>
                          <w:rFonts w:hint="eastAsia"/>
                        </w:rPr>
                        <w:t>重点</w:t>
                      </w:r>
                      <w:r>
                        <w:rPr>
                          <w:rStyle w:val="13"/>
                        </w:rPr>
                        <w:t>PVC</w:t>
                      </w:r>
                      <w:r>
                        <w:rPr>
                          <w:rStyle w:val="13"/>
                          <w:rFonts w:hint="eastAsia"/>
                        </w:rPr>
                        <w:t>厂家价格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spacing w:line="360" w:lineRule="auto"/>
                        <w:ind w:left="0" w:leftChars="0"/>
                        <w:jc w:val="distribute"/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"_Toc489608587"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2.4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国内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现货市场价格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10"/>
                        <w:spacing w:line="360" w:lineRule="auto"/>
                        <w:ind w:left="0" w:leftChars="0"/>
                        <w:jc w:val="distribute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"_Toc489608588"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2.5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国际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市场价格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"_Toc489608589"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三、相关产品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"_Toc489608590"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3.1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原油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"_Toc489608591"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3.2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乙烯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3.3 EDC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_Toc489608592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3.4 VCM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_Toc489608593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3.5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电石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_Toc489608594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tabs>
                          <w:tab w:val="left" w:pos="840"/>
                        </w:tabs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"_Toc489608595"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="Wingdings" w:hAnsi="Wingdings"/>
                        </w:rPr>
                        <w:t></w:t>
                      </w:r>
                      <w:r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  <w:tab/>
                      </w:r>
                      <w:r>
                        <w:rPr>
                          <w:rStyle w:val="13"/>
                          <w:rFonts w:hint="eastAsia"/>
                        </w:rPr>
                        <w:t>专题：宏观统计数据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_Toc489608595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  <w:p>
                      <w:r>
                        <w:fldChar w:fldCharType="end"/>
                      </w:r>
                    </w:p>
                  </w:sdtContent>
                </w:sd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xbxContent>
            </v:textbox>
          </v:shape>
        </w:pict>
      </w:r>
      <w:r>
        <w:br w:type="page"/>
      </w:r>
      <w:bookmarkEnd w:id="0"/>
      <w:bookmarkStart w:id="4" w:name="_Toc483664855"/>
      <w:bookmarkStart w:id="5" w:name="_Toc485914305"/>
      <w:bookmarkStart w:id="6" w:name="_Toc487798661"/>
      <w:bookmarkStart w:id="7" w:name="_Toc488391994"/>
      <w:bookmarkStart w:id="8" w:name="_Toc488997536"/>
      <w:bookmarkStart w:id="9" w:name="_Toc489608582"/>
      <w:r>
        <w:rPr>
          <w:rFonts w:hint="eastAsia"/>
          <w:b/>
          <w:bCs/>
          <w:sz w:val="30"/>
          <w:szCs w:val="30"/>
        </w:rPr>
        <w:t>一．中国内电石市场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10" w:name="_Toc295460175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市场概述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本周电石市场交投气氛良好，价格维持在涨后水平，电石市场供需僵持，仅河南及山东零星企业跟涨。下游电石法PVC行情进一步下跌，但并未影响装置整体开工负荷。一方面，由于原料供应不足，西北电石炉开工负荷下调，且部分新增糊树脂装置试车，配套电石外销量减少，造成市场货源供应量减少；另一方面，由于烧碱价格继续上行，氯碱企业开工积极性不减，对电石的需求仍保持旺盛。受“十九大”会议影响，环保、安全压力持续加大，道路运输受阻，华北地区部分企业到货受阻，反观其他地区，电石到货情况有所好转，稳价氛围浓。电石企业方面，开工趋稳。但北方冬季来临，煤炭需求旺盛，煤炭价格上涨，导致兰炭和石灰价格也随之涨高，兰炭价格在 850-900 元/吨，原材料价格上涨，成本面助推电石价格上涨，加之电石供应时显不足、PVC 采购积极，电石出厂行情持续走高，较上一周上涨了 50 元/吨左右。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重点市场行情分述：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宁夏地区：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本周，</w:t>
      </w:r>
      <w:r>
        <w:rPr>
          <w:rFonts w:hint="eastAsia" w:ascii="仿宋" w:hAnsi="仿宋" w:eastAsia="仿宋" w:cs="仿宋"/>
          <w:sz w:val="28"/>
          <w:szCs w:val="28"/>
        </w:rPr>
        <w:t>宁夏地区电石市场依旧趋紧，各企业出货顺畅。据了解，受当地电石企业产品供应量相对有限影响，整体交投气氛尚可，下游氯碱企业接货意愿积极。鉴于电石价格上调幅度较大，市场整体观望气氛浓厚。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一级品电石主流出厂价格在3100-3250元/吨，部分高价 3320 元/吨亦有耳闻。。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地区：本周，陕西地区电石市场涨后暂稳，交投重心维持在高位。分析认为，电石货源供应量趋紧的同时，下游氯碱企业稳定的刚需采购仍是电石价格得以上行的主要推动力，外销出货顺畅，电石厂家出厂报价信心增加。现阶段，神木地区出厂价格在 3050-3150 元/吨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不同出厂报价略显差异。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乌盟地区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：本周，</w:t>
      </w:r>
      <w:r>
        <w:rPr>
          <w:rFonts w:hint="eastAsia" w:ascii="仿宋" w:hAnsi="仿宋" w:eastAsia="仿宋" w:cs="仿宋"/>
          <w:sz w:val="28"/>
          <w:szCs w:val="28"/>
        </w:rPr>
        <w:t>内蒙古乌盟地区电石市场走势良好，交投重心逐渐偏向高端。当前西北地区装置开工依旧有限，市场货源紧缺，对此局面，部分电石企业在报价方面提涨意愿犹存，且周边市场涨价呼声较高。现一级品电石主流出厂价格在3100-3250元/吨左右，企业多因下游市场及运距的不同出厂报价略显差异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甘肃地区：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周，甘肃地区电石市场依旧在原位徘徊，难见较大突破。据了解，随着停车电石企业的增多，电石供应面难见好转，而氯碱企业开工负荷逐步提升，电石库存消化较快，已有进货储备库存的需要，但考虑到自身成本压力，氯碱企业暂无法接受电石价格的上调</w:t>
      </w:r>
      <w:r>
        <w:rPr>
          <w:rFonts w:hint="eastAsia" w:ascii="仿宋" w:hAnsi="仿宋" w:eastAsia="仿宋" w:cs="仿宋"/>
          <w:sz w:val="28"/>
          <w:szCs w:val="28"/>
        </w:rPr>
        <w:t>。现阶段，当地氯碱企业采购一级品电石的主流到厂价格在3150-3350 元/吨，企业多因下游市场及运距的不同出厂报价略显差异。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湖北地</w:t>
      </w:r>
      <w:r>
        <w:rPr>
          <w:rFonts w:hint="eastAsia" w:ascii="仿宋" w:hAnsi="仿宋" w:eastAsia="仿宋" w:cs="仿宋"/>
          <w:sz w:val="28"/>
          <w:szCs w:val="28"/>
        </w:rPr>
        <w:t>区：本周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湖北</w:t>
      </w:r>
      <w:r>
        <w:rPr>
          <w:rFonts w:hint="eastAsia" w:ascii="仿宋" w:hAnsi="仿宋" w:eastAsia="仿宋" w:cs="仿宋"/>
          <w:sz w:val="28"/>
          <w:szCs w:val="28"/>
        </w:rPr>
        <w:t>地区电石市场稳步前行，价格重心未见明显波动。据了解，随着国内电石货源紧张局势的延续，该地区外埠送到货源难有明显改观，目前，当地电石企业出货多以固定客户为主，交投气氛平稳。现阶段，该地区氯碱企业采购一级品电石主流送到价格多在3000-3400 元/吨，不同出厂报价略显差异。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影响因素：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下游市场：下游采购电石积极性不减，部分新增产能投产，需求面利好。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供应方面：由于原料供应不足，西北电石炉开工受限，配套装置产品自用为主，外销量减少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原料市场：冬季来临，煤炭进入旺季，兰炭受煤炭冬季采暖储存的影响，价格持续上涨，成本面推动电石价格上调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运输方面：受“十九大”会议召开影响，运输监管力度增强，造成电石外运车辆紧张，运输周期明显延长，运费的增加使到货成本有所增加。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后市预测：综合来看，下游氯碱企业开工负荷变动不大，对电石需求仍很旺盛，但由于 PVC 价格走跌，企业对电石压价心态浓厚。而由于兰炭及石灰石的价格连连上涨，电石成本上涨将会助推电石价格再次走高，电石企业涨价呼声强烈，下游压价意愿明显，供需关系博弈，短期看稳。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1" w:name="_Toc489608583"/>
      <w:bookmarkStart w:id="12" w:name="_Toc485914306"/>
      <w:bookmarkStart w:id="13" w:name="_Toc485904812"/>
      <w:bookmarkStart w:id="14" w:name="_Toc485904789"/>
      <w:bookmarkStart w:id="15" w:name="_Toc48590475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2" w:firstLineChars="200"/>
        <w:jc w:val="both"/>
        <w:textAlignment w:val="auto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二、聚氯乙烯市场</w:t>
      </w:r>
      <w:bookmarkEnd w:id="10"/>
      <w:bookmarkEnd w:id="11"/>
      <w:bookmarkEnd w:id="12"/>
      <w:bookmarkEnd w:id="13"/>
      <w:bookmarkEnd w:id="14"/>
      <w:bookmarkEnd w:id="15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bookmarkStart w:id="16" w:name="_Toc295460176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市场概述：</w:t>
      </w:r>
      <w:r>
        <w:rPr>
          <w:rFonts w:hint="eastAsia" w:ascii="仿宋" w:hAnsi="仿宋" w:eastAsia="仿宋" w:cs="仿宋"/>
          <w:sz w:val="28"/>
          <w:szCs w:val="28"/>
        </w:rPr>
        <w:t>本周国内 PVC 市场继续回落，电石料和乙烯料均有不同程度的下滑。截止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昨日</w:t>
      </w:r>
      <w:r>
        <w:rPr>
          <w:rFonts w:hint="eastAsia" w:ascii="仿宋" w:hAnsi="仿宋" w:eastAsia="仿宋" w:cs="仿宋"/>
          <w:sz w:val="28"/>
          <w:szCs w:val="28"/>
        </w:rPr>
        <w:t xml:space="preserve"> PVC 现货市场指数为 6612，较上周五 6737 下降 1.85%。原料电石高位支撑，但 PVC 行情交投欠佳，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货弱势盘整，截止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昨日</w:t>
      </w:r>
      <w:r>
        <w:rPr>
          <w:rFonts w:hint="eastAsia" w:ascii="仿宋" w:hAnsi="仿宋" w:eastAsia="仿宋" w:cs="仿宋"/>
          <w:sz w:val="28"/>
          <w:szCs w:val="28"/>
        </w:rPr>
        <w:t>主力合约1801期货收盘报6315元/吨，较上周五6490下降2.69%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对现货市场形成一定的打压，商家观望气氛浓厚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再加上下游受冬季淡季的来临与十九大的召开，环保及安全检查加强下需求低迷难改。且整体市场供应增加，拖拽 PVC 市场成交重心下行空间。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厂家方面，本周北方地区下游受环保压力及冬季淡季来临影响，市场氛围较为低迷。华北市场也受十九大的影响，装车和运输较困难，河北部分制品企业停工，需求进一步萎缩，业者对后市谨慎看空，多积极出货。山东下游部分厂家也有限产想象，加之整体市场供应充裕，库存进一步增加，出货承压，低端货源不断增多。西北装置开工维持在高位，需求低迷使厂家库存压力逐渐放大，实单成交中让利幅度较大。乙烯法企业降价明显，华北市场最明显，受十九大与环保的影响，出货压力加大。华东市场乙烯料受库存上升影响，价格下滑明显。装置方面，河北盛华12日开始停工检修，16日正常开工；英力特5型开工推迟10月20日左右，3型10月15日开始检修；中泰米东厂80万吨的装置降负荷，开工7-8成。环保政策方面，“2+26”城市秋冬大气污染巡查工作时间一直持续到明年1月4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2" w:firstLineChars="200"/>
        <w:textAlignment w:val="auto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重点市场行情分述：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华南地区：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本周，华南 PVC 市场供应充裕，出货压力较大，实单成交中仍有低价出现，心态不佳。广州地区普通 5 型电石料主流自提报价 6700-6800 元/吨。君正 6800 元/吨、亿利 6800 元/吨，信发 6780 元/吨，天湖 6780 元/吨，三联 6700 元/吨。汕头地区普通 5 型电石料主流自提报 6740-6800 元/吨。参考报价：信发 6760 元/吨、天湖 6760 元/吨、盐湖 6740 元/吨、君正 6780 元/吨，东方希望 6780 元/吨。乙烯料市场价格稳定，大沽 700/1000 型报价在 7150 元/吨，大沽 1300 型 7400 元/吨，实际成交商谈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华东地区：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本周，华东地区 PVC 市场受期货走跌影响，现货观望浓厚，成交情况欠佳。杭州地区普通 5 型电石料主流自提价格在 6550-6700 元/吨。参考报价：北元 6700 元/吨，三联 6550 元/吨，中泰 5 型 6650 元/吨，天业 6700 元/吨，金泰 6700 元/吨。常州地区普通 5 型电石料主流自提 6550-6650 元/吨自提。参考报价：三联 6550 元/吨，君正 6650 元/吨、中泰自提报在 6650 元/吨、天业 6700 元/吨。乙烯料低端价格在 6850-6950 元/吨送到，高端价格在 7200 元/吨送到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影响因素：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原料电石方面：电石市场供需僵持，成交价格重心未出现明显波动，仅河南及山东零星企业跟涨。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供需方面：本周整体厂家开工基本正常，资源相对充裕，库存较前期有所增加。下游受十九大与环保的影响，需求进一步减少。且后期 11 月份后部分工地面临停工，该区域需求难言乐观。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</w:rPr>
        <w:t xml:space="preserve">期货方面：本周期货继续弱势盘整，现货市场观望情绪浓厚，弱势难改。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市预测：国内PVC市场仍将维持低迷走势，且大部分商家认为目前价格尚未触底，仍有下调空间。厂区除部分装置检修外，整体开工率较高，出货压力加大，且下游部分厂区减产或停工，需求萎缩，利空因素较明显，预计下周国内 PVC 市场行情弱势难改，价格或将弱势盘整为主。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79" w:lineRule="auto"/>
        <w:ind w:left="0" w:leftChars="0" w:right="0" w:rightChars="0" w:firstLine="602" w:firstLineChars="200"/>
        <w:jc w:val="both"/>
        <w:textAlignment w:val="auto"/>
        <w:outlineLvl w:val="0"/>
        <w:rPr>
          <w:rFonts w:hint="eastAsia" w:ascii="宋体" w:hAnsi="宋体" w:eastAsia="宋体" w:cs="宋体"/>
          <w:sz w:val="30"/>
          <w:szCs w:val="30"/>
        </w:rPr>
      </w:pPr>
      <w:bookmarkStart w:id="17" w:name="_Toc488391995"/>
      <w:bookmarkStart w:id="18" w:name="_Toc488997537"/>
      <w:bookmarkStart w:id="19" w:name="_Toc485904813"/>
      <w:bookmarkStart w:id="20" w:name="_Toc489608584"/>
      <w:bookmarkStart w:id="21" w:name="_Toc487798662"/>
      <w:bookmarkStart w:id="22" w:name="_Toc485914307"/>
      <w:bookmarkStart w:id="23" w:name="_Toc485904757"/>
      <w:bookmarkStart w:id="24" w:name="_Toc485904790"/>
      <w:r>
        <w:rPr>
          <w:rFonts w:hint="eastAsia" w:ascii="宋体" w:hAnsi="宋体" w:eastAsia="宋体" w:cs="宋体"/>
          <w:sz w:val="30"/>
          <w:szCs w:val="30"/>
        </w:rPr>
        <w:t>2.1 本周行情回顾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观察，国内PV市场交投气氛黯淡，成交重心延续前期的下行走势，跌幅虽有收窄，但实单成交量较少。综合分析来看，供需失衡的矛盾是造成价格一路下行的主导因素。一方面，由于片碱行情高稳，西北氯碱装置整体开工负荷维持高位，货源供应充足；另一方面，需求端在进入十月后出现萎缩，贸易商和终端客户接单热情较差，市场实单成交量减少，供需失衡的矛盾局面难有改观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79" w:lineRule="auto"/>
        <w:ind w:left="0" w:leftChars="0" w:right="0" w:rightChars="0" w:firstLine="602" w:firstLineChars="200"/>
        <w:jc w:val="both"/>
        <w:textAlignment w:val="auto"/>
        <w:outlineLvl w:val="0"/>
        <w:rPr>
          <w:rFonts w:asciiTheme="majorEastAsia" w:hAnsiTheme="majorEastAsia" w:eastAsiaTheme="majorEastAsia"/>
          <w:sz w:val="28"/>
          <w:szCs w:val="28"/>
        </w:rPr>
      </w:pPr>
      <w:bookmarkStart w:id="25" w:name="_Toc295460177"/>
      <w:bookmarkStart w:id="26" w:name="_Toc485914308"/>
      <w:bookmarkStart w:id="27" w:name="_Toc247424466"/>
      <w:bookmarkStart w:id="28" w:name="_Toc487798663"/>
      <w:bookmarkStart w:id="29" w:name="_Toc488391996"/>
      <w:bookmarkStart w:id="30" w:name="_Toc488997538"/>
      <w:bookmarkStart w:id="31" w:name="_Toc489608585"/>
      <w:r>
        <w:rPr>
          <w:rFonts w:hint="eastAsia" w:ascii="宋体" w:hAnsi="宋体" w:eastAsia="宋体" w:cs="宋体"/>
          <w:sz w:val="30"/>
          <w:szCs w:val="30"/>
        </w:rPr>
        <w:t>2.2大商所PVC期货价格</w:t>
      </w:r>
      <w:bookmarkEnd w:id="25"/>
      <w:bookmarkEnd w:id="26"/>
      <w:bookmarkEnd w:id="27"/>
      <w:bookmarkEnd w:id="28"/>
      <w:bookmarkEnd w:id="29"/>
      <w:bookmarkEnd w:id="30"/>
      <w:bookmarkEnd w:id="31"/>
    </w:p>
    <w:p>
      <w:pPr>
        <w:jc w:val="center"/>
        <w:rPr>
          <w:rFonts w:hint="eastAsia" w:ascii="宋体" w:hAnsi="宋体" w:eastAsia="宋体" w:cs="宋体"/>
          <w:b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</w:rPr>
        <w:t>2017年大商所PVC主力合约收盘价格</w:t>
      </w:r>
    </w:p>
    <w:p>
      <w:pPr>
        <w:widowControl/>
        <w:spacing w:beforeAutospacing="1" w:after="375" w:line="420" w:lineRule="atLeas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394325" cy="2999740"/>
            <wp:effectExtent l="0" t="0" r="15875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="375" w:line="420" w:lineRule="atLeast"/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_x0000_s1046" o:spid="_x0000_s1046" o:spt="202" type="#_x0000_t202" style="position:absolute;left:0pt;margin-left:147.6pt;margin-top:14.25pt;height:32.55pt;width:152.85pt;z-index:251667456;mso-width-relative:page;mso-height-relative:page;" fillcolor="#FF99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8"/>
                      <w:szCs w:val="28"/>
                    </w:rPr>
                    <w:t>大商所PVC主力合约数</w:t>
                  </w:r>
                  <w:r>
                    <w:rPr>
                      <w:rFonts w:hint="eastAsia" w:ascii="宋体" w:hAnsi="宋体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tbl>
      <w:tblPr>
        <w:tblStyle w:val="14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854"/>
        <w:gridCol w:w="853"/>
        <w:gridCol w:w="854"/>
        <w:gridCol w:w="853"/>
        <w:gridCol w:w="853"/>
        <w:gridCol w:w="854"/>
        <w:gridCol w:w="853"/>
        <w:gridCol w:w="854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32" w:name="_Toc247424467"/>
            <w:bookmarkStart w:id="33" w:name="_Toc295460178"/>
            <w:bookmarkStart w:id="34" w:name="_Toc489608586"/>
            <w:bookmarkStart w:id="35" w:name="_Toc488997539"/>
            <w:bookmarkStart w:id="36" w:name="_Toc488391997"/>
            <w:bookmarkStart w:id="37" w:name="_Toc487798664"/>
            <w:bookmarkStart w:id="38" w:name="_Toc485914309"/>
            <w:bookmarkStart w:id="39" w:name="_Toc483664856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开盘价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收盘价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成交量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持仓量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386646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525660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220956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515982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229252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544066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208156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-21096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ascii="宋体" w:hAnsi="宋体"/>
          <w:sz w:val="30"/>
          <w:szCs w:val="30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2.3 </w:t>
      </w:r>
      <w:r>
        <w:rPr>
          <w:rFonts w:hint="eastAsia" w:ascii="宋体" w:hAnsi="宋体"/>
          <w:sz w:val="30"/>
          <w:szCs w:val="30"/>
        </w:rPr>
        <w:t>重点</w:t>
      </w:r>
      <w:r>
        <w:rPr>
          <w:rFonts w:ascii="宋体" w:hAnsi="宋体"/>
          <w:sz w:val="30"/>
          <w:szCs w:val="30"/>
        </w:rPr>
        <w:t>PVC</w:t>
      </w:r>
      <w:r>
        <w:rPr>
          <w:rFonts w:hint="eastAsia" w:ascii="宋体" w:hAnsi="宋体"/>
          <w:sz w:val="30"/>
          <w:szCs w:val="30"/>
        </w:rPr>
        <w:t>厂家价格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ind w:firstLine="2530" w:firstLineChars="9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2017年国内PVC厂家价格走势图</w:t>
      </w:r>
    </w:p>
    <w:p>
      <w:pPr>
        <w:ind w:firstLine="2530" w:firstLineChars="90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396865" cy="3447415"/>
            <wp:effectExtent l="0" t="0" r="13335" b="63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041" o:spid="_x0000_s1041" o:spt="202" type="#_x0000_t202" style="position:absolute;left:0pt;margin-left:127.5pt;margin-top:14pt;height:34.95pt;width:154.2pt;mso-wrap-distance-bottom:0pt;mso-wrap-distance-left:9pt;mso-wrap-distance-right:9pt;mso-wrap-distance-top:0pt;z-index:251662336;mso-width-relative:page;mso-height-relative:page;" fillcolor="#99CC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国内重点PVC厂家价格</w:t>
                  </w:r>
                </w:p>
                <w:p/>
              </w:txbxContent>
            </v:textbox>
            <w10:wrap type="square"/>
          </v:shape>
        </w:pict>
      </w:r>
    </w:p>
    <w:p/>
    <w:p/>
    <w:p>
      <w:pPr>
        <w:jc w:val="center"/>
      </w:pPr>
    </w:p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693"/>
        <w:gridCol w:w="1693"/>
        <w:gridCol w:w="1692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40" w:name="_Toc487798665"/>
            <w:bookmarkStart w:id="41" w:name="_Toc488391998"/>
            <w:bookmarkStart w:id="42" w:name="_Toc488997540"/>
            <w:bookmarkStart w:id="43" w:name="_Toc295460179"/>
            <w:bookmarkStart w:id="44" w:name="_Toc247424468"/>
            <w:bookmarkStart w:id="45" w:name="_Toc485914310"/>
            <w:bookmarkStart w:id="46" w:name="_Toc489608587"/>
            <w:bookmarkStart w:id="47" w:name="_Toc483664857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齐鲁石化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上海氯碱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天津大沽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WS1000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2.4 国内PVC现货市场价格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2017年国内PVC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城市</w:t>
      </w:r>
      <w:r>
        <w:rPr>
          <w:rFonts w:hint="eastAsia" w:ascii="宋体" w:hAnsi="宋体" w:eastAsia="宋体" w:cs="宋体"/>
          <w:b/>
          <w:sz w:val="28"/>
          <w:szCs w:val="28"/>
        </w:rPr>
        <w:t>市场价格走势图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0040" cy="3029585"/>
            <wp:effectExtent l="0" t="0" r="10160" b="18415"/>
            <wp:docPr id="5" name="图片 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/>
          <w:b/>
        </w:rPr>
      </w:pPr>
      <w:r>
        <w:rPr>
          <w:szCs w:val="24"/>
        </w:rPr>
        <w:pict>
          <v:shape id="_x0000_s1044" o:spid="_x0000_s1044" o:spt="202" type="#_x0000_t202" style="position:absolute;left:0pt;margin-left:147.75pt;margin-top:10.45pt;height:35.4pt;width:141.45pt;z-index:251665408;mso-width-relative:page;mso-height-relative:page;" fillcolor="#FFCC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国内电石法PVC市场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价格</w:t>
                  </w:r>
                </w:p>
              </w:txbxContent>
            </v:textbox>
          </v:shape>
        </w:pict>
      </w:r>
    </w:p>
    <w:p>
      <w:pPr>
        <w:rPr>
          <w:rFonts w:ascii="宋体"/>
          <w:b/>
        </w:rPr>
      </w:pPr>
    </w:p>
    <w:p>
      <w:pPr>
        <w:rPr>
          <w:rFonts w:ascii="宋体"/>
          <w:b/>
        </w:rPr>
      </w:pPr>
    </w:p>
    <w:p>
      <w:pPr>
        <w:tabs>
          <w:tab w:val="center" w:pos="4153"/>
          <w:tab w:val="left" w:pos="6885"/>
        </w:tabs>
        <w:jc w:val="left"/>
        <w:rPr>
          <w:rFonts w:asciiTheme="majorEastAsia" w:hAnsiTheme="majorEastAsia" w:eastAsiaTheme="majorEastAsia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48" w:name="_Toc295460180"/>
      <w:bookmarkStart w:id="49" w:name="_Toc247424469"/>
      <w:bookmarkStart w:id="50" w:name="_Toc488997541"/>
      <w:bookmarkStart w:id="51" w:name="_Toc488391999"/>
      <w:bookmarkStart w:id="52" w:name="_Toc483664858"/>
      <w:bookmarkStart w:id="53" w:name="_Toc489608588"/>
      <w:bookmarkStart w:id="54" w:name="_Toc487798666"/>
      <w:bookmarkStart w:id="55" w:name="_Toc485914311"/>
    </w:p>
    <w:p>
      <w:pPr>
        <w:rPr>
          <w:rFonts w:asciiTheme="majorEastAsia" w:hAnsiTheme="majorEastAsia" w:eastAsiaTheme="majorEastAsia"/>
          <w:szCs w:val="28"/>
        </w:rPr>
      </w:pPr>
    </w:p>
    <w:tbl>
      <w:tblPr>
        <w:tblStyle w:val="14"/>
        <w:tblW w:w="8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438"/>
        <w:gridCol w:w="1437"/>
        <w:gridCol w:w="1438"/>
        <w:gridCol w:w="1438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6830</w:t>
            </w:r>
          </w:p>
        </w:tc>
      </w:tr>
    </w:tbl>
    <w:p>
      <w:pPr>
        <w:rPr>
          <w:rFonts w:asciiTheme="majorEastAsia" w:hAnsiTheme="majorEastAsia" w:eastAsiaTheme="majorEastAsia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2.5国际PVC市场价格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</w:t>
      </w:r>
      <w:r>
        <w:rPr>
          <w:rFonts w:ascii="仿宋" w:hAnsi="仿宋" w:eastAsia="仿宋"/>
          <w:b/>
          <w:sz w:val="28"/>
          <w:szCs w:val="28"/>
        </w:rPr>
        <w:t>PVC</w:t>
      </w:r>
      <w:r>
        <w:rPr>
          <w:rFonts w:hint="eastAsia" w:ascii="仿宋" w:hAnsi="仿宋" w:eastAsia="仿宋"/>
          <w:b/>
          <w:sz w:val="28"/>
          <w:szCs w:val="28"/>
        </w:rPr>
        <w:t>价格走势图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396865" cy="3188970"/>
            <wp:effectExtent l="0" t="0" r="13335" b="11430"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/>
          <w:szCs w:val="24"/>
        </w:rPr>
        <w:pict>
          <v:shape id="_x0000_s1042" o:spid="_x0000_s1042" o:spt="202" type="#_x0000_t202" style="position:absolute;left:0pt;margin-left:151.35pt;margin-top:9.4pt;height:33.1pt;width:123.6pt;z-index:251663360;mso-width-relative:page;mso-height-relative:page;" fillcolor="#00CCFF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国际PVC市场价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  <w:r>
        <w:rPr>
          <w:rFonts w:hint="eastAsia" w:ascii="宋体" w:hAnsi="宋体"/>
        </w:rPr>
        <w:t>　　</w:t>
      </w:r>
    </w:p>
    <w:p>
      <w:pPr>
        <w:spacing w:line="360" w:lineRule="auto"/>
        <w:ind w:firstLine="420" w:firstLineChars="200"/>
        <w:rPr>
          <w:rFonts w:ascii="??" w:hAnsi="??"/>
          <w:szCs w:val="21"/>
        </w:rPr>
      </w:pPr>
    </w:p>
    <w:p>
      <w:pPr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单位：美元/吨</w:t>
      </w:r>
    </w:p>
    <w:p>
      <w:pPr>
        <w:rPr>
          <w:sz w:val="18"/>
          <w:szCs w:val="18"/>
        </w:rPr>
      </w:pPr>
    </w:p>
    <w:tbl>
      <w:tblPr>
        <w:tblStyle w:val="14"/>
        <w:tblW w:w="85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2771"/>
        <w:gridCol w:w="31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CFR 远东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FAS 休斯顿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17/09/27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929-931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890-900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17/10/05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929-931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870-880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924-926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870-880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899-901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830-840</w:t>
            </w:r>
          </w:p>
        </w:tc>
      </w:tr>
    </w:tbl>
    <w:p>
      <w:pPr>
        <w:rPr>
          <w:sz w:val="18"/>
          <w:szCs w:val="1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ind w:left="0" w:leftChars="0" w:right="0" w:rightChars="0" w:firstLine="602" w:firstLineChars="200"/>
        <w:jc w:val="both"/>
        <w:textAlignment w:val="auto"/>
        <w:outlineLvl w:val="0"/>
        <w:rPr>
          <w:rFonts w:ascii="宋体"/>
          <w:sz w:val="30"/>
          <w:szCs w:val="30"/>
        </w:rPr>
      </w:pPr>
      <w:bookmarkStart w:id="56" w:name="_Toc489608589"/>
      <w:bookmarkStart w:id="57" w:name="_Toc487798667"/>
      <w:bookmarkStart w:id="58" w:name="_Toc488997542"/>
      <w:bookmarkStart w:id="59" w:name="_Toc485914312"/>
      <w:bookmarkStart w:id="60" w:name="_Toc483664859"/>
      <w:bookmarkStart w:id="61" w:name="_Toc247424474"/>
      <w:bookmarkStart w:id="62" w:name="_Toc295460181"/>
      <w:bookmarkStart w:id="63" w:name="_Toc488392000"/>
      <w:r>
        <w:rPr>
          <w:rFonts w:hint="eastAsia" w:ascii="宋体" w:hAnsi="宋体"/>
          <w:sz w:val="30"/>
          <w:szCs w:val="30"/>
        </w:rPr>
        <w:t>三、相关产品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FF0000"/>
          <w:sz w:val="30"/>
          <w:szCs w:val="30"/>
        </w:rPr>
      </w:pPr>
      <w:bookmarkStart w:id="64" w:name="_Toc483664860"/>
      <w:bookmarkStart w:id="65" w:name="_Toc489608590"/>
      <w:bookmarkStart w:id="66" w:name="_Toc295460182"/>
      <w:bookmarkStart w:id="67" w:name="_Toc485914313"/>
      <w:bookmarkStart w:id="68" w:name="_Toc488392001"/>
      <w:bookmarkStart w:id="69" w:name="_Toc247424475"/>
      <w:bookmarkStart w:id="70" w:name="_Toc487798668"/>
      <w:bookmarkStart w:id="71" w:name="_Toc488997543"/>
      <w:r>
        <w:rPr>
          <w:rFonts w:hint="eastAsia" w:ascii="宋体" w:hAnsi="宋体" w:eastAsia="宋体" w:cs="宋体"/>
          <w:sz w:val="30"/>
          <w:szCs w:val="30"/>
        </w:rPr>
        <w:t>3.1原油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2017年国际原油期货价格走势图</w:t>
      </w:r>
    </w:p>
    <w:p/>
    <w:p>
      <w:pPr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4790440" cy="3447415"/>
            <wp:effectExtent l="0" t="0" r="10160" b="635"/>
            <wp:docPr id="7" name="图片 7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 w:left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说明：1.NYMEX：美国纽约商品交易所西德州轻原油期货价格</w:t>
      </w:r>
    </w:p>
    <w:p>
      <w:pPr>
        <w:numPr>
          <w:ilvl w:val="0"/>
          <w:numId w:val="1"/>
        </w:numPr>
        <w:ind w:left="210" w:leftChars="100" w:firstLine="561" w:firstLineChars="312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ICE：英国伦敦洲际交易所布伦特原油期货价格</w:t>
      </w:r>
    </w:p>
    <w:p>
      <w:pPr>
        <w:ind w:left="865" w:leftChars="412"/>
        <w:rPr>
          <w:rFonts w:hint="eastAsia" w:ascii="宋体" w:hAnsi="宋体" w:eastAsia="宋体" w:cs="宋体"/>
          <w:sz w:val="18"/>
          <w:szCs w:val="18"/>
        </w:rPr>
      </w:pPr>
    </w:p>
    <w:p>
      <w:pPr>
        <w:ind w:left="210" w:leftChars="100" w:firstLine="655" w:firstLineChars="312"/>
        <w:rPr>
          <w:rFonts w:ascii="宋体"/>
          <w:szCs w:val="21"/>
        </w:rPr>
      </w:pPr>
    </w:p>
    <w:p>
      <w:pPr>
        <w:ind w:left="210" w:leftChars="100" w:firstLine="655" w:firstLineChars="312"/>
        <w:rPr>
          <w:rFonts w:ascii="宋体"/>
          <w:szCs w:val="21"/>
        </w:rPr>
      </w:pPr>
      <w:r>
        <w:rPr>
          <w:szCs w:val="24"/>
        </w:rPr>
        <w:pict>
          <v:shape id="_x0000_s1043" o:spid="_x0000_s1043" o:spt="202" type="#_x0000_t202" style="position:absolute;left:0pt;margin-left:161.85pt;margin-top:4.3pt;height:31.65pt;width:113.85pt;z-index:251664384;mso-width-relative:page;mso-height-relative:page;" fillcolor="#33CCCC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国际原油期货价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>
      <w:pPr>
        <w:ind w:left="210" w:leftChars="100" w:firstLine="655" w:firstLineChars="312"/>
        <w:rPr>
          <w:szCs w:val="21"/>
        </w:rPr>
      </w:pPr>
    </w:p>
    <w:p>
      <w:pPr>
        <w:ind w:left="210" w:leftChars="100" w:firstLine="655" w:firstLineChars="312"/>
        <w:rPr>
          <w:szCs w:val="21"/>
        </w:rPr>
      </w:pPr>
    </w:p>
    <w:p>
      <w:pPr>
        <w:ind w:left="210" w:leftChars="100" w:firstLine="655" w:firstLineChars="312"/>
        <w:rPr>
          <w:szCs w:val="21"/>
        </w:rPr>
      </w:pPr>
    </w:p>
    <w:p>
      <w:pPr>
        <w:ind w:left="210" w:leftChars="100" w:firstLine="655" w:firstLineChars="312"/>
        <w:rPr>
          <w:szCs w:val="21"/>
        </w:rPr>
      </w:pPr>
    </w:p>
    <w:tbl>
      <w:tblPr>
        <w:tblStyle w:val="14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5"/>
        <w:gridCol w:w="2844"/>
        <w:gridCol w:w="2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72" w:name="_Toc247424476"/>
            <w:bookmarkStart w:id="73" w:name="_Toc295460183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NYMEX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51.45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51.87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51.88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57.23</w:t>
            </w:r>
          </w:p>
        </w:tc>
      </w:tr>
    </w:tbl>
    <w:p>
      <w:pPr>
        <w:pStyle w:val="3"/>
        <w:spacing w:line="415" w:lineRule="auto"/>
      </w:pPr>
      <w:r>
        <w:rPr>
          <w:rFonts w:hint="eastAsia"/>
        </w:rPr>
        <w:t>　</w:t>
      </w:r>
      <w:bookmarkStart w:id="74" w:name="_Toc489608591"/>
      <w:bookmarkStart w:id="75" w:name="_Toc488392002"/>
      <w:bookmarkStart w:id="76" w:name="_Toc483664861"/>
      <w:bookmarkStart w:id="77" w:name="_Toc485914314"/>
      <w:bookmarkStart w:id="78" w:name="_Toc487798669"/>
      <w:bookmarkStart w:id="79" w:name="_Toc48899754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3.2 乙烯</w:t>
      </w:r>
      <w:bookmarkEnd w:id="74"/>
      <w:bookmarkEnd w:id="75"/>
      <w:bookmarkEnd w:id="76"/>
      <w:bookmarkEnd w:id="77"/>
      <w:bookmarkEnd w:id="78"/>
      <w:bookmarkEnd w:id="79"/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2017年国际乙烯单体市场价格走势图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/>
        <w:spacing w:beforeAutospacing="1" w:after="375" w:line="420" w:lineRule="atLeast"/>
        <w:ind w:firstLine="42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71465" cy="3228340"/>
            <wp:effectExtent l="0" t="0" r="635" b="10160"/>
            <wp:docPr id="8" name="图片 8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="375" w:line="420" w:lineRule="atLeast"/>
        <w:ind w:firstLine="420"/>
        <w:jc w:val="center"/>
      </w:pPr>
      <w:r>
        <w:pict>
          <v:shape id="_x0000_s1049" o:spid="_x0000_s1049" o:spt="202" type="#_x0000_t202" style="position:absolute;left:0pt;margin-left:166.95pt;margin-top:4.55pt;height:31.5pt;width:120pt;z-index:251670528;mso-width-relative:page;mso-height-relative:page;" fillcolor="#00CCFF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国际乙烯单体价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     </w:t>
      </w:r>
    </w:p>
    <w:p>
      <w:pPr>
        <w:rPr>
          <w:rFonts w:asciiTheme="majorEastAsia" w:hAnsiTheme="majorEastAsia" w:eastAsiaTheme="majorEastAsia"/>
          <w:b/>
          <w:bCs/>
          <w:szCs w:val="28"/>
        </w:rPr>
      </w:pPr>
      <w:r>
        <w:rPr>
          <w:rFonts w:hint="eastAsia" w:ascii="仿宋" w:hAnsi="仿宋" w:eastAsia="仿宋"/>
          <w:szCs w:val="21"/>
        </w:rPr>
        <w:t xml:space="preserve">       </w:t>
      </w:r>
      <w:r>
        <w:rPr>
          <w:rFonts w:hint="eastAsia" w:ascii="仿宋" w:hAnsi="仿宋" w:eastAsia="仿宋"/>
          <w:b/>
          <w:bCs/>
          <w:szCs w:val="21"/>
        </w:rPr>
        <w:t xml:space="preserve"> 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/>
          <w:b/>
          <w:bCs/>
          <w:szCs w:val="21"/>
        </w:rPr>
        <w:t>单位：美元</w:t>
      </w:r>
      <w:r>
        <w:rPr>
          <w:rFonts w:ascii="仿宋" w:hAnsi="仿宋" w:eastAsia="仿宋"/>
          <w:b/>
          <w:bCs/>
          <w:szCs w:val="21"/>
        </w:rPr>
        <w:t>/</w:t>
      </w:r>
      <w:r>
        <w:rPr>
          <w:rFonts w:hint="eastAsia" w:ascii="仿宋" w:hAnsi="仿宋" w:eastAsia="仿宋"/>
          <w:b/>
          <w:bCs/>
          <w:szCs w:val="21"/>
        </w:rPr>
        <w:t>吨</w:t>
      </w:r>
      <w:bookmarkStart w:id="80" w:name="_Toc487798670"/>
      <w:bookmarkStart w:id="81" w:name="_Toc488392003"/>
      <w:bookmarkStart w:id="82" w:name="_Toc483664862"/>
      <w:bookmarkStart w:id="83" w:name="_Toc488997545"/>
      <w:bookmarkStart w:id="84" w:name="_Toc489608592"/>
      <w:bookmarkStart w:id="85" w:name="_Toc485914315"/>
    </w:p>
    <w:tbl>
      <w:tblPr>
        <w:tblStyle w:val="14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1892"/>
        <w:gridCol w:w="1889"/>
        <w:gridCol w:w="3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CFR东北亚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CFR东南亚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CIF西北欧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1294-1296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1159-1161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1176.00-1181.00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1294-1296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1159-1161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1174.00-1179.00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1294-1296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1159-1161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1169.50-1174.50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1172.50-1177.50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1294-1296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1159-1161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1181.00-1186.00</w:t>
            </w:r>
          </w:p>
        </w:tc>
      </w:tr>
    </w:tbl>
    <w:p>
      <w:pPr>
        <w:pStyle w:val="3"/>
        <w:spacing w:line="415" w:lineRule="auto"/>
        <w:rPr>
          <w:rFonts w:asciiTheme="majorEastAsia" w:hAnsiTheme="majorEastAsia" w:eastAsiaTheme="majorEastAsia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3.3 EDC</w:t>
      </w:r>
      <w:bookmarkEnd w:id="80"/>
      <w:bookmarkEnd w:id="81"/>
      <w:bookmarkEnd w:id="82"/>
      <w:bookmarkEnd w:id="83"/>
      <w:bookmarkEnd w:id="84"/>
      <w:bookmarkEnd w:id="85"/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2017年国际EDC市场价格走势图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396230" cy="3178810"/>
            <wp:effectExtent l="0" t="0" r="13970" b="2540"/>
            <wp:docPr id="10" name="图片 10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jc w:val="center"/>
      </w:pPr>
      <w:r>
        <w:pict>
          <v:shape id="_x0000_s1047" o:spid="_x0000_s1047" o:spt="202" type="#_x0000_t202" style="position:absolute;left:0pt;margin-left:162pt;margin-top:6.35pt;height:32.95pt;width:117.45pt;z-index:251668480;mso-width-relative:page;mso-height-relative:page;" fillcolor="#969696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国际EDC市场价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>
      <w:pPr>
        <w:spacing w:line="360" w:lineRule="auto"/>
        <w:jc w:val="right"/>
        <w:rPr>
          <w:rFonts w:hint="eastAsia" w:ascii="仿宋" w:hAnsi="仿宋" w:eastAsia="仿宋"/>
          <w:szCs w:val="21"/>
        </w:rPr>
      </w:pPr>
    </w:p>
    <w:p>
      <w:pPr>
        <w:spacing w:line="36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36"/>
        <w:gridCol w:w="2182"/>
        <w:gridCol w:w="2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CFR远东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FOB西北欧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FOB美国海湾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17/09/22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199-201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248-252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170-180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17/09/29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199-201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248-252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170-180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199-201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248-252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170-180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17/10/20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197-199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248-252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170-180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bookmarkStart w:id="86" w:name="_Toc247424478"/>
      <w:bookmarkStart w:id="87" w:name="_Toc485914316"/>
      <w:bookmarkStart w:id="88" w:name="_Toc292436437"/>
      <w:bookmarkStart w:id="89" w:name="_Toc488392004"/>
      <w:bookmarkStart w:id="90" w:name="_Toc322078441"/>
      <w:bookmarkStart w:id="91" w:name="_Toc283391557"/>
      <w:bookmarkStart w:id="92" w:name="_Toc483664863"/>
      <w:bookmarkStart w:id="93" w:name="_Toc286647029"/>
      <w:bookmarkStart w:id="94" w:name="_Toc488997546"/>
      <w:bookmarkStart w:id="95" w:name="_Toc295460185"/>
      <w:bookmarkStart w:id="96" w:name="_Toc291835541"/>
      <w:bookmarkStart w:id="97" w:name="_Toc489608593"/>
      <w:bookmarkStart w:id="98" w:name="_Toc48779867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30"/>
          <w:szCs w:val="30"/>
        </w:rPr>
        <w:t>VCM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2017年国际VCM市场价格走势图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398770" cy="3139440"/>
            <wp:effectExtent l="0" t="0" r="11430" b="3810"/>
            <wp:docPr id="12" name="图片 12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  <w:r>
        <w:rPr>
          <w:szCs w:val="24"/>
        </w:rPr>
        <w:pict>
          <v:shape id="_x0000_s1048" o:spid="_x0000_s1048" o:spt="202" type="#_x0000_t202" style="position:absolute;left:0pt;margin-left:171pt;margin-top:7.8pt;height:32.35pt;width:126.45pt;z-index:251669504;mso-width-relative:page;mso-height-relative:page;" fillcolor="#80808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国际VCM市场价格</w:t>
                  </w:r>
                </w:p>
              </w:txbxContent>
            </v:textbox>
          </v:shape>
        </w:pic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单位：美元/吨</w:t>
      </w:r>
    </w:p>
    <w:tbl>
      <w:tblPr>
        <w:tblStyle w:val="14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60"/>
        <w:gridCol w:w="2302"/>
        <w:gridCol w:w="2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CFR远东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FOB西北欧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FOB美国海湾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17/09/21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729-731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603-607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760-770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17/09/28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759-761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603-607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760-770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749-751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603-607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760-770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17/10/20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739-741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603-607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760-770</w:t>
            </w:r>
          </w:p>
        </w:tc>
      </w:tr>
      <w:bookmarkEnd w:id="72"/>
      <w:bookmarkEnd w:id="73"/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bookmarkStart w:id="123" w:name="_GoBack"/>
      <w:bookmarkEnd w:id="123"/>
      <w:bookmarkStart w:id="99" w:name="_Toc488997547"/>
      <w:bookmarkStart w:id="100" w:name="_Toc485914317"/>
      <w:bookmarkStart w:id="101" w:name="_Toc295460186"/>
      <w:bookmarkStart w:id="102" w:name="_Toc247424479"/>
      <w:bookmarkStart w:id="103" w:name="_Toc488392005"/>
      <w:bookmarkStart w:id="104" w:name="_Toc483664864"/>
      <w:bookmarkStart w:id="105" w:name="_Toc487798672"/>
      <w:bookmarkStart w:id="106" w:name="_Toc489608594"/>
    </w:p>
    <w:p>
      <w:pPr>
        <w:rPr>
          <w:rFonts w:hint="eastAsi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right="0" w:rightChars="0" w:firstLine="602" w:firstLineChars="200"/>
        <w:jc w:val="both"/>
        <w:textAlignment w:val="auto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3.5电石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/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2017年国内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主要地区</w:t>
      </w:r>
      <w:r>
        <w:rPr>
          <w:rFonts w:hint="eastAsia" w:ascii="宋体" w:hAnsi="宋体" w:eastAsia="宋体" w:cs="宋体"/>
          <w:b/>
          <w:sz w:val="28"/>
          <w:szCs w:val="28"/>
        </w:rPr>
        <w:t>电石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b/>
          <w:sz w:val="28"/>
          <w:szCs w:val="28"/>
        </w:rPr>
        <w:t>场价格走势图</w:t>
      </w:r>
    </w:p>
    <w:p>
      <w:pPr>
        <w:widowControl/>
        <w:spacing w:beforeAutospacing="1" w:after="375" w:line="420" w:lineRule="atLeast"/>
        <w:ind w:firstLine="420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399405" cy="2998470"/>
            <wp:effectExtent l="0" t="0" r="10795" b="11430"/>
            <wp:docPr id="9" name="图片 9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</w:p>
    <w:p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Cs w:val="24"/>
        </w:rPr>
        <w:pict>
          <v:shape id="_x0000_s1045" o:spid="_x0000_s1045" o:spt="202" type="#_x0000_t202" style="position:absolute;left:0pt;margin-left:153.6pt;margin-top:-0.35pt;height:33.75pt;width:133.35pt;z-index:251666432;mso-width-relative:page;mso-height-relative:page;" fillcolor="#FF99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>
      <w:pPr>
        <w:wordWrap w:val="0"/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</w:t>
      </w:r>
    </w:p>
    <w:p>
      <w:pPr>
        <w:wordWrap w:val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" w:hAnsi="仿宋" w:eastAsia="仿宋"/>
          <w:szCs w:val="21"/>
        </w:rPr>
        <w:t xml:space="preserve">            </w:t>
      </w:r>
      <w:r>
        <w:rPr>
          <w:rFonts w:hint="eastAsia" w:ascii="宋体" w:hAnsi="宋体" w:eastAsia="宋体" w:cs="宋体"/>
          <w:sz w:val="18"/>
          <w:szCs w:val="18"/>
        </w:rPr>
        <w:t xml:space="preserve">单位：元/吨 </w:t>
      </w:r>
    </w:p>
    <w:tbl>
      <w:tblPr>
        <w:tblStyle w:val="14"/>
        <w:tblW w:w="72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1446"/>
        <w:gridCol w:w="1446"/>
        <w:gridCol w:w="1446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07" w:name="_Toc262550199"/>
            <w:bookmarkStart w:id="108" w:name="_Toc260229009"/>
            <w:bookmarkStart w:id="109" w:name="_Toc260227055"/>
            <w:bookmarkStart w:id="110" w:name="_Toc485914318"/>
            <w:bookmarkStart w:id="111" w:name="_Toc488997548"/>
            <w:bookmarkStart w:id="112" w:name="_Toc489608595"/>
            <w:bookmarkStart w:id="113" w:name="_Toc295460173"/>
            <w:bookmarkStart w:id="114" w:name="_Toc401302144"/>
            <w:bookmarkStart w:id="115" w:name="_Toc483664865"/>
            <w:bookmarkStart w:id="116" w:name="_Toc488392006"/>
            <w:bookmarkStart w:id="117" w:name="_Toc262826500"/>
            <w:bookmarkStart w:id="118" w:name="_Toc261616908"/>
            <w:bookmarkStart w:id="119" w:name="_Toc487798673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内蒙古吉兰泰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宁夏金海永和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甘肃鸿丰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湖北丹江口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17/10/19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</w:tbl>
    <w:p>
      <w:pPr>
        <w:pStyle w:val="2"/>
        <w:widowControl/>
        <w:numPr>
          <w:ilvl w:val="0"/>
          <w:numId w:val="2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sz w:val="30"/>
          <w:szCs w:val="30"/>
        </w:rPr>
        <w:t>专题：</w:t>
      </w:r>
      <w:bookmarkEnd w:id="107"/>
      <w:bookmarkEnd w:id="108"/>
      <w:bookmarkEnd w:id="109"/>
      <w:r>
        <w:rPr>
          <w:rFonts w:hint="eastAsia"/>
          <w:sz w:val="30"/>
          <w:szCs w:val="30"/>
        </w:rPr>
        <w:t>宏观统计数据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2017年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1-9月份，商品房销售面积116006万平方米，同比增长10.3%，增速比1-8月份回落2.4个百分点。其中，住宅销售面积增长7.6%，办公楼销售面积增长32.7%，商业营业用房销售面积增长23.7%。商品房销售额91904亿元，增长14.6%，增速回落2.6个百分点。其中，住宅销售额增长11.4%，办公楼销售额增长25.2%，商业营业用房销售额增长31.8%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月份，全国居民消费价格同比上涨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1.6%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。其中，城市上涨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1.7%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，农村上涨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1.4%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；食品价格下降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1.4%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，非食品价格上涨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2.4%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；消费品价格上涨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0.7%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，服务价格上涨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3.3%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1-9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月平均，全国居民消费价格总水平比去年同期上涨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1.5%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月份，全国居民消费价格环比上涨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0.5%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。其中，城市上涨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0.5%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，农村上涨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0.6%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；食品价格上涨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0.5%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，非食品价格上涨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0.5%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；消费品价格上涨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0.4%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，服务价格上涨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0.7%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1-9月份，全国固定资产投资（不含农户）458478亿元，同比增长7.5%，增速比1-8月份回落0.3个百分点。从环比速度看，9月份比8月份增长0.56%。2017年1-9月份，民间固定资产投资277520亿元，同比名义增长6%，增速比1-8月份回落0.4个百分点。民间固定资产投资占全国固定资产投资（不含农户）的比重为60.5%。</w:t>
      </w:r>
    </w:p>
    <w:p>
      <w:pPr>
        <w:spacing w:line="400" w:lineRule="exact"/>
        <w:ind w:firstLine="1600" w:firstLineChars="400"/>
        <w:rPr>
          <w:rFonts w:hint="eastAsia" w:ascii="方正粗宋简体" w:eastAsia="方正粗宋简体"/>
          <w:spacing w:val="20"/>
          <w:sz w:val="36"/>
          <w:szCs w:val="36"/>
        </w:rPr>
      </w:pPr>
    </w:p>
    <w:p>
      <w:pPr>
        <w:spacing w:line="400" w:lineRule="exact"/>
        <w:ind w:firstLine="1600" w:firstLineChars="400"/>
        <w:rPr>
          <w:rFonts w:hint="eastAsia" w:ascii="方正粗宋简体" w:eastAsia="方正粗宋简体"/>
          <w:spacing w:val="20"/>
          <w:sz w:val="36"/>
          <w:szCs w:val="36"/>
        </w:rPr>
      </w:pPr>
    </w:p>
    <w:p>
      <w:pPr>
        <w:spacing w:line="400" w:lineRule="exact"/>
        <w:ind w:firstLine="1600" w:firstLineChars="400"/>
        <w:rPr>
          <w:rFonts w:hint="eastAsia" w:ascii="方正粗宋简体" w:eastAsia="方正粗宋简体"/>
          <w:spacing w:val="20"/>
          <w:sz w:val="36"/>
          <w:szCs w:val="36"/>
        </w:rPr>
      </w:pPr>
    </w:p>
    <w:p>
      <w:pPr>
        <w:spacing w:line="400" w:lineRule="exact"/>
        <w:ind w:firstLine="1600" w:firstLineChars="4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8454"/>
    <w:multiLevelType w:val="singleLevel"/>
    <w:tmpl w:val="599B8454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9B8FE9"/>
    <w:multiLevelType w:val="singleLevel"/>
    <w:tmpl w:val="599B8FE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7DFB"/>
    <w:rsid w:val="000133F2"/>
    <w:rsid w:val="00025F3A"/>
    <w:rsid w:val="00043BD5"/>
    <w:rsid w:val="000538D5"/>
    <w:rsid w:val="0006271A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493A"/>
    <w:rsid w:val="001128DB"/>
    <w:rsid w:val="001209C8"/>
    <w:rsid w:val="00135602"/>
    <w:rsid w:val="00193843"/>
    <w:rsid w:val="001944C7"/>
    <w:rsid w:val="001A611D"/>
    <w:rsid w:val="001C20CD"/>
    <w:rsid w:val="001D3943"/>
    <w:rsid w:val="001D51C3"/>
    <w:rsid w:val="001E436A"/>
    <w:rsid w:val="001F5133"/>
    <w:rsid w:val="001F53BC"/>
    <w:rsid w:val="0021248D"/>
    <w:rsid w:val="0022723B"/>
    <w:rsid w:val="00254B8C"/>
    <w:rsid w:val="0026357C"/>
    <w:rsid w:val="0027222D"/>
    <w:rsid w:val="00277D2C"/>
    <w:rsid w:val="002B4374"/>
    <w:rsid w:val="002C1E4D"/>
    <w:rsid w:val="002D67FA"/>
    <w:rsid w:val="0030370A"/>
    <w:rsid w:val="00351054"/>
    <w:rsid w:val="00361079"/>
    <w:rsid w:val="003C03BF"/>
    <w:rsid w:val="00403EAD"/>
    <w:rsid w:val="00404F29"/>
    <w:rsid w:val="004438D9"/>
    <w:rsid w:val="00455424"/>
    <w:rsid w:val="00460727"/>
    <w:rsid w:val="0048213C"/>
    <w:rsid w:val="00491A4E"/>
    <w:rsid w:val="00491FD8"/>
    <w:rsid w:val="0049544D"/>
    <w:rsid w:val="004A325A"/>
    <w:rsid w:val="004B3F10"/>
    <w:rsid w:val="004E5F2C"/>
    <w:rsid w:val="005000A9"/>
    <w:rsid w:val="005027CA"/>
    <w:rsid w:val="00514F38"/>
    <w:rsid w:val="00537871"/>
    <w:rsid w:val="00583127"/>
    <w:rsid w:val="00587A17"/>
    <w:rsid w:val="005B2422"/>
    <w:rsid w:val="005C0E51"/>
    <w:rsid w:val="005C27BC"/>
    <w:rsid w:val="005D7BFA"/>
    <w:rsid w:val="005E152A"/>
    <w:rsid w:val="005E5645"/>
    <w:rsid w:val="005E6DA3"/>
    <w:rsid w:val="005F185E"/>
    <w:rsid w:val="005F335A"/>
    <w:rsid w:val="005F4661"/>
    <w:rsid w:val="00612B48"/>
    <w:rsid w:val="00635DE9"/>
    <w:rsid w:val="006456B0"/>
    <w:rsid w:val="00645CD6"/>
    <w:rsid w:val="00655213"/>
    <w:rsid w:val="0066117C"/>
    <w:rsid w:val="00687DFE"/>
    <w:rsid w:val="0069612A"/>
    <w:rsid w:val="006A5CC5"/>
    <w:rsid w:val="006B780F"/>
    <w:rsid w:val="006E3F43"/>
    <w:rsid w:val="007116AF"/>
    <w:rsid w:val="007274C1"/>
    <w:rsid w:val="00735CCE"/>
    <w:rsid w:val="007510DA"/>
    <w:rsid w:val="007545F7"/>
    <w:rsid w:val="00764161"/>
    <w:rsid w:val="00777E3C"/>
    <w:rsid w:val="007A2906"/>
    <w:rsid w:val="007A4701"/>
    <w:rsid w:val="007B48CA"/>
    <w:rsid w:val="007B63DD"/>
    <w:rsid w:val="007B6C15"/>
    <w:rsid w:val="007C32F6"/>
    <w:rsid w:val="007C4414"/>
    <w:rsid w:val="007D1289"/>
    <w:rsid w:val="007E15A8"/>
    <w:rsid w:val="007E47F0"/>
    <w:rsid w:val="007E65C9"/>
    <w:rsid w:val="00800CDB"/>
    <w:rsid w:val="0080544C"/>
    <w:rsid w:val="0081768D"/>
    <w:rsid w:val="00823AC9"/>
    <w:rsid w:val="00824F69"/>
    <w:rsid w:val="008253ED"/>
    <w:rsid w:val="008322E6"/>
    <w:rsid w:val="00851423"/>
    <w:rsid w:val="00872209"/>
    <w:rsid w:val="0087364C"/>
    <w:rsid w:val="00884C52"/>
    <w:rsid w:val="008D0BC3"/>
    <w:rsid w:val="00910F41"/>
    <w:rsid w:val="00914E5F"/>
    <w:rsid w:val="009373E9"/>
    <w:rsid w:val="00953D05"/>
    <w:rsid w:val="009714AB"/>
    <w:rsid w:val="00990AE6"/>
    <w:rsid w:val="00993180"/>
    <w:rsid w:val="00993879"/>
    <w:rsid w:val="009A6423"/>
    <w:rsid w:val="009B4DE2"/>
    <w:rsid w:val="009D4C30"/>
    <w:rsid w:val="00A039D4"/>
    <w:rsid w:val="00A05943"/>
    <w:rsid w:val="00A0658F"/>
    <w:rsid w:val="00A13F55"/>
    <w:rsid w:val="00A31F3B"/>
    <w:rsid w:val="00A431A7"/>
    <w:rsid w:val="00A45A0A"/>
    <w:rsid w:val="00A54A17"/>
    <w:rsid w:val="00A564D5"/>
    <w:rsid w:val="00A7553D"/>
    <w:rsid w:val="00A9016F"/>
    <w:rsid w:val="00AB77E9"/>
    <w:rsid w:val="00AC0BBE"/>
    <w:rsid w:val="00AD0D88"/>
    <w:rsid w:val="00AD545F"/>
    <w:rsid w:val="00AD5D7D"/>
    <w:rsid w:val="00AE5627"/>
    <w:rsid w:val="00B048E7"/>
    <w:rsid w:val="00B306B3"/>
    <w:rsid w:val="00B36608"/>
    <w:rsid w:val="00B42350"/>
    <w:rsid w:val="00B42DF1"/>
    <w:rsid w:val="00B44411"/>
    <w:rsid w:val="00B57551"/>
    <w:rsid w:val="00B62BC8"/>
    <w:rsid w:val="00BA72F0"/>
    <w:rsid w:val="00BA7BA1"/>
    <w:rsid w:val="00BB56DD"/>
    <w:rsid w:val="00BD5E1E"/>
    <w:rsid w:val="00BE4EC7"/>
    <w:rsid w:val="00BE7E7B"/>
    <w:rsid w:val="00C043A4"/>
    <w:rsid w:val="00C641DD"/>
    <w:rsid w:val="00C92DB0"/>
    <w:rsid w:val="00CB48B7"/>
    <w:rsid w:val="00CC67C0"/>
    <w:rsid w:val="00CD3B11"/>
    <w:rsid w:val="00CE3D30"/>
    <w:rsid w:val="00CE4B61"/>
    <w:rsid w:val="00CF01D1"/>
    <w:rsid w:val="00CF6D64"/>
    <w:rsid w:val="00D013C8"/>
    <w:rsid w:val="00D14616"/>
    <w:rsid w:val="00D1688D"/>
    <w:rsid w:val="00D241EB"/>
    <w:rsid w:val="00D436F2"/>
    <w:rsid w:val="00D9274F"/>
    <w:rsid w:val="00D9634D"/>
    <w:rsid w:val="00DA113E"/>
    <w:rsid w:val="00DB121A"/>
    <w:rsid w:val="00DB5BA8"/>
    <w:rsid w:val="00DD3ECF"/>
    <w:rsid w:val="00DF738C"/>
    <w:rsid w:val="00E21C2B"/>
    <w:rsid w:val="00E22F7D"/>
    <w:rsid w:val="00E30E69"/>
    <w:rsid w:val="00E551D3"/>
    <w:rsid w:val="00E5577A"/>
    <w:rsid w:val="00E70F83"/>
    <w:rsid w:val="00E71AEA"/>
    <w:rsid w:val="00E94998"/>
    <w:rsid w:val="00E97139"/>
    <w:rsid w:val="00EC1596"/>
    <w:rsid w:val="00ED4E0B"/>
    <w:rsid w:val="00EE240D"/>
    <w:rsid w:val="00EF2763"/>
    <w:rsid w:val="00F07379"/>
    <w:rsid w:val="00F16010"/>
    <w:rsid w:val="00F267F7"/>
    <w:rsid w:val="00F36DE5"/>
    <w:rsid w:val="00F6141E"/>
    <w:rsid w:val="00F72F1C"/>
    <w:rsid w:val="00F913D1"/>
    <w:rsid w:val="00FA620A"/>
    <w:rsid w:val="00FB7651"/>
    <w:rsid w:val="00FB7750"/>
    <w:rsid w:val="00FC236A"/>
    <w:rsid w:val="00FC31F5"/>
    <w:rsid w:val="00FC4D3B"/>
    <w:rsid w:val="00FC5522"/>
    <w:rsid w:val="00FD691E"/>
    <w:rsid w:val="00FF2FAD"/>
    <w:rsid w:val="00FF4190"/>
    <w:rsid w:val="012C44BC"/>
    <w:rsid w:val="038325B8"/>
    <w:rsid w:val="03980302"/>
    <w:rsid w:val="03EB6A8E"/>
    <w:rsid w:val="04040C30"/>
    <w:rsid w:val="04E15466"/>
    <w:rsid w:val="052A12A2"/>
    <w:rsid w:val="06166845"/>
    <w:rsid w:val="06A45B6C"/>
    <w:rsid w:val="06C32414"/>
    <w:rsid w:val="08025D4C"/>
    <w:rsid w:val="088C365C"/>
    <w:rsid w:val="08930A81"/>
    <w:rsid w:val="0B9450BC"/>
    <w:rsid w:val="0E291A14"/>
    <w:rsid w:val="0EE51208"/>
    <w:rsid w:val="0FA768AF"/>
    <w:rsid w:val="13EA661A"/>
    <w:rsid w:val="14F2380D"/>
    <w:rsid w:val="15610373"/>
    <w:rsid w:val="15B61EE4"/>
    <w:rsid w:val="17EB78E7"/>
    <w:rsid w:val="18606016"/>
    <w:rsid w:val="19685567"/>
    <w:rsid w:val="198F6515"/>
    <w:rsid w:val="1C287859"/>
    <w:rsid w:val="1E620891"/>
    <w:rsid w:val="2041251D"/>
    <w:rsid w:val="21164770"/>
    <w:rsid w:val="21680D99"/>
    <w:rsid w:val="221B72BF"/>
    <w:rsid w:val="23720827"/>
    <w:rsid w:val="23B72E77"/>
    <w:rsid w:val="23D97744"/>
    <w:rsid w:val="249C525D"/>
    <w:rsid w:val="25734411"/>
    <w:rsid w:val="259E10E0"/>
    <w:rsid w:val="25C12C4D"/>
    <w:rsid w:val="26FA25C0"/>
    <w:rsid w:val="271E337F"/>
    <w:rsid w:val="276858B1"/>
    <w:rsid w:val="27F30C0E"/>
    <w:rsid w:val="280A223C"/>
    <w:rsid w:val="286E6334"/>
    <w:rsid w:val="29031280"/>
    <w:rsid w:val="29CA58AC"/>
    <w:rsid w:val="2A0378BF"/>
    <w:rsid w:val="2B07240F"/>
    <w:rsid w:val="2D9E3CAE"/>
    <w:rsid w:val="2EF6389D"/>
    <w:rsid w:val="3008490C"/>
    <w:rsid w:val="308309DE"/>
    <w:rsid w:val="32295F43"/>
    <w:rsid w:val="330D1FA4"/>
    <w:rsid w:val="34AC04AB"/>
    <w:rsid w:val="355B1AB2"/>
    <w:rsid w:val="35887BE6"/>
    <w:rsid w:val="36C556FB"/>
    <w:rsid w:val="37D85AFE"/>
    <w:rsid w:val="37DA0311"/>
    <w:rsid w:val="3813302D"/>
    <w:rsid w:val="394652E6"/>
    <w:rsid w:val="3A02465A"/>
    <w:rsid w:val="3AB41697"/>
    <w:rsid w:val="3AFC2958"/>
    <w:rsid w:val="3AFD1DC0"/>
    <w:rsid w:val="3B154DFF"/>
    <w:rsid w:val="3B757ACE"/>
    <w:rsid w:val="3C2C683F"/>
    <w:rsid w:val="3C7A5AD0"/>
    <w:rsid w:val="3E24351D"/>
    <w:rsid w:val="3E5F3780"/>
    <w:rsid w:val="3E776BAF"/>
    <w:rsid w:val="3E7E4E3B"/>
    <w:rsid w:val="404013B8"/>
    <w:rsid w:val="407C2966"/>
    <w:rsid w:val="40EC4147"/>
    <w:rsid w:val="42577C38"/>
    <w:rsid w:val="42B734CC"/>
    <w:rsid w:val="43266ABB"/>
    <w:rsid w:val="461151E5"/>
    <w:rsid w:val="46A32DED"/>
    <w:rsid w:val="47DF65BC"/>
    <w:rsid w:val="481C26BE"/>
    <w:rsid w:val="488B277B"/>
    <w:rsid w:val="493628B0"/>
    <w:rsid w:val="4B3E47B7"/>
    <w:rsid w:val="4B5107C0"/>
    <w:rsid w:val="4D433589"/>
    <w:rsid w:val="4D750E38"/>
    <w:rsid w:val="4E157A50"/>
    <w:rsid w:val="4FB07632"/>
    <w:rsid w:val="51705B74"/>
    <w:rsid w:val="51DF2B58"/>
    <w:rsid w:val="52DF6C39"/>
    <w:rsid w:val="53696887"/>
    <w:rsid w:val="536A7745"/>
    <w:rsid w:val="567547ED"/>
    <w:rsid w:val="587602DB"/>
    <w:rsid w:val="58883D65"/>
    <w:rsid w:val="58A90635"/>
    <w:rsid w:val="5A0E1CAC"/>
    <w:rsid w:val="5C126741"/>
    <w:rsid w:val="5C9D4A41"/>
    <w:rsid w:val="5CCF5E1E"/>
    <w:rsid w:val="5F036D92"/>
    <w:rsid w:val="5F775ED9"/>
    <w:rsid w:val="5F8265F8"/>
    <w:rsid w:val="5F944354"/>
    <w:rsid w:val="601E0862"/>
    <w:rsid w:val="65B21646"/>
    <w:rsid w:val="67FF6FA0"/>
    <w:rsid w:val="69336CB1"/>
    <w:rsid w:val="6E5963FF"/>
    <w:rsid w:val="6EE1753F"/>
    <w:rsid w:val="712B7D92"/>
    <w:rsid w:val="748A746C"/>
    <w:rsid w:val="757232D7"/>
    <w:rsid w:val="75BC33D7"/>
    <w:rsid w:val="767D5246"/>
    <w:rsid w:val="76A020FF"/>
    <w:rsid w:val="7720433D"/>
    <w:rsid w:val="77A353A2"/>
    <w:rsid w:val="79650F3F"/>
    <w:rsid w:val="7ABD02FE"/>
    <w:rsid w:val="7AF16689"/>
    <w:rsid w:val="7C150F11"/>
    <w:rsid w:val="7D767F6D"/>
    <w:rsid w:val="7E2B2A04"/>
    <w:rsid w:val="7EA91885"/>
    <w:rsid w:val="7EF21F53"/>
    <w:rsid w:val="7EFD0F0B"/>
    <w:rsid w:val="7F4E3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color w:val="000000"/>
      <w:sz w:val="24"/>
      <w:szCs w:val="24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color w:val="00000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9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font4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46"/>
    <customShpInfo spid="_x0000_s1041"/>
    <customShpInfo spid="_x0000_s1044"/>
    <customShpInfo spid="_x0000_s1042"/>
    <customShpInfo spid="_x0000_s1043"/>
    <customShpInfo spid="_x0000_s1049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7656C-9C08-4370-8F53-79E14E05E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798</Words>
  <Characters>4550</Characters>
  <Lines>37</Lines>
  <Paragraphs>10</Paragraphs>
  <ScaleCrop>false</ScaleCrop>
  <LinksUpToDate>false</LinksUpToDate>
  <CharactersWithSpaces>5338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2017-08-03T07:28:00Z</dcterms:created>
  <dc:creator>AutoBVT</dc:creator>
  <cp:lastModifiedBy>Administrator</cp:lastModifiedBy>
  <dcterms:modified xsi:type="dcterms:W3CDTF">2017-10-20T03:12:54Z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