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D766DC" w:rsidRDefault="00A20C84">
      <w:r>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690DD2" w:rsidRDefault="00690DD2">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话：86-18513790712</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编辑邮箱：3798755@qq.com</w:t>
                  </w:r>
                </w:p>
                <w:p w:rsidR="00690DD2" w:rsidRDefault="00690DD2">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北京市朝阳区高碑店盛世龙源12号楼（邮编：100022）</w:t>
                  </w:r>
                </w:p>
                <w:p w:rsidR="00690DD2" w:rsidRDefault="00690DD2">
                  <w:pPr>
                    <w:jc w:val="left"/>
                  </w:pPr>
                </w:p>
              </w:txbxContent>
            </v:textbox>
          </v:shape>
        </w:pict>
      </w:r>
      <w:r>
        <w:pict>
          <v:shape id="文本框 3" o:spid="_x0000_s1027" type="#_x0000_t202" style="position:absolute;left:0;text-align:left;margin-left:175.45pt;margin-top:490.7pt;width:126.6pt;height:54.1pt;z-index:251658240" filled="f" stroked="f">
            <v:textbox>
              <w:txbxContent>
                <w:p w:rsidR="00690DD2" w:rsidRDefault="00690DD2" w:rsidP="00844D40">
                  <w:pPr>
                    <w:pStyle w:val="1"/>
                    <w:jc w:val="center"/>
                    <w:rPr>
                      <w:kern w:val="2"/>
                    </w:rPr>
                  </w:pPr>
                  <w:bookmarkStart w:id="0" w:name="_Toc485828984"/>
                  <w:r>
                    <w:rPr>
                      <w:rFonts w:hint="eastAsia"/>
                      <w:kern w:val="2"/>
                    </w:rPr>
                    <w:t>2017.</w:t>
                  </w:r>
                  <w:r w:rsidR="00832565">
                    <w:rPr>
                      <w:rFonts w:hint="eastAsia"/>
                      <w:kern w:val="2"/>
                    </w:rPr>
                    <w:t>10</w:t>
                  </w:r>
                  <w:r>
                    <w:rPr>
                      <w:rFonts w:hint="eastAsia"/>
                      <w:kern w:val="2"/>
                    </w:rPr>
                    <w:t>.</w:t>
                  </w:r>
                  <w:bookmarkEnd w:id="0"/>
                  <w:r w:rsidR="00832565">
                    <w:rPr>
                      <w:rFonts w:hint="eastAsia"/>
                      <w:kern w:val="2"/>
                    </w:rPr>
                    <w:t>13</w:t>
                  </w:r>
                </w:p>
                <w:p w:rsidR="00690DD2" w:rsidRDefault="00690DD2"/>
              </w:txbxContent>
            </v:textbox>
          </v:shape>
        </w:pict>
      </w:r>
      <w:r w:rsidR="00D766DC">
        <w:br w:type="page"/>
      </w:r>
    </w:p>
    <w:p w:rsidR="00D766DC" w:rsidRDefault="00A20C84">
      <w:pPr>
        <w:pStyle w:val="1"/>
        <w:tabs>
          <w:tab w:val="left" w:pos="2100"/>
        </w:tabs>
        <w:spacing w:before="120" w:after="0" w:line="240" w:lineRule="auto"/>
        <w:rPr>
          <w:rFonts w:ascii="黑体" w:hAnsi="宋体"/>
          <w:b w:val="0"/>
          <w:sz w:val="28"/>
          <w:szCs w:val="28"/>
        </w:rPr>
      </w:pPr>
      <w:bookmarkStart w:id="1" w:name="_Toc485828985"/>
      <w:r w:rsidRPr="00A20C84">
        <w:lastRenderedPageBreak/>
        <w:pict>
          <v:shape id="文本框 4" o:spid="_x0000_s1028" type="#_x0000_t202" style="position:absolute;left:0;text-align:left;margin-left:-.9pt;margin-top:34.7pt;width:489.15pt;height:578pt;z-index:251659264" filled="f" stroked="f">
            <v:fill o:detectmouseclick="t"/>
            <v:textbox>
              <w:txbxContent>
                <w:p w:rsidR="00690DD2" w:rsidRDefault="00690DD2">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690DD2" w:rsidRDefault="00690DD2">
                  <w:pPr>
                    <w:pStyle w:val="10"/>
                    <w:rPr>
                      <w:rFonts w:ascii="Times New Roman" w:hAnsi="Times New Roman"/>
                      <w:bCs w:val="0"/>
                      <w:caps w:val="0"/>
                      <w:color w:val="auto"/>
                      <w:sz w:val="21"/>
                    </w:rPr>
                  </w:pPr>
                  <w:r w:rsidRPr="00A20C84">
                    <w:rPr>
                      <w:sz w:val="20"/>
                    </w:rPr>
                    <w:fldChar w:fldCharType="begin"/>
                  </w:r>
                  <w:r>
                    <w:rPr>
                      <w:sz w:val="20"/>
                    </w:rPr>
                    <w:instrText xml:space="preserve"> TOC \o "1-3" \h \z \u </w:instrText>
                  </w:r>
                  <w:r w:rsidRPr="00A20C84">
                    <w:rPr>
                      <w:sz w:val="20"/>
                    </w:rPr>
                    <w:fldChar w:fldCharType="separate"/>
                  </w:r>
                  <w:hyperlink w:anchor="_Toc460250399" w:history="1">
                    <w:r w:rsidRPr="004C2578">
                      <w:rPr>
                        <w:rStyle w:val="a5"/>
                        <w:rFonts w:hint="eastAsia"/>
                        <w:color w:val="auto"/>
                      </w:rPr>
                      <w:t>一、国际原油</w:t>
                    </w:r>
                    <w:r>
                      <w:tab/>
                    </w:r>
                    <w:r>
                      <w:fldChar w:fldCharType="begin"/>
                    </w:r>
                    <w:r>
                      <w:instrText xml:space="preserve"> PAGEREF _Toc460250399 \h </w:instrText>
                    </w:r>
                    <w:r>
                      <w:fldChar w:fldCharType="separate"/>
                    </w:r>
                    <w:r>
                      <w:t>3</w:t>
                    </w:r>
                    <w:r>
                      <w:fldChar w:fldCharType="end"/>
                    </w:r>
                  </w:hyperlink>
                </w:p>
                <w:p w:rsidR="00690DD2" w:rsidRDefault="00690DD2">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690DD2" w:rsidRDefault="00690DD2">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690DD2" w:rsidRDefault="00690DD2">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7</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690DD2" w:rsidRDefault="00690DD2">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sidR="00832565">
                    <w:rPr>
                      <w:rFonts w:hint="eastAsia"/>
                    </w:rPr>
                    <w:t>3</w:t>
                  </w:r>
                </w:p>
                <w:p w:rsidR="00690DD2" w:rsidRDefault="00690DD2">
                  <w:pPr>
                    <w:pStyle w:val="21"/>
                    <w:rPr>
                      <w:rFonts w:ascii="Times New Roman" w:hAnsi="Times New Roman"/>
                      <w:b w:val="0"/>
                      <w:smallCaps w:val="0"/>
                      <w:color w:val="auto"/>
                      <w:sz w:val="21"/>
                    </w:rPr>
                  </w:pPr>
                  <w:hyperlink w:anchor="_Toc481755380" w:history="1">
                    <w:r>
                      <w:rPr>
                        <w:rStyle w:val="a5"/>
                      </w:rPr>
                      <w:t>1</w:t>
                    </w:r>
                    <w:r>
                      <w:rPr>
                        <w:rStyle w:val="a5"/>
                        <w:rFonts w:hint="eastAsia"/>
                      </w:rPr>
                      <w:t>、</w:t>
                    </w:r>
                    <w:r>
                      <w:rPr>
                        <w:rFonts w:hint="eastAsia"/>
                        <w:szCs w:val="21"/>
                      </w:rPr>
                      <w:t>美国原油库存情况</w:t>
                    </w:r>
                    <w:r>
                      <w:tab/>
                    </w:r>
                  </w:hyperlink>
                  <w:r>
                    <w:rPr>
                      <w:rFonts w:hint="eastAsia"/>
                    </w:rPr>
                    <w:t>4</w:t>
                  </w:r>
                </w:p>
                <w:p w:rsidR="00690DD2" w:rsidRDefault="00690DD2">
                  <w:pPr>
                    <w:pStyle w:val="21"/>
                    <w:rPr>
                      <w:rFonts w:ascii="Times New Roman" w:hAnsi="Times New Roman"/>
                      <w:b w:val="0"/>
                      <w:smallCaps w:val="0"/>
                      <w:color w:val="auto"/>
                      <w:sz w:val="21"/>
                    </w:rPr>
                  </w:pPr>
                  <w:hyperlink w:anchor="_Toc481755381" w:history="1">
                    <w:r>
                      <w:rPr>
                        <w:rStyle w:val="a5"/>
                      </w:rPr>
                      <w:t>2</w:t>
                    </w:r>
                    <w:r>
                      <w:rPr>
                        <w:rStyle w:val="a5"/>
                        <w:rFonts w:hint="eastAsia"/>
                      </w:rPr>
                      <w:t>、</w:t>
                    </w:r>
                    <w:r>
                      <w:rPr>
                        <w:rFonts w:hint="eastAsia"/>
                        <w:szCs w:val="21"/>
                      </w:rPr>
                      <w:t>美国经济形势</w:t>
                    </w:r>
                    <w:r>
                      <w:tab/>
                    </w:r>
                  </w:hyperlink>
                  <w:r>
                    <w:rPr>
                      <w:rFonts w:hint="eastAsia"/>
                    </w:rPr>
                    <w:t>4</w:t>
                  </w:r>
                </w:p>
                <w:p w:rsidR="00690DD2" w:rsidRDefault="00690DD2">
                  <w:pPr>
                    <w:pStyle w:val="21"/>
                  </w:pPr>
                  <w:r>
                    <w:rPr>
                      <w:rFonts w:hint="eastAsia"/>
                    </w:rPr>
                    <w:t>3、</w:t>
                  </w:r>
                  <w:hyperlink w:anchor="_Toc481755382" w:history="1">
                    <w:r>
                      <w:rPr>
                        <w:rFonts w:hint="eastAsia"/>
                      </w:rPr>
                      <w:t>世界经济形势</w:t>
                    </w:r>
                    <w:r>
                      <w:tab/>
                    </w:r>
                  </w:hyperlink>
                  <w:r w:rsidR="00832565">
                    <w:rPr>
                      <w:rFonts w:hint="eastAsia"/>
                    </w:rPr>
                    <w:t>8</w:t>
                  </w:r>
                </w:p>
                <w:p w:rsidR="00690DD2" w:rsidRDefault="00690DD2">
                  <w:pPr>
                    <w:pStyle w:val="10"/>
                  </w:pPr>
                  <w:r>
                    <w:rPr>
                      <w:rFonts w:hint="eastAsia"/>
                    </w:rPr>
                    <w:t>（</w:t>
                  </w:r>
                  <w:hyperlink w:anchor="_Toc481755384" w:history="1">
                    <w:r>
                      <w:rPr>
                        <w:rStyle w:val="a5"/>
                        <w:rFonts w:hint="eastAsia"/>
                      </w:rPr>
                      <w:t>三）、</w:t>
                    </w:r>
                    <w:r>
                      <w:rPr>
                        <w:rFonts w:cs="Arial" w:hint="eastAsia"/>
                        <w:bCs w:val="0"/>
                        <w:kern w:val="0"/>
                        <w:szCs w:val="21"/>
                      </w:rPr>
                      <w:t>2017年8月份全国原油进出口统计数据</w:t>
                    </w:r>
                    <w:r>
                      <w:tab/>
                    </w:r>
                  </w:hyperlink>
                  <w:r w:rsidR="00832565">
                    <w:rPr>
                      <w:rFonts w:hint="eastAsia"/>
                    </w:rPr>
                    <w:t>10</w:t>
                  </w:r>
                </w:p>
                <w:p w:rsidR="00690DD2" w:rsidRDefault="00690DD2">
                  <w:pPr>
                    <w:pStyle w:val="10"/>
                  </w:pPr>
                  <w:r>
                    <w:rPr>
                      <w:rFonts w:hint="eastAsia"/>
                    </w:rPr>
                    <w:t>（</w:t>
                  </w:r>
                  <w:hyperlink w:anchor="_Toc481755384" w:history="1">
                    <w:r>
                      <w:rPr>
                        <w:rFonts w:hint="eastAsia"/>
                      </w:rPr>
                      <w:t>四）、后市预测</w:t>
                    </w:r>
                    <w:r>
                      <w:tab/>
                    </w:r>
                  </w:hyperlink>
                  <w:r>
                    <w:rPr>
                      <w:rFonts w:hint="eastAsia"/>
                    </w:rPr>
                    <w:t>1</w:t>
                  </w:r>
                  <w:r w:rsidR="00832565">
                    <w:rPr>
                      <w:rFonts w:hint="eastAsia"/>
                    </w:rPr>
                    <w:t>1</w:t>
                  </w:r>
                </w:p>
                <w:p w:rsidR="00690DD2" w:rsidRDefault="00690DD2">
                  <w:pPr>
                    <w:pStyle w:val="10"/>
                    <w:rPr>
                      <w:rFonts w:ascii="Times New Roman" w:hAnsi="Times New Roman"/>
                      <w:bCs w:val="0"/>
                      <w:caps w:val="0"/>
                      <w:color w:val="auto"/>
                      <w:sz w:val="21"/>
                    </w:rPr>
                  </w:pPr>
                  <w:hyperlink w:anchor="_Toc460250403" w:history="1">
                    <w:r w:rsidRPr="004C2578">
                      <w:rPr>
                        <w:rStyle w:val="a5"/>
                        <w:rFonts w:hint="eastAsia"/>
                        <w:color w:val="auto"/>
                      </w:rPr>
                      <w:t>二</w:t>
                    </w:r>
                    <w:r w:rsidRPr="004C2578">
                      <w:rPr>
                        <w:rStyle w:val="a5"/>
                        <w:color w:val="auto"/>
                      </w:rPr>
                      <w:t xml:space="preserve"> </w:t>
                    </w:r>
                    <w:r w:rsidRPr="004C2578">
                      <w:rPr>
                        <w:rStyle w:val="a5"/>
                        <w:rFonts w:hint="eastAsia"/>
                        <w:color w:val="auto"/>
                      </w:rPr>
                      <w:t>石脑油</w:t>
                    </w:r>
                    <w:r>
                      <w:rPr>
                        <w:color w:val="auto"/>
                      </w:rPr>
                      <w:tab/>
                    </w:r>
                    <w:r>
                      <w:rPr>
                        <w:rFonts w:hint="eastAsia"/>
                        <w:color w:val="auto"/>
                      </w:rPr>
                      <w:t>11</w:t>
                    </w:r>
                  </w:hyperlink>
                </w:p>
                <w:p w:rsidR="00690DD2" w:rsidRDefault="00690DD2">
                  <w:pPr>
                    <w:pStyle w:val="21"/>
                    <w:rPr>
                      <w:smallCaps w:val="0"/>
                      <w:color w:val="auto"/>
                      <w:sz w:val="21"/>
                    </w:rPr>
                  </w:pPr>
                  <w:hyperlink w:anchor="_Toc460250404" w:history="1">
                    <w:r>
                      <w:rPr>
                        <w:rStyle w:val="a5"/>
                        <w:color w:val="auto"/>
                      </w:rPr>
                      <w:t>2. 1</w:t>
                    </w:r>
                    <w:r>
                      <w:rPr>
                        <w:rStyle w:val="a5"/>
                        <w:rFonts w:hint="eastAsia"/>
                        <w:color w:val="auto"/>
                      </w:rPr>
                      <w:t>国际石脑油市场价格</w:t>
                    </w:r>
                    <w:r>
                      <w:rPr>
                        <w:color w:val="auto"/>
                      </w:rPr>
                      <w:tab/>
                    </w:r>
                    <w:r>
                      <w:rPr>
                        <w:rFonts w:hint="eastAsia"/>
                        <w:color w:val="auto"/>
                      </w:rPr>
                      <w:t>1</w:t>
                    </w:r>
                    <w:r w:rsidR="00832565">
                      <w:rPr>
                        <w:rFonts w:hint="eastAsia"/>
                        <w:color w:val="auto"/>
                      </w:rPr>
                      <w:t>2</w:t>
                    </w:r>
                  </w:hyperlink>
                </w:p>
                <w:p w:rsidR="00690DD2" w:rsidRDefault="00690DD2">
                  <w:pPr>
                    <w:pStyle w:val="21"/>
                    <w:rPr>
                      <w:smallCaps w:val="0"/>
                      <w:color w:val="auto"/>
                      <w:sz w:val="21"/>
                    </w:rPr>
                  </w:pPr>
                  <w:hyperlink w:anchor="_Toc460250405" w:history="1">
                    <w:r>
                      <w:rPr>
                        <w:rStyle w:val="a5"/>
                        <w:color w:val="auto"/>
                      </w:rPr>
                      <w:t>2. 2</w:t>
                    </w:r>
                    <w:r>
                      <w:rPr>
                        <w:rStyle w:val="a5"/>
                        <w:rFonts w:hint="eastAsia"/>
                        <w:color w:val="auto"/>
                      </w:rPr>
                      <w:t>地炼石脑油市场</w:t>
                    </w:r>
                    <w:r>
                      <w:rPr>
                        <w:color w:val="auto"/>
                      </w:rPr>
                      <w:tab/>
                    </w:r>
                    <w:r>
                      <w:rPr>
                        <w:rFonts w:hint="eastAsia"/>
                        <w:color w:val="auto"/>
                      </w:rPr>
                      <w:t>1</w:t>
                    </w:r>
                    <w:r w:rsidR="00832565">
                      <w:rPr>
                        <w:rFonts w:hint="eastAsia"/>
                        <w:color w:val="auto"/>
                      </w:rPr>
                      <w:t>2</w:t>
                    </w:r>
                  </w:hyperlink>
                </w:p>
                <w:p w:rsidR="00690DD2" w:rsidRDefault="00690DD2">
                  <w:pPr>
                    <w:pStyle w:val="21"/>
                    <w:rPr>
                      <w:smallCaps w:val="0"/>
                      <w:color w:val="auto"/>
                      <w:sz w:val="21"/>
                    </w:rPr>
                  </w:pPr>
                  <w:hyperlink w:anchor="_Toc460250406" w:history="1">
                    <w:r>
                      <w:rPr>
                        <w:rStyle w:val="a5"/>
                        <w:color w:val="auto"/>
                        <w:kern w:val="0"/>
                      </w:rPr>
                      <w:t>2.</w:t>
                    </w:r>
                    <w:r>
                      <w:rPr>
                        <w:rStyle w:val="a5"/>
                        <w:rFonts w:hint="eastAsia"/>
                        <w:color w:val="auto"/>
                        <w:kern w:val="0"/>
                      </w:rPr>
                      <w:t xml:space="preserve"> </w:t>
                    </w:r>
                    <w:r>
                      <w:rPr>
                        <w:rStyle w:val="a5"/>
                        <w:color w:val="auto"/>
                        <w:kern w:val="0"/>
                      </w:rPr>
                      <w:t>3</w:t>
                    </w:r>
                    <w:r>
                      <w:rPr>
                        <w:rStyle w:val="a5"/>
                        <w:rFonts w:hint="eastAsia"/>
                        <w:color w:val="auto"/>
                        <w:kern w:val="0"/>
                      </w:rPr>
                      <w:t>本周国内石脑油价格汇总</w:t>
                    </w:r>
                    <w:r>
                      <w:rPr>
                        <w:color w:val="auto"/>
                      </w:rPr>
                      <w:tab/>
                    </w:r>
                    <w:r>
                      <w:rPr>
                        <w:rFonts w:hint="eastAsia"/>
                        <w:color w:val="auto"/>
                      </w:rPr>
                      <w:t>1</w:t>
                    </w:r>
                    <w:r w:rsidR="00832565">
                      <w:rPr>
                        <w:rFonts w:hint="eastAsia"/>
                        <w:color w:val="auto"/>
                      </w:rPr>
                      <w:t>2</w:t>
                    </w:r>
                  </w:hyperlink>
                </w:p>
                <w:p w:rsidR="00690DD2" w:rsidRDefault="00690DD2">
                  <w:pPr>
                    <w:pStyle w:val="21"/>
                    <w:rPr>
                      <w:smallCaps w:val="0"/>
                      <w:color w:val="auto"/>
                      <w:sz w:val="21"/>
                    </w:rPr>
                  </w:pPr>
                  <w:hyperlink w:anchor="_Toc460250407" w:history="1">
                    <w:r>
                      <w:rPr>
                        <w:rStyle w:val="a5"/>
                        <w:color w:val="auto"/>
                      </w:rPr>
                      <w:t>2. 4</w:t>
                    </w:r>
                    <w:r>
                      <w:rPr>
                        <w:rStyle w:val="a5"/>
                        <w:rFonts w:hint="eastAsia"/>
                        <w:color w:val="auto"/>
                      </w:rPr>
                      <w:t>山东地炼石脑油价格走势图</w:t>
                    </w:r>
                    <w:r>
                      <w:rPr>
                        <w:color w:val="auto"/>
                      </w:rPr>
                      <w:tab/>
                    </w:r>
                    <w:r>
                      <w:rPr>
                        <w:rFonts w:hint="eastAsia"/>
                        <w:color w:val="auto"/>
                      </w:rPr>
                      <w:t>13</w:t>
                    </w:r>
                  </w:hyperlink>
                </w:p>
                <w:p w:rsidR="00690DD2" w:rsidRDefault="00690DD2">
                  <w:pPr>
                    <w:pStyle w:val="10"/>
                    <w:rPr>
                      <w:rFonts w:ascii="Times New Roman" w:hAnsi="Times New Roman"/>
                      <w:bCs w:val="0"/>
                      <w:caps w:val="0"/>
                      <w:color w:val="auto"/>
                      <w:sz w:val="21"/>
                    </w:rPr>
                  </w:pPr>
                  <w:hyperlink w:anchor="_Toc460250408" w:history="1">
                    <w:r w:rsidRPr="004C2578">
                      <w:rPr>
                        <w:rStyle w:val="a5"/>
                        <w:rFonts w:hint="eastAsia"/>
                        <w:color w:val="auto"/>
                      </w:rPr>
                      <w:t>三、本周国内油品市场分析及预测</w:t>
                    </w:r>
                    <w:r>
                      <w:rPr>
                        <w:color w:val="auto"/>
                      </w:rPr>
                      <w:tab/>
                    </w:r>
                    <w:r>
                      <w:rPr>
                        <w:rFonts w:hint="eastAsia"/>
                        <w:color w:val="auto"/>
                      </w:rPr>
                      <w:t>1</w:t>
                    </w:r>
                    <w:r w:rsidR="00832565">
                      <w:rPr>
                        <w:rFonts w:hint="eastAsia"/>
                        <w:color w:val="auto"/>
                      </w:rPr>
                      <w:t>4</w:t>
                    </w:r>
                  </w:hyperlink>
                </w:p>
                <w:p w:rsidR="00690DD2" w:rsidRDefault="00690DD2">
                  <w:pPr>
                    <w:pStyle w:val="21"/>
                    <w:rPr>
                      <w:smallCaps w:val="0"/>
                      <w:color w:val="auto"/>
                      <w:sz w:val="21"/>
                    </w:rPr>
                  </w:pPr>
                  <w:hyperlink w:anchor="_Toc460250409" w:history="1">
                    <w:r>
                      <w:rPr>
                        <w:rStyle w:val="a5"/>
                        <w:color w:val="auto"/>
                        <w:kern w:val="0"/>
                      </w:rPr>
                      <w:t>3</w:t>
                    </w:r>
                    <w:r>
                      <w:rPr>
                        <w:rStyle w:val="a5"/>
                        <w:rFonts w:hint="eastAsia"/>
                        <w:color w:val="auto"/>
                        <w:kern w:val="0"/>
                      </w:rPr>
                      <w:t>．</w:t>
                    </w:r>
                    <w:r>
                      <w:rPr>
                        <w:rStyle w:val="a5"/>
                        <w:color w:val="auto"/>
                        <w:kern w:val="0"/>
                      </w:rPr>
                      <w:t xml:space="preserve">1  </w:t>
                    </w:r>
                    <w:r>
                      <w:rPr>
                        <w:rStyle w:val="a5"/>
                        <w:rFonts w:hint="eastAsia"/>
                        <w:color w:val="auto"/>
                        <w:kern w:val="0"/>
                      </w:rPr>
                      <w:t>成品油市场动态</w:t>
                    </w:r>
                    <w:r>
                      <w:rPr>
                        <w:color w:val="auto"/>
                      </w:rPr>
                      <w:tab/>
                    </w:r>
                    <w:r>
                      <w:rPr>
                        <w:rFonts w:hint="eastAsia"/>
                        <w:color w:val="auto"/>
                      </w:rPr>
                      <w:t>1</w:t>
                    </w:r>
                    <w:r w:rsidR="00832565">
                      <w:rPr>
                        <w:rFonts w:hint="eastAsia"/>
                        <w:color w:val="auto"/>
                      </w:rPr>
                      <w:t>6</w:t>
                    </w:r>
                  </w:hyperlink>
                </w:p>
                <w:p w:rsidR="00690DD2" w:rsidRDefault="00690DD2">
                  <w:pPr>
                    <w:pStyle w:val="10"/>
                    <w:rPr>
                      <w:rFonts w:ascii="Times New Roman" w:hAnsi="Times New Roman"/>
                      <w:bCs w:val="0"/>
                      <w:caps w:val="0"/>
                      <w:color w:val="auto"/>
                      <w:sz w:val="21"/>
                    </w:rPr>
                  </w:pPr>
                  <w:hyperlink w:anchor="_Toc460250410" w:history="1">
                    <w:r w:rsidRPr="004C2578">
                      <w:rPr>
                        <w:rStyle w:val="a5"/>
                        <w:rFonts w:hint="eastAsia"/>
                        <w:color w:val="auto"/>
                      </w:rPr>
                      <w:t>四、国内溶剂油市场综述</w:t>
                    </w:r>
                    <w:r>
                      <w:rPr>
                        <w:color w:val="auto"/>
                      </w:rPr>
                      <w:tab/>
                    </w:r>
                    <w:r>
                      <w:rPr>
                        <w:color w:val="auto"/>
                      </w:rPr>
                      <w:fldChar w:fldCharType="begin"/>
                    </w:r>
                    <w:r>
                      <w:rPr>
                        <w:color w:val="auto"/>
                      </w:rPr>
                      <w:instrText xml:space="preserve"> PAGEREF _Toc460250410 \h </w:instrText>
                    </w:r>
                    <w:r>
                      <w:rPr>
                        <w:color w:val="auto"/>
                      </w:rPr>
                    </w:r>
                    <w:r>
                      <w:rPr>
                        <w:color w:val="auto"/>
                      </w:rPr>
                      <w:fldChar w:fldCharType="separate"/>
                    </w:r>
                    <w:r>
                      <w:rPr>
                        <w:color w:val="auto"/>
                      </w:rPr>
                      <w:t>1</w:t>
                    </w:r>
                    <w:r w:rsidR="00832565">
                      <w:rPr>
                        <w:rFonts w:hint="eastAsia"/>
                        <w:color w:val="auto"/>
                      </w:rPr>
                      <w:t>6</w:t>
                    </w:r>
                    <w:r>
                      <w:rPr>
                        <w:color w:val="auto"/>
                      </w:rPr>
                      <w:fldChar w:fldCharType="end"/>
                    </w:r>
                  </w:hyperlink>
                </w:p>
                <w:p w:rsidR="00690DD2" w:rsidRDefault="00690DD2">
                  <w:pPr>
                    <w:pStyle w:val="10"/>
                    <w:rPr>
                      <w:rFonts w:ascii="Times New Roman" w:hAnsi="Times New Roman"/>
                      <w:bCs w:val="0"/>
                      <w:caps w:val="0"/>
                      <w:color w:val="auto"/>
                      <w:sz w:val="21"/>
                    </w:rPr>
                  </w:pPr>
                  <w:hyperlink w:anchor="_Toc460250411" w:history="1">
                    <w:r w:rsidRPr="004C2578">
                      <w:rPr>
                        <w:rStyle w:val="a5"/>
                        <w:rFonts w:hint="eastAsia"/>
                        <w:color w:val="auto"/>
                      </w:rPr>
                      <w:t>五、本周国内炼厂溶剂油产品价格对比</w:t>
                    </w:r>
                    <w:r>
                      <w:rPr>
                        <w:color w:val="auto"/>
                      </w:rPr>
                      <w:tab/>
                    </w:r>
                    <w:r>
                      <w:rPr>
                        <w:color w:val="auto"/>
                      </w:rPr>
                      <w:fldChar w:fldCharType="begin"/>
                    </w:r>
                    <w:r>
                      <w:rPr>
                        <w:color w:val="auto"/>
                      </w:rPr>
                      <w:instrText xml:space="preserve"> PAGEREF _Toc460250411 \h </w:instrText>
                    </w:r>
                    <w:r>
                      <w:rPr>
                        <w:color w:val="auto"/>
                      </w:rPr>
                    </w:r>
                    <w:r>
                      <w:rPr>
                        <w:color w:val="auto"/>
                      </w:rPr>
                      <w:fldChar w:fldCharType="separate"/>
                    </w:r>
                    <w:r>
                      <w:rPr>
                        <w:color w:val="auto"/>
                      </w:rPr>
                      <w:t>1</w:t>
                    </w:r>
                    <w:r>
                      <w:rPr>
                        <w:rFonts w:hint="eastAsia"/>
                        <w:color w:val="auto"/>
                      </w:rPr>
                      <w:t>6</w:t>
                    </w:r>
                    <w:r>
                      <w:rPr>
                        <w:color w:val="auto"/>
                      </w:rPr>
                      <w:fldChar w:fldCharType="end"/>
                    </w:r>
                  </w:hyperlink>
                </w:p>
                <w:p w:rsidR="00690DD2" w:rsidRDefault="00690DD2">
                  <w:pPr>
                    <w:pStyle w:val="10"/>
                    <w:rPr>
                      <w:rFonts w:ascii="Times New Roman" w:hAnsi="Times New Roman"/>
                      <w:bCs w:val="0"/>
                      <w:caps w:val="0"/>
                      <w:color w:val="auto"/>
                      <w:sz w:val="21"/>
                    </w:rPr>
                  </w:pPr>
                  <w:hyperlink w:anchor="_Toc460250412" w:history="1">
                    <w:r>
                      <w:rPr>
                        <w:rStyle w:val="a5"/>
                        <w:rFonts w:ascii="黑体" w:eastAsia="黑体" w:hint="eastAsia"/>
                        <w:b w:val="0"/>
                        <w:color w:val="auto"/>
                      </w:rPr>
                      <w:t>六、</w:t>
                    </w:r>
                    <w:r w:rsidRPr="004C2578">
                      <w:rPr>
                        <w:rStyle w:val="a5"/>
                        <w:color w:val="auto"/>
                      </w:rPr>
                      <w:t>D</w:t>
                    </w:r>
                    <w:r w:rsidRPr="004C2578">
                      <w:rPr>
                        <w:rStyle w:val="a5"/>
                        <w:rFonts w:hint="eastAsia"/>
                        <w:color w:val="auto"/>
                      </w:rPr>
                      <w:t>系列特种溶剂油</w:t>
                    </w:r>
                    <w:r>
                      <w:rPr>
                        <w:color w:val="auto"/>
                      </w:rPr>
                      <w:tab/>
                    </w:r>
                    <w:r>
                      <w:rPr>
                        <w:rFonts w:hint="eastAsia"/>
                        <w:color w:val="auto"/>
                      </w:rPr>
                      <w:t>19</w:t>
                    </w:r>
                  </w:hyperlink>
                </w:p>
                <w:p w:rsidR="00690DD2" w:rsidRDefault="00690DD2">
                  <w:pPr>
                    <w:pStyle w:val="10"/>
                    <w:rPr>
                      <w:rFonts w:ascii="Times New Roman" w:hAnsi="Times New Roman"/>
                      <w:bCs w:val="0"/>
                      <w:caps w:val="0"/>
                      <w:color w:val="auto"/>
                      <w:sz w:val="21"/>
                    </w:rPr>
                  </w:pPr>
                  <w:hyperlink w:anchor="_Toc460250413" w:history="1">
                    <w:r>
                      <w:rPr>
                        <w:rStyle w:val="a5"/>
                        <w:rFonts w:ascii="黑体" w:eastAsia="黑体" w:hint="eastAsia"/>
                        <w:color w:val="auto"/>
                      </w:rPr>
                      <w:t>七、重芳烃溶剂油</w:t>
                    </w:r>
                    <w:r>
                      <w:rPr>
                        <w:color w:val="auto"/>
                      </w:rPr>
                      <w:tab/>
                    </w:r>
                    <w:r>
                      <w:rPr>
                        <w:rFonts w:hint="eastAsia"/>
                        <w:color w:val="auto"/>
                      </w:rPr>
                      <w:t>2</w:t>
                    </w:r>
                    <w:r w:rsidR="00832565">
                      <w:rPr>
                        <w:rFonts w:hint="eastAsia"/>
                        <w:color w:val="auto"/>
                      </w:rPr>
                      <w:t>1</w:t>
                    </w:r>
                  </w:hyperlink>
                </w:p>
                <w:p w:rsidR="00690DD2" w:rsidRDefault="00690DD2">
                  <w:pPr>
                    <w:pStyle w:val="10"/>
                    <w:rPr>
                      <w:rFonts w:ascii="Times New Roman" w:hAnsi="Times New Roman"/>
                      <w:bCs w:val="0"/>
                      <w:caps w:val="0"/>
                      <w:color w:val="auto"/>
                      <w:sz w:val="21"/>
                    </w:rPr>
                  </w:pPr>
                  <w:hyperlink w:anchor="_Toc460250414" w:history="1">
                    <w:r>
                      <w:rPr>
                        <w:rStyle w:val="a5"/>
                        <w:rFonts w:ascii="黑体" w:eastAsia="黑体" w:hint="eastAsia"/>
                        <w:color w:val="auto"/>
                      </w:rPr>
                      <w:t>八、正己烷</w:t>
                    </w:r>
                    <w:r>
                      <w:rPr>
                        <w:color w:val="auto"/>
                      </w:rPr>
                      <w:tab/>
                    </w:r>
                    <w:r>
                      <w:rPr>
                        <w:rFonts w:hint="eastAsia"/>
                        <w:color w:val="auto"/>
                      </w:rPr>
                      <w:t>2</w:t>
                    </w:r>
                    <w:r w:rsidR="00832565">
                      <w:rPr>
                        <w:rFonts w:hint="eastAsia"/>
                        <w:color w:val="auto"/>
                      </w:rPr>
                      <w:t>2</w:t>
                    </w:r>
                  </w:hyperlink>
                </w:p>
                <w:p w:rsidR="00690DD2" w:rsidRDefault="00690DD2">
                  <w:pPr>
                    <w:pStyle w:val="10"/>
                    <w:rPr>
                      <w:rFonts w:ascii="Times New Roman" w:hAnsi="Times New Roman"/>
                      <w:bCs w:val="0"/>
                      <w:caps w:val="0"/>
                      <w:color w:val="3366FF"/>
                      <w:sz w:val="21"/>
                    </w:rPr>
                  </w:pPr>
                  <w:hyperlink w:anchor="_Toc460250415" w:history="1">
                    <w:r w:rsidRPr="004C2578">
                      <w:rPr>
                        <w:rStyle w:val="a5"/>
                        <w:rFonts w:hint="eastAsia"/>
                        <w:color w:val="auto"/>
                      </w:rPr>
                      <w:t>九、</w:t>
                    </w:r>
                    <w:r w:rsidRPr="004C2578">
                      <w:rPr>
                        <w:rStyle w:val="a5"/>
                        <w:color w:val="auto"/>
                      </w:rPr>
                      <w:t>201</w:t>
                    </w:r>
                    <w:r w:rsidRPr="004C2578">
                      <w:rPr>
                        <w:rStyle w:val="a5"/>
                        <w:rFonts w:hint="eastAsia"/>
                        <w:color w:val="auto"/>
                      </w:rPr>
                      <w:t>7年</w:t>
                    </w:r>
                    <w:bookmarkStart w:id="2" w:name="_Hlt460250416"/>
                    <w:bookmarkStart w:id="3" w:name="_Hlt460250417"/>
                    <w:r>
                      <w:rPr>
                        <w:rStyle w:val="a5"/>
                        <w:rFonts w:hint="eastAsia"/>
                        <w:color w:val="auto"/>
                      </w:rPr>
                      <w:t>8</w:t>
                    </w:r>
                    <w:r w:rsidRPr="004C2578">
                      <w:rPr>
                        <w:rStyle w:val="a5"/>
                        <w:rFonts w:hint="eastAsia"/>
                        <w:color w:val="auto"/>
                      </w:rPr>
                      <w:t>月</w:t>
                    </w:r>
                    <w:bookmarkEnd w:id="2"/>
                    <w:bookmarkEnd w:id="3"/>
                    <w:r w:rsidRPr="004C2578">
                      <w:rPr>
                        <w:rStyle w:val="a5"/>
                        <w:rFonts w:hint="eastAsia"/>
                        <w:color w:val="auto"/>
                      </w:rPr>
                      <w:t>中国溶剂油、石脑油进出口数据统计</w:t>
                    </w:r>
                    <w:r>
                      <w:rPr>
                        <w:color w:val="auto"/>
                      </w:rPr>
                      <w:tab/>
                    </w:r>
                    <w:r>
                      <w:rPr>
                        <w:rFonts w:hint="eastAsia"/>
                        <w:color w:val="auto"/>
                      </w:rPr>
                      <w:t>22</w:t>
                    </w:r>
                  </w:hyperlink>
                </w:p>
                <w:p w:rsidR="00690DD2" w:rsidRDefault="00690DD2">
                  <w:r>
                    <w:rPr>
                      <w:rFonts w:ascii="宋体" w:hAnsi="宋体"/>
                    </w:rPr>
                    <w:fldChar w:fldCharType="end"/>
                  </w:r>
                </w:p>
              </w:txbxContent>
            </v:textbox>
          </v:shape>
        </w:pict>
      </w:r>
      <w:r w:rsidR="00D766DC">
        <w:br w:type="page"/>
      </w:r>
      <w:bookmarkStart w:id="4" w:name="_Toc460250399"/>
      <w:bookmarkEnd w:id="1"/>
      <w:r w:rsidR="00D766DC">
        <w:rPr>
          <w:rFonts w:ascii="黑体" w:hAnsi="宋体" w:hint="eastAsia"/>
          <w:b w:val="0"/>
          <w:sz w:val="28"/>
          <w:szCs w:val="28"/>
        </w:rPr>
        <w:lastRenderedPageBreak/>
        <w:t>一、国际原油</w:t>
      </w:r>
      <w:bookmarkEnd w:id="4"/>
    </w:p>
    <w:p w:rsidR="00D766DC" w:rsidRDefault="00D766DC">
      <w:pPr>
        <w:ind w:firstLineChars="49" w:firstLine="148"/>
      </w:pPr>
      <w:r>
        <w:rPr>
          <w:rFonts w:ascii="黑体" w:eastAsia="黑体" w:hAnsi="宋体" w:cs="Arial" w:hint="eastAsia"/>
          <w:b/>
          <w:bCs/>
          <w:kern w:val="0"/>
          <w:sz w:val="30"/>
          <w:szCs w:val="30"/>
        </w:rPr>
        <w:t>（一）、国际原油市场回顾</w:t>
      </w:r>
    </w:p>
    <w:p w:rsidR="00D766DC" w:rsidRDefault="00D766DC">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Ind w:w="289" w:type="dxa"/>
        <w:tblLayout w:type="fixed"/>
        <w:tblCellMar>
          <w:left w:w="0" w:type="dxa"/>
          <w:right w:w="0" w:type="dxa"/>
        </w:tblCellMar>
        <w:tblLook w:val="0000"/>
      </w:tblPr>
      <w:tblGrid>
        <w:gridCol w:w="1276"/>
        <w:gridCol w:w="1134"/>
        <w:gridCol w:w="1134"/>
        <w:gridCol w:w="5386"/>
      </w:tblGrid>
      <w:tr w:rsidR="00AF044A" w:rsidRPr="00151F76" w:rsidTr="00AF044A">
        <w:trPr>
          <w:trHeight w:val="399"/>
        </w:trPr>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AF044A" w:rsidRPr="00151F76" w:rsidRDefault="00AF044A" w:rsidP="00E73393">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134" w:type="dxa"/>
            <w:tcBorders>
              <w:top w:val="single" w:sz="4" w:space="0" w:color="auto"/>
              <w:left w:val="nil"/>
              <w:bottom w:val="single" w:sz="4" w:space="0" w:color="auto"/>
              <w:right w:val="single" w:sz="4" w:space="0" w:color="auto"/>
            </w:tcBorders>
            <w:shd w:val="clear" w:color="auto" w:fill="99CCFF"/>
            <w:vAlign w:val="center"/>
          </w:tcPr>
          <w:p w:rsidR="00AF044A" w:rsidRPr="00151F76" w:rsidRDefault="00AF044A" w:rsidP="00E73393">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134" w:type="dxa"/>
            <w:tcBorders>
              <w:top w:val="single" w:sz="4" w:space="0" w:color="auto"/>
              <w:left w:val="nil"/>
              <w:bottom w:val="single" w:sz="4" w:space="0" w:color="auto"/>
              <w:right w:val="single" w:sz="4" w:space="0" w:color="auto"/>
            </w:tcBorders>
            <w:shd w:val="clear" w:color="auto" w:fill="99CCFF"/>
            <w:vAlign w:val="center"/>
          </w:tcPr>
          <w:p w:rsidR="00AF044A" w:rsidRPr="00151F76" w:rsidRDefault="00AF044A" w:rsidP="00E73393">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5386" w:type="dxa"/>
            <w:tcBorders>
              <w:top w:val="single" w:sz="4" w:space="0" w:color="auto"/>
              <w:left w:val="nil"/>
              <w:bottom w:val="single" w:sz="4" w:space="0" w:color="auto"/>
              <w:right w:val="single" w:sz="4" w:space="0" w:color="auto"/>
            </w:tcBorders>
            <w:shd w:val="clear" w:color="auto" w:fill="99CCFF"/>
            <w:vAlign w:val="center"/>
          </w:tcPr>
          <w:p w:rsidR="00AF044A" w:rsidRPr="00151F76" w:rsidRDefault="00AF044A" w:rsidP="00E73393">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AF044A" w:rsidRPr="00151F76" w:rsidTr="00AF044A">
        <w:trPr>
          <w:trHeight w:val="399"/>
        </w:trPr>
        <w:tc>
          <w:tcPr>
            <w:tcW w:w="1276" w:type="dxa"/>
            <w:tcBorders>
              <w:top w:val="nil"/>
              <w:left w:val="single" w:sz="4" w:space="0" w:color="auto"/>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11</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cs="宋体" w:hint="eastAsia"/>
                <w:color w:val="000000"/>
                <w:szCs w:val="21"/>
              </w:rPr>
              <w:t>51.30</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cs="宋体" w:hint="eastAsia"/>
                <w:color w:val="000000"/>
                <w:szCs w:val="21"/>
              </w:rPr>
              <w:t>56.94</w:t>
            </w:r>
          </w:p>
        </w:tc>
        <w:tc>
          <w:tcPr>
            <w:tcW w:w="5386" w:type="dxa"/>
            <w:tcBorders>
              <w:top w:val="nil"/>
              <w:left w:val="nil"/>
              <w:bottom w:val="single" w:sz="4" w:space="0" w:color="auto"/>
              <w:right w:val="single" w:sz="4" w:space="0" w:color="auto"/>
            </w:tcBorders>
            <w:shd w:val="clear" w:color="auto" w:fill="FFFFFF"/>
            <w:vAlign w:val="center"/>
          </w:tcPr>
          <w:p w:rsidR="00AF044A" w:rsidRPr="00AF2A3B" w:rsidRDefault="00AF044A" w:rsidP="00E73393">
            <w:pPr>
              <w:rPr>
                <w:rFonts w:ascii="宋体" w:hAnsi="宋体"/>
                <w:color w:val="000000"/>
              </w:rPr>
            </w:pPr>
            <w:r w:rsidRPr="00AF2A3B">
              <w:rPr>
                <w:rFonts w:ascii="宋体" w:hAnsi="宋体" w:hint="eastAsia"/>
                <w:color w:val="000000"/>
              </w:rPr>
              <w:t>鉴于全球经济增长前景向好，预计2018</w:t>
            </w:r>
            <w:r>
              <w:rPr>
                <w:rFonts w:ascii="宋体" w:hAnsi="宋体" w:hint="eastAsia"/>
                <w:color w:val="000000"/>
              </w:rPr>
              <w:t>年石油需求将显著增加。</w:t>
            </w:r>
            <w:r w:rsidRPr="00AF2A3B">
              <w:rPr>
                <w:rFonts w:ascii="宋体" w:hAnsi="宋体" w:hint="eastAsia"/>
                <w:color w:val="000000"/>
              </w:rPr>
              <w:t>暗示原油市场供求开始渐趋平衡。这一消息当天助推国际油价上涨。</w:t>
            </w:r>
          </w:p>
        </w:tc>
      </w:tr>
      <w:tr w:rsidR="00AF044A" w:rsidRPr="00151F76" w:rsidTr="00AF044A">
        <w:trPr>
          <w:trHeight w:val="399"/>
        </w:trPr>
        <w:tc>
          <w:tcPr>
            <w:tcW w:w="1276" w:type="dxa"/>
            <w:tcBorders>
              <w:top w:val="nil"/>
              <w:left w:val="single" w:sz="4" w:space="0" w:color="auto"/>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10</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50.92</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56.61</w:t>
            </w:r>
          </w:p>
        </w:tc>
        <w:tc>
          <w:tcPr>
            <w:tcW w:w="5386" w:type="dxa"/>
            <w:tcBorders>
              <w:top w:val="nil"/>
              <w:left w:val="nil"/>
              <w:bottom w:val="single" w:sz="4" w:space="0" w:color="auto"/>
              <w:right w:val="single" w:sz="4" w:space="0" w:color="auto"/>
            </w:tcBorders>
            <w:shd w:val="clear" w:color="auto" w:fill="FFFFFF"/>
            <w:vAlign w:val="center"/>
          </w:tcPr>
          <w:p w:rsidR="00AF044A" w:rsidRPr="005E7E84" w:rsidRDefault="00AF044A" w:rsidP="00E73393">
            <w:pPr>
              <w:rPr>
                <w:rFonts w:ascii="宋体" w:hAnsi="宋体"/>
                <w:color w:val="000000"/>
              </w:rPr>
            </w:pPr>
            <w:r w:rsidRPr="00771BB0">
              <w:rPr>
                <w:rFonts w:ascii="宋体" w:hAnsi="宋体" w:hint="eastAsia"/>
                <w:color w:val="000000"/>
              </w:rPr>
              <w:t>沙特阿拉伯或将于今年11月起削减其原油出口量。受此消息提振，国际油价10日强劲上扬。</w:t>
            </w:r>
          </w:p>
        </w:tc>
      </w:tr>
      <w:tr w:rsidR="00AF044A" w:rsidRPr="00151F76" w:rsidTr="00AF044A">
        <w:trPr>
          <w:trHeight w:val="399"/>
        </w:trPr>
        <w:tc>
          <w:tcPr>
            <w:tcW w:w="1276" w:type="dxa"/>
            <w:tcBorders>
              <w:top w:val="nil"/>
              <w:left w:val="single" w:sz="4" w:space="0" w:color="auto"/>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09</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49.58</w:t>
            </w:r>
            <w:r w:rsidRPr="00BD52EF">
              <w:rPr>
                <w:rFonts w:ascii="宋体" w:hAnsi="宋体" w:hint="eastAsia"/>
                <w:color w:val="000000"/>
                <w:szCs w:val="21"/>
              </w:rPr>
              <w:t xml:space="preserve">　</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55.79</w:t>
            </w:r>
          </w:p>
        </w:tc>
        <w:tc>
          <w:tcPr>
            <w:tcW w:w="5386" w:type="dxa"/>
            <w:tcBorders>
              <w:top w:val="nil"/>
              <w:left w:val="nil"/>
              <w:bottom w:val="single" w:sz="4" w:space="0" w:color="auto"/>
              <w:right w:val="single" w:sz="4" w:space="0" w:color="auto"/>
            </w:tcBorders>
            <w:shd w:val="clear" w:color="auto" w:fill="FFFFFF"/>
            <w:vAlign w:val="center"/>
          </w:tcPr>
          <w:p w:rsidR="00AF044A" w:rsidRPr="007D6593" w:rsidRDefault="00AF044A" w:rsidP="00E73393">
            <w:pPr>
              <w:rPr>
                <w:rFonts w:ascii="宋体" w:hAnsi="宋体"/>
                <w:color w:val="000000"/>
              </w:rPr>
            </w:pPr>
            <w:r w:rsidRPr="00771BB0">
              <w:rPr>
                <w:rFonts w:ascii="宋体" w:hAnsi="宋体" w:hint="eastAsia"/>
                <w:color w:val="000000"/>
              </w:rPr>
              <w:t>欧佩克与非欧佩克产油国达成的原油减产协议继续延长的可能性大增，为当天国际油价上涨提供了支撑。</w:t>
            </w:r>
          </w:p>
        </w:tc>
      </w:tr>
      <w:tr w:rsidR="00AF044A" w:rsidRPr="00151F76" w:rsidTr="00AF044A">
        <w:trPr>
          <w:trHeight w:val="399"/>
        </w:trPr>
        <w:tc>
          <w:tcPr>
            <w:tcW w:w="1276" w:type="dxa"/>
            <w:tcBorders>
              <w:top w:val="nil"/>
              <w:left w:val="single" w:sz="4" w:space="0" w:color="auto"/>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06</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49.26</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55.62</w:t>
            </w:r>
          </w:p>
        </w:tc>
        <w:tc>
          <w:tcPr>
            <w:tcW w:w="5386" w:type="dxa"/>
            <w:tcBorders>
              <w:top w:val="nil"/>
              <w:left w:val="nil"/>
              <w:bottom w:val="single" w:sz="4" w:space="0" w:color="auto"/>
              <w:right w:val="single" w:sz="4" w:space="0" w:color="auto"/>
            </w:tcBorders>
            <w:shd w:val="clear" w:color="auto" w:fill="FFFFFF"/>
            <w:vAlign w:val="center"/>
          </w:tcPr>
          <w:p w:rsidR="00AF044A" w:rsidRPr="0019099A" w:rsidRDefault="00AF044A" w:rsidP="00E73393">
            <w:pPr>
              <w:rPr>
                <w:rFonts w:ascii="宋体" w:hAnsi="宋体"/>
                <w:color w:val="000000"/>
              </w:rPr>
            </w:pPr>
            <w:r w:rsidRPr="00994B5C">
              <w:rPr>
                <w:rFonts w:ascii="宋体" w:hAnsi="宋体" w:hint="eastAsia"/>
                <w:color w:val="000000"/>
              </w:rPr>
              <w:t>纽约商品交易所11月交货的轻质原油期货价格下跌1.5美元，收于每桶49.29美元，跌幅为3%。</w:t>
            </w:r>
          </w:p>
        </w:tc>
      </w:tr>
      <w:tr w:rsidR="00AF044A" w:rsidRPr="00151F76" w:rsidTr="00AF044A">
        <w:trPr>
          <w:trHeight w:val="399"/>
        </w:trPr>
        <w:tc>
          <w:tcPr>
            <w:tcW w:w="1276" w:type="dxa"/>
            <w:tcBorders>
              <w:top w:val="nil"/>
              <w:left w:val="single" w:sz="4" w:space="0" w:color="auto"/>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sidRPr="00BD52EF">
              <w:rPr>
                <w:rFonts w:ascii="宋体" w:hAnsi="宋体" w:hint="eastAsia"/>
                <w:color w:val="000000"/>
                <w:szCs w:val="21"/>
              </w:rPr>
              <w:t>2017-9-</w:t>
            </w:r>
            <w:r>
              <w:rPr>
                <w:rFonts w:ascii="宋体" w:hAnsi="宋体" w:hint="eastAsia"/>
                <w:color w:val="000000"/>
                <w:szCs w:val="21"/>
              </w:rPr>
              <w:t>29</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51.67</w:t>
            </w:r>
          </w:p>
        </w:tc>
        <w:tc>
          <w:tcPr>
            <w:tcW w:w="1134" w:type="dxa"/>
            <w:tcBorders>
              <w:top w:val="nil"/>
              <w:left w:val="nil"/>
              <w:bottom w:val="single" w:sz="4" w:space="0" w:color="auto"/>
              <w:right w:val="single" w:sz="4" w:space="0" w:color="auto"/>
            </w:tcBorders>
            <w:shd w:val="clear" w:color="auto" w:fill="FFFFFF"/>
            <w:vAlign w:val="bottom"/>
          </w:tcPr>
          <w:p w:rsidR="00AF044A" w:rsidRPr="00BD52EF" w:rsidRDefault="00AF044A" w:rsidP="00E73393">
            <w:pPr>
              <w:jc w:val="center"/>
              <w:rPr>
                <w:rFonts w:ascii="宋体" w:hAnsi="宋体" w:cs="宋体"/>
                <w:color w:val="000000"/>
                <w:szCs w:val="21"/>
              </w:rPr>
            </w:pPr>
            <w:r>
              <w:rPr>
                <w:rFonts w:ascii="宋体" w:hAnsi="宋体" w:hint="eastAsia"/>
                <w:color w:val="000000"/>
                <w:szCs w:val="21"/>
              </w:rPr>
              <w:t>57.54</w:t>
            </w:r>
          </w:p>
        </w:tc>
        <w:tc>
          <w:tcPr>
            <w:tcW w:w="5386" w:type="dxa"/>
            <w:tcBorders>
              <w:top w:val="nil"/>
              <w:left w:val="nil"/>
              <w:bottom w:val="single" w:sz="4" w:space="0" w:color="auto"/>
              <w:right w:val="single" w:sz="4" w:space="0" w:color="auto"/>
            </w:tcBorders>
            <w:shd w:val="clear" w:color="auto" w:fill="FFFFFF"/>
            <w:vAlign w:val="center"/>
          </w:tcPr>
          <w:p w:rsidR="00AF044A" w:rsidRPr="0019099A" w:rsidRDefault="00AF044A" w:rsidP="00E73393">
            <w:pPr>
              <w:rPr>
                <w:rFonts w:ascii="宋体" w:hAnsi="宋体"/>
                <w:color w:val="000000"/>
              </w:rPr>
            </w:pPr>
            <w:r w:rsidRPr="00994B5C">
              <w:rPr>
                <w:rFonts w:ascii="宋体" w:hAnsi="宋体" w:hint="eastAsia"/>
                <w:color w:val="000000"/>
              </w:rPr>
              <w:t>哈维”飓风过后，美国境内炼油厂陆续重启，原油需求有望增加，导致国际油价近期大涨。</w:t>
            </w:r>
          </w:p>
        </w:tc>
      </w:tr>
    </w:tbl>
    <w:p w:rsidR="00D766DC" w:rsidRPr="00AF044A" w:rsidRDefault="00D766DC">
      <w:pPr>
        <w:rPr>
          <w:rFonts w:ascii="宋体" w:hAnsi="宋体" w:cs="宋体"/>
          <w:kern w:val="0"/>
          <w:sz w:val="20"/>
          <w:szCs w:val="20"/>
        </w:rPr>
      </w:pPr>
    </w:p>
    <w:p w:rsidR="00D766DC" w:rsidRDefault="00D766DC">
      <w:pPr>
        <w:spacing w:line="360" w:lineRule="auto"/>
        <w:ind w:firstLineChars="100" w:firstLine="300"/>
        <w:rPr>
          <w:rFonts w:ascii="黑体" w:eastAsia="黑体"/>
          <w:sz w:val="30"/>
          <w:szCs w:val="30"/>
        </w:rPr>
      </w:pPr>
      <w:r>
        <w:rPr>
          <w:rFonts w:ascii="黑体" w:eastAsia="黑体" w:hint="eastAsia"/>
          <w:sz w:val="30"/>
          <w:szCs w:val="30"/>
        </w:rPr>
        <w:t>1. 2  国际原油市场价格走势图</w:t>
      </w:r>
    </w:p>
    <w:p w:rsidR="00D766DC" w:rsidRDefault="000F4930">
      <w:pPr>
        <w:spacing w:line="360" w:lineRule="auto"/>
        <w:jc w:val="center"/>
        <w:rPr>
          <w:sz w:val="20"/>
          <w:szCs w:val="20"/>
        </w:rPr>
      </w:pPr>
      <w:r>
        <w:rPr>
          <w:noProof/>
        </w:rPr>
        <w:drawing>
          <wp:inline distT="0" distB="0" distL="0" distR="0">
            <wp:extent cx="5390515" cy="3700145"/>
            <wp:effectExtent l="19050" t="0" r="635" b="0"/>
            <wp:docPr id="1" name="图片 1" descr="QQ截图2017101208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71012080454"/>
                    <pic:cNvPicPr>
                      <a:picLocks noChangeAspect="1" noChangeArrowheads="1"/>
                    </pic:cNvPicPr>
                  </pic:nvPicPr>
                  <pic:blipFill>
                    <a:blip r:embed="rId8"/>
                    <a:srcRect/>
                    <a:stretch>
                      <a:fillRect/>
                    </a:stretch>
                  </pic:blipFill>
                  <pic:spPr bwMode="auto">
                    <a:xfrm>
                      <a:off x="0" y="0"/>
                      <a:ext cx="5390515" cy="3700145"/>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pPr>
        <w:ind w:firstLineChars="99" w:firstLine="298"/>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lastRenderedPageBreak/>
        <w:t>（二）.近期影响国际原油市场的主要因素</w:t>
      </w:r>
      <w:bookmarkEnd w:id="8"/>
    </w:p>
    <w:p w:rsidR="00452199" w:rsidRPr="00F76FEC" w:rsidRDefault="00452199" w:rsidP="00452199">
      <w:pPr>
        <w:ind w:firstLineChars="200" w:firstLine="562"/>
        <w:rPr>
          <w:rFonts w:ascii="黑体" w:eastAsia="黑体" w:hAnsi="宋体"/>
          <w:b/>
          <w:sz w:val="28"/>
          <w:szCs w:val="28"/>
        </w:rPr>
      </w:pPr>
      <w:r w:rsidRPr="00F76FEC">
        <w:rPr>
          <w:rFonts w:ascii="黑体" w:eastAsia="黑体" w:hAnsi="宋体" w:hint="eastAsia"/>
          <w:b/>
          <w:sz w:val="28"/>
          <w:szCs w:val="28"/>
        </w:rPr>
        <w:t>1、美国原油库存情况</w:t>
      </w:r>
    </w:p>
    <w:p w:rsidR="003530D9" w:rsidRDefault="003530D9" w:rsidP="003530D9">
      <w:pPr>
        <w:ind w:firstLine="560"/>
        <w:rPr>
          <w:rFonts w:ascii="华文仿宋" w:eastAsia="华文仿宋" w:hAnsi="华文仿宋" w:cs="宋体"/>
          <w:kern w:val="0"/>
          <w:sz w:val="28"/>
          <w:szCs w:val="28"/>
        </w:rPr>
      </w:pPr>
      <w:r w:rsidRPr="00182893">
        <w:rPr>
          <w:rFonts w:ascii="华文仿宋" w:eastAsia="华文仿宋" w:hAnsi="华文仿宋" w:cs="宋体" w:hint="eastAsia"/>
          <w:kern w:val="0"/>
          <w:sz w:val="28"/>
          <w:szCs w:val="28"/>
        </w:rPr>
        <w:t>美国能源信息署(EIA)公布的数据显示，截至10月6日当周，美国原油库存料减少180万桶，美国上周原油库存料连续第三周下降。上周汽油库存料减少100桶，精炼油库存则将减少240万桶。上周炼厂产能利用率料下降1.1个百分点，至87%。美国石油协会(API)公布的报告，截至10月6日当周，美国原油库存增加310万桶，至4.685亿桶，分析师预计为减少200万桶。库欣原油库存增加121.6</w:t>
      </w:r>
      <w:r>
        <w:rPr>
          <w:rFonts w:ascii="华文仿宋" w:eastAsia="华文仿宋" w:hAnsi="华文仿宋" w:cs="宋体" w:hint="eastAsia"/>
          <w:kern w:val="0"/>
          <w:sz w:val="28"/>
          <w:szCs w:val="28"/>
        </w:rPr>
        <w:t>万桶</w:t>
      </w:r>
      <w:r w:rsidRPr="00EF3DF2">
        <w:rPr>
          <w:rFonts w:ascii="华文仿宋" w:eastAsia="华文仿宋" w:hAnsi="华文仿宋" w:cs="宋体" w:hint="eastAsia"/>
          <w:kern w:val="0"/>
          <w:sz w:val="28"/>
          <w:szCs w:val="28"/>
        </w:rPr>
        <w:t>。</w:t>
      </w:r>
    </w:p>
    <w:p w:rsidR="00452199" w:rsidRPr="00426127" w:rsidRDefault="00452199" w:rsidP="003530D9">
      <w:pPr>
        <w:ind w:firstLineChars="200" w:firstLine="562"/>
        <w:rPr>
          <w:rFonts w:ascii="黑体" w:eastAsia="黑体" w:hAnsi="宋体"/>
          <w:b/>
          <w:sz w:val="28"/>
          <w:szCs w:val="28"/>
        </w:rPr>
      </w:pPr>
      <w:r w:rsidRPr="00426127">
        <w:rPr>
          <w:rFonts w:ascii="黑体" w:eastAsia="黑体" w:hAnsi="宋体" w:hint="eastAsia"/>
          <w:b/>
          <w:sz w:val="28"/>
          <w:szCs w:val="28"/>
        </w:rPr>
        <w:t>2、美国经济形势</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美股周三收高，三大股指再创历史新高。美联储9月会议纪要显示，尽管通胀率维持低迷，多数联储官员仍然倾向于12月再次加息。</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美东时间10月11日16：00（北京时间10月12日04：00），道指涨41.24点，或0.18%，报22，871.92点；标普500指数涨4.54点，或0.18%，报2，555.18点；纳指涨16.30点，或0.25%，报6，603.55点。</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美东时间周三下午2点，美联储公布了9月货币政策会议纪要。纪要显示，鉴于通胀率低迷，多位美联储官员敦促在加息时“保持耐心”。几位美联储官员现在认为，想要达到2%的通胀目标所花时间将比以前预期更长。“有几位”美联储官员认为，需要对通胀率更有信心，才会支持再次加息。</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纪要公布之后，美联储12月加息25个基点至1.25%-1.5%区间的概率为保持在86.7%不变，明年3月至该区间的概率由此前的58.1%升至59.2%；根据CME GROUP的FEDWATCH，美国联邦基金利率期货走势暗示，交易商预期美联储在12月12-13日会议升息机率为88%</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lastRenderedPageBreak/>
        <w:t>美联储纪要公布后，美国国债收益率维持稳定，美股维持小幅上涨格局。10年期国债收益率为2.347%，2年期国债收益率为1.521%。</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美股三大股指再创历史新高</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周三盘中，道指最高攀升至22，872.89点，纳指上涨至 6，608.30点，标普500指数上涨至2，555.24点，均创历史最高收盘记录。</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周二美股收高，道指上涨0.3%，收于22，830.68点，创历史最高收盘纪录。标普500指数收高0.2%，以科技股为主的纳指收高0.1%，二者均逼近上周创造的历史最高纪录。</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截止周二收盘，今年内道指已上涨近16%，标普500指数上涨14%，纳指上涨22%。</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财经网站MarketWatch分析师Greg Robb认为，由于美联储此次会议纪要显示出对低通胀担忧的普遍情绪，12月美联储加息的举动料将不像市场此前预期的那样顺理成章，可能会采纳更多数据作为参考。</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他表示，从年初会议纪要来看，美联储大致上可以分为三个阵营。12月加息并不是必然发生的事情。</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金融博客Zerohedge称，此次美联储会议纪要显示出其内部对于通胀的看法不一，进一步释放了美联储将在12月会议上更为关注通胀的信号，但尚不清楚美联储将对通胀采取何种措施。</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周三早间公布的8月职位空缺报告显示，美国8月职位空缺数量从614万下降至608万个。</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 xml:space="preserve">美联储官员讲话仍然受到关注。今天发表讲话的美联储官员有芝加哥联储行长查尔斯-埃文斯（Charles Evans）、旧金山联储行长约翰-威廉姆斯(30.16, 0.13, </w:t>
      </w:r>
      <w:r w:rsidRPr="00F55DC9">
        <w:rPr>
          <w:rFonts w:ascii="华文仿宋" w:eastAsia="华文仿宋" w:hAnsi="华文仿宋" w:hint="eastAsia"/>
          <w:sz w:val="28"/>
          <w:szCs w:val="28"/>
        </w:rPr>
        <w:lastRenderedPageBreak/>
        <w:t>0.43%)（John Williams）、亚特兰大联储行长拉斐尔-博斯蒂克（Raphael Bostic）。</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埃文斯在瑞士苏黎世讲话时称，2017年底之前加息一次并不是完全确定的。据芝加哥商业交易所数据，目前市场预期美联储在今年年底前加息的概率已超过90%。</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堪萨斯联储行长埃斯特-乔治（Esther George）周三表示，对通胀的结构性影响可能持续；美联储应该继续逐步加息。通胀仍受到美元升值和油价下跌的影响。通胀逐渐上升是合理的；达成美联储的通胀目标比以往更具挑战性；美联储应当继续渐进式调整利率。通胀数据走软不能妨碍美国达成充分就业。</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乔治称，以历史标准衡量，美联储即将达成自己的双重使命；通胀数据疲软主要是受到了一次性冲击和较长因素的影响；能够理解通胀表现并非完美。</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旧金山联储行长威廉姆斯表示，美国逐步升息是合适的。美联储在未来两年内将短期利率升至2.5%是合适的。会用约四年时间将资产负债表缩至新正常水准。缩表将倾向于推升长期利率。</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威廉姆斯称将大力支持缩表的决定。他表示，最终缩表合适的规模仍是个开放性问题；美国处于经济常态和长期性经济停滞的状态之间；未见金融市场出现过度借贷，但会密切关注。</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欧洲股市周三收盘涨跌不一。富时泛欧绩优300指数收跌0.01%，报1533.68点。欧洲STOXX 600指数收跌0.02%，欧元区蓝筹绩优STOXX 50指数收跌0.02%。德国DAX 30指数收涨0.18%。法国CAC 40指数收跌0.04%。英国富时100指数收跌0.08%。</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西班牙IBEX指数收涨1.57%，因为市场对加泰罗尼亚地区独立的担忧情绪有所放缓。</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lastRenderedPageBreak/>
        <w:t>加泰罗尼亚地区总统Carles Puigdemont当地时间周二下午在巴塞罗那的地区议会发表讲话，他称，数百万加泰罗尼亚人认为应该有自己的国家。他认为，企业总部撤离不会对加泰罗尼亚经济造成很大伤害。</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他说“将搁置独立宣言数周，首先寻求与西班牙政府谈判。通过合理的对话进行调解”。早前有媒体报道，其或在此次讲话中宣布独立。</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但西班牙首相拉霍伊（Mariano Rajoy）周三的言论可能使该地区的紧张局势再度升级。拉霍伊在讲话中暗示，他可能会推动取消加泰罗尼亚地区自治权的运动。</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周三亚洲市场收高。日本日经指数创20多年来最高收盘水平。</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国际原油期货价格周三收盘涨跌不一。石油输出国组织（OPEC）上调国际原油需求预期，但表示尽管有减产协议约束，然而该指数成员国9月份的原油产量仍然提高。</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美国能源信息署（EIA）上调了今明两年的油价预期，同时上调了对2018年美国原油产量的预测。</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OPEC在周三公布的报告中宣布，该组织成员国9月份的原油产量跃升9万桶/日，使该卡特尔组织及其他几个主要产油国通过减产来限制全球原油供应过剩状况的努力遇到麻烦。</w:t>
      </w:r>
    </w:p>
    <w:p w:rsidR="003530D9" w:rsidRPr="00F55DC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美联储会议纪要公布后，电子交易盘中的12月黄金期货略微回升至1292.20美元/盎司。</w:t>
      </w:r>
    </w:p>
    <w:p w:rsidR="00290A13" w:rsidRPr="003530D9" w:rsidRDefault="003530D9" w:rsidP="003530D9">
      <w:pPr>
        <w:ind w:firstLineChars="200" w:firstLine="560"/>
        <w:rPr>
          <w:rFonts w:ascii="华文仿宋" w:eastAsia="华文仿宋" w:hAnsi="华文仿宋"/>
          <w:sz w:val="28"/>
          <w:szCs w:val="28"/>
        </w:rPr>
      </w:pPr>
      <w:r w:rsidRPr="00F55DC9">
        <w:rPr>
          <w:rFonts w:ascii="华文仿宋" w:eastAsia="华文仿宋" w:hAnsi="华文仿宋" w:hint="eastAsia"/>
          <w:sz w:val="28"/>
          <w:szCs w:val="28"/>
        </w:rPr>
        <w:t>OPEC报告称9月产量提高。国际原油期货价格周三收盘涨跌不一。纽约11月WTI期货涨9美分，或0.1%，收于51.01美元/桶。12月布伦特原油跌36美分，或0.6%，收于56.26美元/桶。</w:t>
      </w:r>
    </w:p>
    <w:p w:rsidR="00452199" w:rsidRPr="00426127" w:rsidRDefault="00452199" w:rsidP="00452199">
      <w:pPr>
        <w:tabs>
          <w:tab w:val="left" w:pos="2350"/>
        </w:tabs>
        <w:ind w:leftChars="50" w:left="105" w:firstLineChars="150" w:firstLine="422"/>
        <w:rPr>
          <w:rFonts w:ascii="黑体" w:eastAsia="黑体"/>
          <w:b/>
          <w:sz w:val="28"/>
          <w:szCs w:val="28"/>
        </w:rPr>
      </w:pPr>
      <w:r w:rsidRPr="00426127">
        <w:rPr>
          <w:rFonts w:ascii="黑体" w:eastAsia="黑体" w:hint="eastAsia"/>
          <w:b/>
          <w:sz w:val="28"/>
          <w:szCs w:val="28"/>
        </w:rPr>
        <w:lastRenderedPageBreak/>
        <w:t>3、 世界经济形势</w:t>
      </w:r>
    </w:p>
    <w:p w:rsidR="003530D9" w:rsidRDefault="003530D9" w:rsidP="003530D9">
      <w:pPr>
        <w:pStyle w:val="ab"/>
        <w:ind w:firstLineChars="200" w:firstLine="560"/>
        <w:rPr>
          <w:rFonts w:ascii="华文仿宋" w:eastAsia="华文仿宋" w:hAnsi="华文仿宋"/>
          <w:sz w:val="28"/>
          <w:szCs w:val="28"/>
        </w:rPr>
      </w:pPr>
      <w:r w:rsidRPr="004A23C2">
        <w:rPr>
          <w:rFonts w:ascii="华文仿宋" w:eastAsia="华文仿宋" w:hAnsi="华文仿宋" w:hint="eastAsia"/>
          <w:sz w:val="28"/>
          <w:szCs w:val="28"/>
        </w:rPr>
        <w:t>“一带一路”为国际间油气合作提供了更多的机会，让全球油气行业的合作更加便捷、互利、有效。随着“一带一路”战略的深入推进，山东科瑞控股集团将更加积极地响应国家号召，不断拓展海外业务，深化海外实体化运营新模式，为集团国际化发展持续注入动力。山东科瑞控股集团成立于2001年，总部位于山东省东营市，是以高端石油装备研发制造、油气田增产解决方案与一体化服务、石油天然气工程价值链综合解决方案提供为核心，立足全球油气行业产品、技术、人才、金融、资产等优质资源整合和创新服务的国际化综合性产业集团。自成立以来，山东科瑞控股集团始终以“让石油和天然气的获取更加高效”为使命，将步伐从国内逐步迈向亚太、中东、非洲、欧洲、北美、南美以及泛俄地区。在全球化发展道路上，山东科瑞控股集团凭借创新型核心技术成为油气行业杰出的成本控制专家，为全球客户提供优质的服务和实用的产品。2004年，山东科瑞控股集团率先在民营石油装备企业中走出国门，走向海外。2007年起，山东科瑞控股集团调整步伐，进入迅速发展期，将企业定位于产业投资型公司，开始打造一家面向“全球化”投资领域的百年企业。2012年，山东科瑞石油控股集团全面推行事业部制管理，变革企业运营模式，实体化经营日趋成熟。2015年，山东科瑞石油控股集团抓住西进机遇，随“克强旋风”席卷拉美。2017年，科瑞集团与马来西亚Emerging EPC Sdn Bhd公司签约，成立在马来西亚的合资公司。目前，山东科瑞控股集团已在中东、非洲、东南亚等57个地区设立分公司(办事处)、配件仓库与维修服务站等，服务规模遍布80多个国家5000多家客户。山东科瑞控股集团的发展路线和“一带一路”政策路线图极度吻合。14年来，科瑞集团积极响应国家号召，搭载“走出去”东风，拓展海外业务，营销体系和服务网络已覆盖多</w:t>
      </w:r>
      <w:r w:rsidRPr="004A23C2">
        <w:rPr>
          <w:rFonts w:ascii="华文仿宋" w:eastAsia="华文仿宋" w:hAnsi="华文仿宋" w:hint="eastAsia"/>
          <w:sz w:val="28"/>
          <w:szCs w:val="28"/>
        </w:rPr>
        <w:lastRenderedPageBreak/>
        <w:t>个海上丝路国家：在新加坡设有研发中心和全资子公司</w:t>
      </w:r>
      <w:r>
        <w:rPr>
          <w:rFonts w:ascii="华文仿宋" w:eastAsia="华文仿宋" w:hAnsi="华文仿宋" w:hint="eastAsia"/>
          <w:sz w:val="28"/>
          <w:szCs w:val="28"/>
        </w:rPr>
        <w:t>WEFIC</w:t>
      </w:r>
      <w:r w:rsidRPr="004A23C2">
        <w:rPr>
          <w:rFonts w:ascii="华文仿宋" w:eastAsia="华文仿宋" w:hAnsi="华文仿宋" w:hint="eastAsia"/>
          <w:sz w:val="28"/>
          <w:szCs w:val="28"/>
        </w:rPr>
        <w:t>;在泰国设立了集零配件供应和钻采设备组装维修功能于一体的服务站;全修井平台随车移运沙漠修井机成功发运，入驻北非。此外，山东科瑞控股集团也非常重视与陆上丝绸之路国家的密切合作，在俄罗斯、巴基斯坦等国分别设立分公司，为客户提供便捷高效的管家式服务。截止目前，山东科瑞控股集团已在 57 个国家设立了分子公司、办事处，其中涵盖“一带一路”沿线国家东盟 9 国、西亚 14 国、南亚 4 国、中亚 5 国、独联体 6 国、中东欧 10 国等 48 个国家。</w:t>
      </w:r>
    </w:p>
    <w:p w:rsidR="00290A13" w:rsidRPr="003530D9" w:rsidRDefault="003530D9" w:rsidP="003530D9">
      <w:pPr>
        <w:pStyle w:val="ab"/>
        <w:ind w:firstLineChars="200" w:firstLine="560"/>
        <w:jc w:val="both"/>
        <w:rPr>
          <w:rFonts w:ascii="华文仿宋" w:eastAsia="华文仿宋" w:hAnsi="华文仿宋"/>
          <w:sz w:val="28"/>
          <w:szCs w:val="28"/>
        </w:rPr>
      </w:pPr>
      <w:r w:rsidRPr="00AF2A3B">
        <w:rPr>
          <w:rFonts w:ascii="华文仿宋" w:eastAsia="华文仿宋" w:hAnsi="华文仿宋" w:hint="eastAsia"/>
          <w:sz w:val="28"/>
          <w:szCs w:val="28"/>
        </w:rPr>
        <w:t>新华社休斯敦10月10日继纽约、旧金山、洛杉矶、西雅图之后，工商银行美国休斯敦分支机构10日在美国第四大城市休斯敦正式开业，成为美国南部地区首家中资银行机构。中国工商银行副行长胡浩当天在开业仪式上表示，作为第一家在休斯敦开设机构的中资银行，工商银行将以休斯敦为中心，服务整个得克萨斯州及美国南部市场。未来工商银行美国机构将继续深化本土化经营，加强与本地金融机构合作，努力为中美企业和个人客户以及中美经贸往来提供更加全面、优质、专业的金融服务，为中美间贸易和投资往来搭建新桥梁。参加开业仪式的休斯敦市长西尔维斯特·特纳对工商银行选择休斯敦开设分支机构表示欢迎，希望工商银行能够增进休斯敦与中国商界及金融机构的联系。中国驻休斯敦总领事李强民在致辞中说，健康稳定的中美关系符合两国人民的利益。他希望中美工商界继续在两国关系中发挥积极作用，推动中美经贸合作不断向前发展。截至目前，中国工商银行已在全球44个国家和地区设立了海外分支机构，并通过参股南非标准银行间接延伸至20个非洲国家。在美国，工商银行于2008年在纽约设立第一家分行，目前已发展成为具备商业银行批发、零售、本地券商以及大宗商品交易等服务能力的综合金融服务平台。</w:t>
      </w:r>
    </w:p>
    <w:p w:rsidR="00D766DC" w:rsidRDefault="00D766DC">
      <w:pPr>
        <w:rPr>
          <w:rFonts w:ascii="宋体" w:hAnsi="宋体" w:cs="Arial"/>
          <w:b/>
          <w:bCs/>
          <w:kern w:val="0"/>
          <w:sz w:val="32"/>
          <w:szCs w:val="32"/>
        </w:rPr>
      </w:pPr>
      <w:r>
        <w:rPr>
          <w:rFonts w:ascii="仿宋_GB2312" w:eastAsia="仿宋_GB2312" w:hint="eastAsia"/>
          <w:b/>
          <w:sz w:val="28"/>
          <w:szCs w:val="28"/>
        </w:rPr>
        <w:lastRenderedPageBreak/>
        <w:t>（三）</w:t>
      </w:r>
      <w:r>
        <w:rPr>
          <w:rFonts w:ascii="宋体" w:hAnsi="宋体" w:cs="Arial" w:hint="eastAsia"/>
          <w:b/>
          <w:bCs/>
          <w:kern w:val="0"/>
          <w:sz w:val="32"/>
          <w:szCs w:val="32"/>
        </w:rPr>
        <w:t>、2017年</w:t>
      </w:r>
      <w:r w:rsidR="004D3C9D">
        <w:rPr>
          <w:rFonts w:ascii="宋体" w:hAnsi="宋体" w:cs="Arial" w:hint="eastAsia"/>
          <w:b/>
          <w:bCs/>
          <w:kern w:val="0"/>
          <w:sz w:val="32"/>
          <w:szCs w:val="32"/>
        </w:rPr>
        <w:t>8</w:t>
      </w:r>
      <w:r>
        <w:rPr>
          <w:rFonts w:ascii="宋体" w:hAnsi="宋体" w:cs="Arial" w:hint="eastAsia"/>
          <w:b/>
          <w:bCs/>
          <w:kern w:val="0"/>
          <w:sz w:val="32"/>
          <w:szCs w:val="32"/>
        </w:rPr>
        <w:t>月份全国原油进出口统计数据</w:t>
      </w:r>
    </w:p>
    <w:p w:rsidR="00D766DC" w:rsidRDefault="00D766DC">
      <w:pPr>
        <w:widowControl/>
        <w:spacing w:line="260" w:lineRule="atLeast"/>
        <w:jc w:val="center"/>
        <w:rPr>
          <w:rFonts w:ascii="宋体" w:hAnsi="宋体" w:cs="宋体"/>
          <w:b/>
          <w:bCs/>
          <w:kern w:val="0"/>
          <w:szCs w:val="21"/>
        </w:rPr>
      </w:pPr>
      <w:r>
        <w:rPr>
          <w:rFonts w:ascii="宋体" w:hAnsi="宋体" w:cs="宋体" w:hint="eastAsia"/>
          <w:b/>
          <w:bCs/>
          <w:kern w:val="0"/>
          <w:szCs w:val="21"/>
        </w:rPr>
        <w:t>单位：千克，美元</w:t>
      </w:r>
    </w:p>
    <w:tbl>
      <w:tblPr>
        <w:tblW w:w="4696" w:type="pct"/>
        <w:tblInd w:w="250" w:type="dxa"/>
        <w:tblLook w:val="04A0"/>
      </w:tblPr>
      <w:tblGrid>
        <w:gridCol w:w="2072"/>
        <w:gridCol w:w="1678"/>
        <w:gridCol w:w="2521"/>
        <w:gridCol w:w="1388"/>
        <w:gridCol w:w="1697"/>
      </w:tblGrid>
      <w:tr w:rsidR="004D3C9D" w:rsidRPr="004D3C9D" w:rsidTr="00BC23E1">
        <w:trPr>
          <w:trHeight w:val="285"/>
        </w:trPr>
        <w:tc>
          <w:tcPr>
            <w:tcW w:w="1107"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产销国</w:t>
            </w:r>
          </w:p>
        </w:tc>
        <w:tc>
          <w:tcPr>
            <w:tcW w:w="896"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进口数量</w:t>
            </w:r>
          </w:p>
        </w:tc>
        <w:tc>
          <w:tcPr>
            <w:tcW w:w="1347"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进口美元</w:t>
            </w:r>
          </w:p>
        </w:tc>
        <w:tc>
          <w:tcPr>
            <w:tcW w:w="742"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出口数量</w:t>
            </w:r>
          </w:p>
        </w:tc>
        <w:tc>
          <w:tcPr>
            <w:tcW w:w="907" w:type="pct"/>
            <w:tcBorders>
              <w:top w:val="single" w:sz="8" w:space="0" w:color="auto"/>
              <w:left w:val="nil"/>
              <w:bottom w:val="single" w:sz="8" w:space="0" w:color="auto"/>
              <w:right w:val="single" w:sz="8" w:space="0" w:color="auto"/>
            </w:tcBorders>
            <w:shd w:val="clear" w:color="000000" w:fill="CCFFFF"/>
            <w:noWrap/>
            <w:vAlign w:val="center"/>
            <w:hideMark/>
          </w:tcPr>
          <w:p w:rsidR="004D3C9D" w:rsidRPr="004D3C9D" w:rsidRDefault="004D3C9D" w:rsidP="004D3C9D">
            <w:pPr>
              <w:widowControl/>
              <w:jc w:val="center"/>
              <w:rPr>
                <w:rFonts w:ascii="宋体" w:hAnsi="宋体" w:cs="宋体"/>
                <w:b/>
                <w:bCs/>
                <w:color w:val="000000"/>
                <w:kern w:val="0"/>
                <w:szCs w:val="21"/>
              </w:rPr>
            </w:pPr>
            <w:r w:rsidRPr="004D3C9D">
              <w:rPr>
                <w:rFonts w:ascii="宋体" w:hAnsi="宋体" w:cs="宋体" w:hint="eastAsia"/>
                <w:b/>
                <w:bCs/>
                <w:color w:val="000000"/>
                <w:kern w:val="0"/>
                <w:szCs w:val="21"/>
              </w:rPr>
              <w:t>出口美元</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9" w:history="1">
              <w:r w:rsidR="004D3C9D" w:rsidRPr="004D3C9D">
                <w:rPr>
                  <w:rFonts w:ascii="宋体" w:hAnsi="宋体" w:cs="宋体" w:hint="eastAsia"/>
                  <w:color w:val="000000"/>
                  <w:kern w:val="0"/>
                </w:rPr>
                <w:t>俄罗斯联邦</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4973851137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$1,721,536,631.00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0" w:history="1">
              <w:r w:rsidR="004D3C9D" w:rsidRPr="004D3C9D">
                <w:rPr>
                  <w:rFonts w:ascii="宋体" w:hAnsi="宋体" w:cs="宋体" w:hint="eastAsia"/>
                  <w:color w:val="000000"/>
                  <w:kern w:val="0"/>
                </w:rPr>
                <w:t>安哥拉</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3991836918</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$1,362,533,139.00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1" w:history="1">
              <w:r w:rsidR="004D3C9D" w:rsidRPr="004D3C9D">
                <w:rPr>
                  <w:rFonts w:ascii="宋体" w:hAnsi="宋体" w:cs="宋体" w:hint="eastAsia"/>
                  <w:color w:val="000000"/>
                  <w:kern w:val="0"/>
                </w:rPr>
                <w:t>沙特阿拉伯</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3913309335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$1,344,852,924.00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2" w:history="1">
              <w:r w:rsidR="004D3C9D" w:rsidRPr="004D3C9D">
                <w:rPr>
                  <w:rFonts w:ascii="宋体" w:hAnsi="宋体" w:cs="宋体" w:hint="eastAsia"/>
                  <w:color w:val="000000"/>
                  <w:kern w:val="0"/>
                </w:rPr>
                <w:t>伊朗</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3639414875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$1,187,463,138.00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3" w:history="1">
              <w:r w:rsidR="004D3C9D" w:rsidRPr="004D3C9D">
                <w:rPr>
                  <w:rFonts w:ascii="宋体" w:hAnsi="宋体" w:cs="宋体" w:hint="eastAsia"/>
                  <w:color w:val="000000"/>
                  <w:kern w:val="0"/>
                </w:rPr>
                <w:t>伊拉克</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2415106000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$807,786,464.00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4" w:history="1">
              <w:r w:rsidR="004D3C9D" w:rsidRPr="004D3C9D">
                <w:rPr>
                  <w:rFonts w:ascii="宋体" w:hAnsi="宋体" w:cs="宋体" w:hint="eastAsia"/>
                  <w:color w:val="000000"/>
                  <w:kern w:val="0"/>
                </w:rPr>
                <w:t>阿曼</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2286735580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$818,322,010.00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5" w:history="1">
              <w:r w:rsidR="004D3C9D" w:rsidRPr="004D3C9D">
                <w:rPr>
                  <w:rFonts w:ascii="宋体" w:hAnsi="宋体" w:cs="宋体" w:hint="eastAsia"/>
                  <w:color w:val="000000"/>
                  <w:kern w:val="0"/>
                </w:rPr>
                <w:t>委内瑞拉</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1766182265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$516,225,102.00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6" w:history="1">
              <w:r w:rsidR="004D3C9D" w:rsidRPr="004D3C9D">
                <w:rPr>
                  <w:rFonts w:ascii="宋体" w:hAnsi="宋体" w:cs="宋体" w:hint="eastAsia"/>
                  <w:color w:val="000000"/>
                  <w:kern w:val="0"/>
                </w:rPr>
                <w:t>巴西</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1559577488</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$529,586,812.00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7" w:history="1">
              <w:r w:rsidR="004D3C9D" w:rsidRPr="004D3C9D">
                <w:rPr>
                  <w:rFonts w:ascii="宋体" w:hAnsi="宋体" w:cs="宋体" w:hint="eastAsia"/>
                  <w:color w:val="000000"/>
                  <w:kern w:val="0"/>
                </w:rPr>
                <w:t>科威特</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1281693273</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$448,543,539.00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8" w:history="1">
              <w:r w:rsidR="004D3C9D" w:rsidRPr="004D3C9D">
                <w:rPr>
                  <w:rFonts w:ascii="宋体" w:hAnsi="宋体" w:cs="宋体" w:hint="eastAsia"/>
                  <w:color w:val="000000"/>
                  <w:kern w:val="0"/>
                </w:rPr>
                <w:t>刚果</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965155985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$294,201,676.00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19" w:history="1">
              <w:r w:rsidR="004D3C9D" w:rsidRPr="004D3C9D">
                <w:rPr>
                  <w:rFonts w:ascii="宋体" w:hAnsi="宋体" w:cs="宋体" w:hint="eastAsia"/>
                  <w:color w:val="000000"/>
                  <w:kern w:val="0"/>
                </w:rPr>
                <w:t>哥伦比亚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956002512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$322,040,481.00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0" w:history="1">
              <w:r w:rsidR="004D3C9D" w:rsidRPr="004D3C9D">
                <w:rPr>
                  <w:rFonts w:ascii="宋体" w:hAnsi="宋体" w:cs="宋体" w:hint="eastAsia"/>
                  <w:color w:val="000000"/>
                  <w:kern w:val="0"/>
                </w:rPr>
                <w:t>马来西亚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765736017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$286,385,177.00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1" w:history="1">
              <w:r w:rsidR="004D3C9D" w:rsidRPr="004D3C9D">
                <w:rPr>
                  <w:rFonts w:ascii="宋体" w:hAnsi="宋体" w:cs="宋体" w:hint="eastAsia"/>
                  <w:color w:val="000000"/>
                  <w:kern w:val="0"/>
                </w:rPr>
                <w:t>美国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738094155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$260,353,784.00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2" w:history="1">
              <w:r w:rsidR="004D3C9D" w:rsidRPr="004D3C9D">
                <w:rPr>
                  <w:rFonts w:ascii="宋体" w:hAnsi="宋体" w:cs="宋体" w:hint="eastAsia"/>
                  <w:color w:val="000000"/>
                  <w:kern w:val="0"/>
                </w:rPr>
                <w:t>英国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676079131</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$246,551,466.00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3" w:history="1">
              <w:r w:rsidR="004D3C9D" w:rsidRPr="004D3C9D">
                <w:rPr>
                  <w:rFonts w:ascii="宋体" w:hAnsi="宋体" w:cs="宋体" w:hint="eastAsia"/>
                  <w:color w:val="000000"/>
                  <w:kern w:val="0"/>
                </w:rPr>
                <w:t>阿拉伯联合酋长国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411233800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$132,680,488.00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22000000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$7,114,500.00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4" w:history="1">
              <w:r w:rsidR="004D3C9D" w:rsidRPr="004D3C9D">
                <w:rPr>
                  <w:rFonts w:ascii="宋体" w:hAnsi="宋体" w:cs="宋体" w:hint="eastAsia"/>
                  <w:color w:val="000000"/>
                  <w:kern w:val="0"/>
                </w:rPr>
                <w:t>南苏丹共和国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402176616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$167,361,777.00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5" w:history="1">
              <w:r w:rsidR="004D3C9D" w:rsidRPr="004D3C9D">
                <w:rPr>
                  <w:rFonts w:ascii="宋体" w:hAnsi="宋体" w:cs="宋体" w:hint="eastAsia"/>
                  <w:color w:val="000000"/>
                  <w:kern w:val="0"/>
                </w:rPr>
                <w:t>卡塔尔</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368751447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$141,956,546.00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6" w:history="1">
              <w:r w:rsidR="004D3C9D" w:rsidRPr="004D3C9D">
                <w:rPr>
                  <w:rFonts w:ascii="宋体" w:hAnsi="宋体" w:cs="宋体" w:hint="eastAsia"/>
                  <w:color w:val="000000"/>
                  <w:kern w:val="0"/>
                </w:rPr>
                <w:t>尼日利亚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311182406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$115,111,530.00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7" w:history="1">
              <w:r w:rsidR="004D3C9D" w:rsidRPr="004D3C9D">
                <w:rPr>
                  <w:rFonts w:ascii="宋体" w:hAnsi="宋体" w:cs="宋体" w:hint="eastAsia"/>
                  <w:color w:val="000000"/>
                  <w:kern w:val="0"/>
                </w:rPr>
                <w:t>加蓬</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284492572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$109,453,100.00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8" w:history="1">
              <w:r w:rsidR="004D3C9D" w:rsidRPr="004D3C9D">
                <w:rPr>
                  <w:rFonts w:ascii="宋体" w:hAnsi="宋体" w:cs="宋体" w:hint="eastAsia"/>
                  <w:color w:val="000000"/>
                  <w:kern w:val="0"/>
                </w:rPr>
                <w:t>越南</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282133596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$99,473,953.00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29" w:history="1">
              <w:r w:rsidR="004D3C9D" w:rsidRPr="004D3C9D">
                <w:rPr>
                  <w:rFonts w:ascii="宋体" w:hAnsi="宋体" w:cs="宋体" w:hint="eastAsia"/>
                  <w:color w:val="000000"/>
                  <w:kern w:val="0"/>
                </w:rPr>
                <w:t>埃及</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280578774</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$115,446,942.00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0" w:history="1">
              <w:r w:rsidR="004D3C9D" w:rsidRPr="004D3C9D">
                <w:rPr>
                  <w:rFonts w:ascii="宋体" w:hAnsi="宋体" w:cs="宋体" w:hint="eastAsia"/>
                  <w:color w:val="000000"/>
                  <w:kern w:val="0"/>
                </w:rPr>
                <w:t>阿塞拜疆</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264034840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$95,279,842.00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1" w:history="1">
              <w:r w:rsidR="004D3C9D" w:rsidRPr="004D3C9D">
                <w:rPr>
                  <w:rFonts w:ascii="宋体" w:hAnsi="宋体" w:cs="宋体" w:hint="eastAsia"/>
                  <w:color w:val="000000"/>
                  <w:kern w:val="0"/>
                </w:rPr>
                <w:t>赤道几内亚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259811320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$95,088,818.00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2" w:history="1">
              <w:r w:rsidR="004D3C9D" w:rsidRPr="004D3C9D">
                <w:rPr>
                  <w:rFonts w:ascii="宋体" w:hAnsi="宋体" w:cs="宋体" w:hint="eastAsia"/>
                  <w:color w:val="000000"/>
                  <w:kern w:val="0"/>
                </w:rPr>
                <w:t>利比亚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216657377</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$71,508,449.00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3" w:history="1">
              <w:r w:rsidR="004D3C9D" w:rsidRPr="004D3C9D">
                <w:rPr>
                  <w:rFonts w:ascii="宋体" w:hAnsi="宋体" w:cs="宋体" w:hint="eastAsia"/>
                  <w:color w:val="000000"/>
                  <w:kern w:val="0"/>
                </w:rPr>
                <w:t>加纳</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172463062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$64,202,364.00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4" w:history="1">
              <w:r w:rsidR="004D3C9D" w:rsidRPr="004D3C9D">
                <w:rPr>
                  <w:rFonts w:ascii="宋体" w:hAnsi="宋体" w:cs="宋体" w:hint="eastAsia"/>
                  <w:color w:val="000000"/>
                  <w:kern w:val="0"/>
                </w:rPr>
                <w:t>哈萨克斯坦</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172068900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$57,109,477.00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5" w:history="1">
              <w:r w:rsidR="004D3C9D" w:rsidRPr="004D3C9D">
                <w:rPr>
                  <w:rFonts w:ascii="宋体" w:hAnsi="宋体" w:cs="宋体" w:hint="eastAsia"/>
                  <w:color w:val="000000"/>
                  <w:kern w:val="0"/>
                </w:rPr>
                <w:t>蒙古</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155852900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$56,163,394.00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6" w:history="1">
              <w:r w:rsidR="004D3C9D" w:rsidRPr="004D3C9D">
                <w:rPr>
                  <w:rFonts w:ascii="宋体" w:hAnsi="宋体" w:cs="宋体" w:hint="eastAsia"/>
                  <w:color w:val="000000"/>
                  <w:kern w:val="0"/>
                </w:rPr>
                <w:t>厄瓜多尔</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147688095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$39,910,124.00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7" w:history="1">
              <w:r w:rsidR="004D3C9D" w:rsidRPr="004D3C9D">
                <w:rPr>
                  <w:rFonts w:ascii="宋体" w:hAnsi="宋体" w:cs="宋体" w:hint="eastAsia"/>
                  <w:color w:val="000000"/>
                  <w:kern w:val="0"/>
                </w:rPr>
                <w:t>苏丹</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143356359</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$49,693,966.00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8" w:history="1">
              <w:r w:rsidR="004D3C9D" w:rsidRPr="004D3C9D">
                <w:rPr>
                  <w:rFonts w:ascii="宋体" w:hAnsi="宋体" w:cs="宋体" w:hint="eastAsia"/>
                  <w:color w:val="000000"/>
                  <w:kern w:val="0"/>
                </w:rPr>
                <w:t>澳大利亚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142601856</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$45,691,182.00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39" w:history="1">
              <w:r w:rsidR="004D3C9D" w:rsidRPr="004D3C9D">
                <w:rPr>
                  <w:rFonts w:ascii="宋体" w:hAnsi="宋体" w:cs="宋体" w:hint="eastAsia"/>
                  <w:color w:val="000000"/>
                  <w:kern w:val="0"/>
                </w:rPr>
                <w:t>文莱</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139358000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$47,964,801.00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40" w:history="1">
              <w:r w:rsidR="004D3C9D" w:rsidRPr="004D3C9D">
                <w:rPr>
                  <w:rFonts w:ascii="宋体" w:hAnsi="宋体" w:cs="宋体" w:hint="eastAsia"/>
                  <w:color w:val="000000"/>
                  <w:kern w:val="0"/>
                </w:rPr>
                <w:t>印度尼西亚</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133963000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$52,615,472.00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41" w:history="1">
              <w:r w:rsidR="004D3C9D" w:rsidRPr="004D3C9D">
                <w:rPr>
                  <w:rFonts w:ascii="宋体" w:hAnsi="宋体" w:cs="宋体" w:hint="eastAsia"/>
                  <w:color w:val="000000"/>
                  <w:kern w:val="0"/>
                </w:rPr>
                <w:t>阿根廷</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132842590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$46,187,176.00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42" w:history="1">
              <w:r w:rsidR="004D3C9D" w:rsidRPr="004D3C9D">
                <w:rPr>
                  <w:rFonts w:ascii="宋体" w:hAnsi="宋体" w:cs="宋体" w:hint="eastAsia"/>
                  <w:color w:val="000000"/>
                  <w:kern w:val="0"/>
                </w:rPr>
                <w:t>泰国</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113077082</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$36,804,321.00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73911569</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$26,174,897.00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43" w:history="1">
              <w:r w:rsidR="004D3C9D" w:rsidRPr="004D3C9D">
                <w:rPr>
                  <w:rFonts w:ascii="宋体" w:hAnsi="宋体" w:cs="宋体" w:hint="eastAsia"/>
                  <w:color w:val="000000"/>
                  <w:kern w:val="0"/>
                </w:rPr>
                <w:t>尼日尔</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102015834</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$32,670,778.00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44" w:history="1">
              <w:r w:rsidR="004D3C9D" w:rsidRPr="004D3C9D">
                <w:rPr>
                  <w:rFonts w:ascii="宋体" w:hAnsi="宋体" w:cs="宋体" w:hint="eastAsia"/>
                  <w:color w:val="000000"/>
                  <w:kern w:val="0"/>
                </w:rPr>
                <w:t>喀麦隆</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86367200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$19,029,158.00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A20C84" w:rsidP="004D3C9D">
            <w:pPr>
              <w:widowControl/>
              <w:jc w:val="center"/>
              <w:rPr>
                <w:rFonts w:ascii="宋体" w:hAnsi="宋体" w:cs="宋体"/>
                <w:color w:val="000000"/>
                <w:kern w:val="0"/>
                <w:szCs w:val="21"/>
              </w:rPr>
            </w:pPr>
            <w:hyperlink r:id="rId45" w:history="1">
              <w:r w:rsidR="004D3C9D" w:rsidRPr="004D3C9D">
                <w:rPr>
                  <w:rFonts w:ascii="宋体" w:hAnsi="宋体" w:cs="宋体" w:hint="eastAsia"/>
                  <w:color w:val="000000"/>
                  <w:kern w:val="0"/>
                </w:rPr>
                <w:t>日本</w:t>
              </w:r>
            </w:hyperlink>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85986485</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$27,797,355.00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菲律宾</w:t>
            </w:r>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0</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$0.00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95970720</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$35,551,397.00 </w:t>
            </w:r>
          </w:p>
        </w:tc>
      </w:tr>
      <w:tr w:rsidR="004D3C9D" w:rsidRPr="004D3C9D" w:rsidTr="00BC23E1">
        <w:trPr>
          <w:trHeight w:val="285"/>
        </w:trPr>
        <w:tc>
          <w:tcPr>
            <w:tcW w:w="1107" w:type="pct"/>
            <w:tcBorders>
              <w:top w:val="nil"/>
              <w:left w:val="single" w:sz="8" w:space="0" w:color="auto"/>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lastRenderedPageBreak/>
              <w:t>2017</w:t>
            </w:r>
          </w:p>
        </w:tc>
        <w:tc>
          <w:tcPr>
            <w:tcW w:w="896"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33977660094</w:t>
            </w:r>
          </w:p>
        </w:tc>
        <w:tc>
          <w:tcPr>
            <w:tcW w:w="134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$11,766,552,284.00 </w:t>
            </w:r>
          </w:p>
        </w:tc>
        <w:tc>
          <w:tcPr>
            <w:tcW w:w="742"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259751604</w:t>
            </w:r>
          </w:p>
        </w:tc>
        <w:tc>
          <w:tcPr>
            <w:tcW w:w="907" w:type="pct"/>
            <w:tcBorders>
              <w:top w:val="nil"/>
              <w:left w:val="nil"/>
              <w:bottom w:val="single" w:sz="8" w:space="0" w:color="auto"/>
              <w:right w:val="single" w:sz="8" w:space="0" w:color="auto"/>
            </w:tcBorders>
            <w:shd w:val="clear" w:color="auto" w:fill="auto"/>
            <w:noWrap/>
            <w:vAlign w:val="center"/>
            <w:hideMark/>
          </w:tcPr>
          <w:p w:rsidR="004D3C9D" w:rsidRPr="004D3C9D" w:rsidRDefault="004D3C9D" w:rsidP="004D3C9D">
            <w:pPr>
              <w:widowControl/>
              <w:jc w:val="center"/>
              <w:rPr>
                <w:rFonts w:ascii="宋体" w:hAnsi="宋体" w:cs="宋体"/>
                <w:color w:val="000000"/>
                <w:kern w:val="0"/>
                <w:szCs w:val="21"/>
              </w:rPr>
            </w:pPr>
            <w:r w:rsidRPr="004D3C9D">
              <w:rPr>
                <w:rFonts w:ascii="宋体" w:hAnsi="宋体" w:cs="宋体" w:hint="eastAsia"/>
                <w:color w:val="000000"/>
                <w:kern w:val="0"/>
                <w:szCs w:val="21"/>
              </w:rPr>
              <w:t xml:space="preserve">$95,565,378.00 </w:t>
            </w:r>
          </w:p>
        </w:tc>
      </w:tr>
    </w:tbl>
    <w:p w:rsidR="00D766DC" w:rsidRDefault="00D766DC">
      <w:pPr>
        <w:rPr>
          <w:rFonts w:ascii="宋体" w:hAnsi="宋体"/>
        </w:rPr>
      </w:pPr>
    </w:p>
    <w:p w:rsidR="00D766DC" w:rsidRDefault="00D766DC">
      <w:pPr>
        <w:rPr>
          <w:rFonts w:ascii="宋体" w:hAnsi="宋体"/>
        </w:rPr>
      </w:pPr>
    </w:p>
    <w:p w:rsidR="00D766DC" w:rsidRDefault="00D766DC" w:rsidP="00A36CBA">
      <w:pPr>
        <w:numPr>
          <w:ilvl w:val="0"/>
          <w:numId w:val="1"/>
        </w:numPr>
        <w:ind w:firstLineChars="98" w:firstLine="294"/>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、后市预测</w:t>
      </w:r>
    </w:p>
    <w:p w:rsidR="000E3ED3" w:rsidRPr="000F4930" w:rsidRDefault="000F4930" w:rsidP="000F4930">
      <w:pPr>
        <w:numPr>
          <w:ilvl w:val="0"/>
          <w:numId w:val="1"/>
        </w:numPr>
        <w:ind w:firstLine="560"/>
        <w:rPr>
          <w:rFonts w:ascii="华文仿宋" w:eastAsia="华文仿宋" w:hAnsi="华文仿宋"/>
          <w:sz w:val="28"/>
          <w:szCs w:val="28"/>
        </w:rPr>
      </w:pPr>
      <w:r w:rsidRPr="00C661FC">
        <w:rPr>
          <w:rFonts w:ascii="华文仿宋" w:eastAsia="华文仿宋" w:hAnsi="华文仿宋" w:hint="eastAsia"/>
          <w:sz w:val="28"/>
          <w:szCs w:val="28"/>
        </w:rPr>
        <w:t>本周WTI原油价格在49.29-51.3美元/桶，布伦特原油价格在55.62-56.94美元/桶震荡。本周原油主要是受到OPEC减产协议的影响而上涨，目前部分原油生产国产量减少，原油库存也得减少。OPEC希望扩大加入减产协议的成员国数量，并且采取措施以恢复全球原油市场的平衡。随着市场需求的增加，对油市的价格造成波动，推动了原油向上发力，再次回归50美元关口的上方。但原油多头在想要突破想要持续上破还需要消息面上的刺激，原油整体趋势仍以空为主，目前的多头仍只算之前下跌的反弹。预计原油短期还有上行的空间，但利润不大，短期以回落低多为主，中长线看空趋势不变。</w:t>
      </w:r>
    </w:p>
    <w:p w:rsidR="00D766DC" w:rsidRPr="000E3ED3" w:rsidRDefault="00D766DC">
      <w:pPr>
        <w:rPr>
          <w:rFonts w:ascii="宋体" w:hAnsi="宋体"/>
          <w:sz w:val="20"/>
          <w:szCs w:val="20"/>
        </w:rPr>
      </w:pPr>
    </w:p>
    <w:p w:rsidR="00D766DC" w:rsidRDefault="00D766DC">
      <w:pPr>
        <w:spacing w:line="360" w:lineRule="auto"/>
        <w:rPr>
          <w:rFonts w:ascii="黑体" w:eastAsia="黑体" w:hAnsi="宋体"/>
          <w:b/>
          <w:sz w:val="28"/>
          <w:szCs w:val="28"/>
        </w:rPr>
      </w:pPr>
      <w:r>
        <w:rPr>
          <w:rFonts w:ascii="黑体" w:eastAsia="黑体" w:hAnsi="宋体" w:hint="eastAsia"/>
          <w:b/>
          <w:sz w:val="28"/>
          <w:szCs w:val="28"/>
        </w:rPr>
        <w:t>二 石脑油</w:t>
      </w:r>
    </w:p>
    <w:p w:rsidR="00D766DC" w:rsidRDefault="00D766DC">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766DC">
      <w:pPr>
        <w:widowControl/>
        <w:jc w:val="center"/>
        <w:rPr>
          <w:rFonts w:ascii="宋体" w:hAnsi="宋体" w:cs="宋体"/>
          <w:sz w:val="20"/>
          <w:szCs w:val="20"/>
        </w:rPr>
      </w:pPr>
      <w:r>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695E69" w:rsidP="00695E69">
            <w:pPr>
              <w:widowControl/>
              <w:spacing w:line="260" w:lineRule="atLeast"/>
              <w:jc w:val="center"/>
              <w:rPr>
                <w:rFonts w:ascii="宋体" w:hAnsi="宋体" w:cs="宋体"/>
                <w:b/>
                <w:bCs/>
                <w:szCs w:val="21"/>
              </w:rPr>
            </w:pPr>
            <w:r>
              <w:rPr>
                <w:rFonts w:ascii="宋体" w:hAnsi="宋体" w:cs="宋体" w:hint="eastAsia"/>
                <w:b/>
                <w:bCs/>
                <w:color w:val="000000"/>
                <w:kern w:val="0"/>
                <w:szCs w:val="21"/>
              </w:rPr>
              <w:t>10</w:t>
            </w:r>
            <w:r w:rsidR="00D766DC">
              <w:rPr>
                <w:rFonts w:ascii="宋体" w:hAnsi="宋体" w:cs="宋体" w:hint="eastAsia"/>
                <w:b/>
                <w:bCs/>
                <w:color w:val="000000"/>
                <w:kern w:val="0"/>
                <w:szCs w:val="21"/>
              </w:rPr>
              <w:t>月</w:t>
            </w:r>
            <w:r>
              <w:rPr>
                <w:rFonts w:ascii="宋体" w:hAnsi="宋体" w:cs="宋体" w:hint="eastAsia"/>
                <w:b/>
                <w:bCs/>
                <w:color w:val="000000"/>
                <w:kern w:val="0"/>
                <w:szCs w:val="21"/>
              </w:rPr>
              <w:t>12</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A63181" w:rsidP="00695E69">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56.9</w:t>
            </w:r>
            <w:r w:rsidR="00695E69" w:rsidRPr="00695E69">
              <w:rPr>
                <w:rFonts w:hint="eastAsia"/>
                <w:color w:val="000000"/>
                <w:sz w:val="21"/>
                <w:szCs w:val="21"/>
                <w:shd w:val="clear" w:color="auto" w:fill="FFFFFF"/>
              </w:rPr>
              <w:t>0</w:t>
            </w:r>
            <w:r w:rsidR="00CB17C8" w:rsidRPr="00695E69">
              <w:rPr>
                <w:rFonts w:hint="eastAsia"/>
                <w:color w:val="000000"/>
                <w:sz w:val="21"/>
                <w:szCs w:val="21"/>
                <w:shd w:val="clear" w:color="auto" w:fill="FFFFFF"/>
              </w:rPr>
              <w:t>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A63181" w:rsidP="00695E69">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56.9</w:t>
            </w:r>
            <w:r w:rsidR="00695E69" w:rsidRPr="00695E69">
              <w:rPr>
                <w:rFonts w:hint="eastAsia"/>
                <w:color w:val="000000"/>
                <w:sz w:val="21"/>
                <w:szCs w:val="21"/>
                <w:shd w:val="clear" w:color="auto" w:fill="FFFFFF"/>
              </w:rPr>
              <w:t>4</w:t>
            </w:r>
            <w:r w:rsidRPr="00695E69">
              <w:rPr>
                <w:rFonts w:hint="eastAsia"/>
                <w:color w:val="000000"/>
                <w:sz w:val="21"/>
                <w:szCs w:val="21"/>
                <w:shd w:val="clear" w:color="auto" w:fill="FFFFFF"/>
              </w:rPr>
              <w:t>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A63181" w:rsidP="00695E69">
            <w:pPr>
              <w:pStyle w:val="ab"/>
              <w:wordWrap w:val="0"/>
              <w:spacing w:before="0" w:beforeAutospacing="0" w:after="0" w:afterAutospacing="0" w:line="390" w:lineRule="atLeast"/>
              <w:jc w:val="center"/>
              <w:rPr>
                <w:color w:val="000000"/>
                <w:sz w:val="21"/>
                <w:szCs w:val="21"/>
                <w:shd w:val="clear" w:color="auto" w:fill="FFFFFF"/>
              </w:rPr>
            </w:pPr>
            <w:r w:rsidRPr="00A63181">
              <w:rPr>
                <w:rFonts w:hint="eastAsia"/>
                <w:color w:val="000000"/>
                <w:sz w:val="21"/>
                <w:szCs w:val="21"/>
                <w:shd w:val="clear" w:color="auto" w:fill="FFFFFF"/>
              </w:rPr>
              <w:t>-0.</w:t>
            </w:r>
            <w:r w:rsidR="00695E69">
              <w:rPr>
                <w:rFonts w:hint="eastAsia"/>
                <w:color w:val="000000"/>
                <w:sz w:val="21"/>
                <w:szCs w:val="21"/>
                <w:shd w:val="clear" w:color="auto" w:fill="FFFFFF"/>
              </w:rPr>
              <w:t>5</w:t>
            </w:r>
            <w:r w:rsidRPr="00A63181">
              <w:rPr>
                <w:rFonts w:hint="eastAsia"/>
                <w:color w:val="000000"/>
                <w:sz w:val="21"/>
                <w:szCs w:val="21"/>
                <w:shd w:val="clear" w:color="auto" w:fill="FFFFFF"/>
              </w:rPr>
              <w:t>0</w:t>
            </w:r>
            <w:r w:rsidR="00CB17C8" w:rsidRPr="007326DF">
              <w:rPr>
                <w:rFonts w:hint="eastAsia"/>
                <w:color w:val="000000"/>
                <w:sz w:val="21"/>
                <w:szCs w:val="21"/>
                <w:shd w:val="clear" w:color="auto" w:fill="FFFFFF"/>
              </w:rPr>
              <w:t>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FA0050">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135.48-135.57</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CB17C8" w:rsidP="00695E69">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w:t>
            </w:r>
            <w:r w:rsidR="00A63181" w:rsidRPr="00695E69">
              <w:rPr>
                <w:rFonts w:hint="eastAsia"/>
                <w:color w:val="000000"/>
                <w:sz w:val="21"/>
                <w:szCs w:val="21"/>
                <w:shd w:val="clear" w:color="auto" w:fill="FFFFFF"/>
              </w:rPr>
              <w:t>2</w:t>
            </w:r>
            <w:r w:rsidR="00695E69" w:rsidRPr="00695E69">
              <w:rPr>
                <w:rFonts w:hint="eastAsia"/>
                <w:color w:val="000000"/>
                <w:sz w:val="21"/>
                <w:szCs w:val="21"/>
                <w:shd w:val="clear" w:color="auto" w:fill="FFFFFF"/>
              </w:rPr>
              <w:t>3.75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A63181" w:rsidP="00695E69">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52</w:t>
            </w:r>
            <w:r w:rsidR="00695E69" w:rsidRPr="00695E69">
              <w:rPr>
                <w:rFonts w:hint="eastAsia"/>
                <w:color w:val="000000"/>
                <w:sz w:val="21"/>
                <w:szCs w:val="21"/>
                <w:shd w:val="clear" w:color="auto" w:fill="FFFFFF"/>
              </w:rPr>
              <w:t>6</w:t>
            </w:r>
            <w:r w:rsidRPr="00695E69">
              <w:rPr>
                <w:rFonts w:hint="eastAsia"/>
                <w:color w:val="000000"/>
                <w:sz w:val="21"/>
                <w:szCs w:val="21"/>
                <w:shd w:val="clear" w:color="auto" w:fill="FFFFFF"/>
              </w:rPr>
              <w:t>.75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FA0050">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4.125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FA0050">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138.56-139.35</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695E69" w:rsidP="00FA0050">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500.97</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63181" w:rsidRDefault="00695E69" w:rsidP="00FA0050">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503.97</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FA0050">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4.215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6D0372">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132.53-133.33</w:t>
            </w:r>
          </w:p>
        </w:tc>
      </w:tr>
      <w:tr w:rsidR="006D0372"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507.75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508.25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-0.25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6D0372">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134.33-137.36</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503.75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504.25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-0.25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133.27-136.28</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490.25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490.75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0.75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183F2A" w:rsidP="00183F2A">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 </w:t>
            </w:r>
            <w:r w:rsidR="00695E69" w:rsidRPr="00695E69">
              <w:rPr>
                <w:rFonts w:hint="eastAsia"/>
                <w:color w:val="000000"/>
                <w:sz w:val="21"/>
                <w:szCs w:val="21"/>
                <w:shd w:val="clear" w:color="auto" w:fill="FFFFFF"/>
              </w:rPr>
              <w:t>129.70-132.64</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lastRenderedPageBreak/>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695E69" w:rsidP="00A63181">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500.75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A63181" w:rsidP="00183F2A">
            <w:pPr>
              <w:pStyle w:val="ab"/>
              <w:wordWrap w:val="0"/>
              <w:spacing w:before="0" w:beforeAutospacing="0" w:after="0" w:afterAutospacing="0" w:line="390" w:lineRule="atLeast"/>
              <w:jc w:val="center"/>
              <w:rPr>
                <w:color w:val="000000"/>
                <w:sz w:val="21"/>
                <w:szCs w:val="21"/>
                <w:shd w:val="clear" w:color="auto" w:fill="FFFFFF"/>
              </w:rPr>
            </w:pPr>
            <w:r w:rsidRPr="00A63181">
              <w:rPr>
                <w:rFonts w:hint="eastAsia"/>
                <w:color w:val="000000"/>
                <w:sz w:val="21"/>
                <w:szCs w:val="21"/>
                <w:shd w:val="clear" w:color="auto" w:fill="FFFFFF"/>
              </w:rPr>
              <w:t>510.25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0.25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6D0372">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132.47-135.47</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511.73</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512.08</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183F2A">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-2.65美分/加仑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95E69" w:rsidP="006D0372">
            <w:pPr>
              <w:pStyle w:val="ab"/>
              <w:wordWrap w:val="0"/>
              <w:spacing w:before="0" w:beforeAutospacing="0" w:after="0" w:afterAutospacing="0" w:line="390" w:lineRule="atLeast"/>
              <w:jc w:val="center"/>
              <w:rPr>
                <w:color w:val="000000"/>
                <w:sz w:val="21"/>
                <w:szCs w:val="21"/>
                <w:shd w:val="clear" w:color="auto" w:fill="FFFFFF"/>
              </w:rPr>
            </w:pPr>
            <w:r w:rsidRPr="00695E69">
              <w:rPr>
                <w:rFonts w:hint="eastAsia"/>
                <w:color w:val="000000"/>
                <w:sz w:val="21"/>
                <w:szCs w:val="21"/>
                <w:shd w:val="clear" w:color="auto" w:fill="FFFFFF"/>
              </w:rPr>
              <w:t>144.27-144.37</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D0372" w:rsidP="007326DF">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wordWrap w:val="0"/>
              <w:spacing w:before="0" w:beforeAutospacing="0" w:after="0" w:afterAutospacing="0" w:line="390" w:lineRule="atLeast"/>
              <w:jc w:val="center"/>
              <w:rPr>
                <w:color w:val="000000"/>
                <w:sz w:val="21"/>
                <w:szCs w:val="21"/>
              </w:rPr>
            </w:pPr>
            <w:r w:rsidRPr="006D0372">
              <w:rPr>
                <w:rFonts w:hint="eastAsia"/>
                <w:color w:val="000000"/>
                <w:sz w:val="21"/>
                <w:szCs w:val="21"/>
              </w:rPr>
              <w:t>-</w:t>
            </w:r>
          </w:p>
        </w:tc>
      </w:tr>
    </w:tbl>
    <w:p w:rsidR="00D766DC" w:rsidRDefault="00D766DC">
      <w:pPr>
        <w:widowControl/>
        <w:rPr>
          <w:rFonts w:ascii="宋体" w:hAnsi="宋体" w:cs="宋体"/>
          <w:sz w:val="20"/>
          <w:szCs w:val="20"/>
        </w:rPr>
      </w:pPr>
    </w:p>
    <w:p w:rsidR="00D766DC" w:rsidRDefault="00D766DC">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013FDF" w:rsidRDefault="00C22F47" w:rsidP="00C22F47">
      <w:pPr>
        <w:ind w:firstLineChars="200" w:firstLine="560"/>
        <w:rPr>
          <w:sz w:val="20"/>
          <w:szCs w:val="20"/>
        </w:rPr>
      </w:pPr>
      <w:r w:rsidRPr="00C22F47">
        <w:rPr>
          <w:rFonts w:ascii="华文仿宋" w:eastAsia="华文仿宋" w:hAnsi="华文仿宋" w:hint="eastAsia"/>
          <w:sz w:val="28"/>
          <w:szCs w:val="28"/>
        </w:rPr>
        <w:t>本周国内地炼石脑油市场价格持续上行势态。产油国联合减产执行率</w:t>
      </w:r>
      <w:r w:rsidR="005C1227">
        <w:rPr>
          <w:rFonts w:ascii="华文仿宋" w:eastAsia="华文仿宋" w:hAnsi="华文仿宋" w:hint="eastAsia"/>
          <w:sz w:val="28"/>
          <w:szCs w:val="28"/>
        </w:rPr>
        <w:t>仍处高位，国际原油期货价格再度收涨。临淄资源大量输往燕山石化，</w:t>
      </w:r>
      <w:r w:rsidRPr="00C22F47">
        <w:rPr>
          <w:rFonts w:ascii="华文仿宋" w:eastAsia="华文仿宋" w:hAnsi="华文仿宋" w:hint="eastAsia"/>
          <w:sz w:val="28"/>
          <w:szCs w:val="28"/>
        </w:rPr>
        <w:t>鑫泰目前石脑油无量外放，该批货源应为清源集团产品。山东地区高规格加氢裂化石脑油流向江苏太仓等地，主要用于高品质汽油调和。下游需求稳健，原油回暖迹</w:t>
      </w:r>
      <w:r>
        <w:rPr>
          <w:rFonts w:ascii="华文仿宋" w:eastAsia="华文仿宋" w:hAnsi="华文仿宋" w:hint="eastAsia"/>
          <w:sz w:val="28"/>
          <w:szCs w:val="28"/>
        </w:rPr>
        <w:t>象明显，尽管本轮成品油调价面临搁浅，地炼石脑油价格也将缓步上移</w:t>
      </w:r>
      <w:r w:rsidR="00630ED3" w:rsidRPr="00630ED3">
        <w:rPr>
          <w:rFonts w:ascii="华文仿宋" w:eastAsia="华文仿宋" w:hAnsi="华文仿宋" w:hint="eastAsia"/>
          <w:sz w:val="28"/>
          <w:szCs w:val="28"/>
        </w:rPr>
        <w:t>。</w:t>
      </w:r>
    </w:p>
    <w:p w:rsidR="00D766DC" w:rsidRDefault="00D766DC">
      <w:pPr>
        <w:rPr>
          <w:rFonts w:ascii="宋体" w:hAnsi="宋体"/>
          <w:b/>
          <w:sz w:val="28"/>
          <w:szCs w:val="28"/>
        </w:rPr>
      </w:pPr>
      <w:bookmarkStart w:id="18" w:name="_Toc281568203"/>
      <w:bookmarkStart w:id="19" w:name="_Toc296600813"/>
      <w:bookmarkStart w:id="20" w:name="_Toc460250406"/>
      <w:r>
        <w:rPr>
          <w:rFonts w:ascii="宋体" w:hAnsi="宋体" w:hint="eastAsia"/>
          <w:b/>
          <w:sz w:val="28"/>
          <w:szCs w:val="28"/>
        </w:rPr>
        <w:t>2.3本周国内石脑油价格汇总</w:t>
      </w:r>
      <w:bookmarkEnd w:id="18"/>
      <w:bookmarkEnd w:id="19"/>
      <w:bookmarkEnd w:id="20"/>
      <w:r>
        <w:rPr>
          <w:rFonts w:ascii="宋体" w:hAnsi="宋体"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690DD2">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10</w:t>
            </w:r>
            <w:r>
              <w:rPr>
                <w:rFonts w:ascii="宋体" w:hAnsi="宋体" w:cs="宋体" w:hint="eastAsia"/>
                <w:b/>
                <w:kern w:val="0"/>
                <w:sz w:val="20"/>
                <w:szCs w:val="20"/>
              </w:rPr>
              <w:t>-</w:t>
            </w:r>
            <w:r w:rsidR="00690DD2">
              <w:rPr>
                <w:rFonts w:ascii="宋体" w:hAnsi="宋体" w:cs="宋体" w:hint="eastAsia"/>
                <w:b/>
                <w:kern w:val="0"/>
                <w:sz w:val="20"/>
                <w:szCs w:val="20"/>
              </w:rPr>
              <w:t>13</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D1062" w:rsidP="00690DD2">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10</w:t>
            </w:r>
            <w:r>
              <w:rPr>
                <w:rFonts w:ascii="宋体" w:hAnsi="宋体" w:cs="宋体" w:hint="eastAsia"/>
                <w:b/>
                <w:kern w:val="0"/>
                <w:sz w:val="20"/>
                <w:szCs w:val="20"/>
              </w:rPr>
              <w:t>-</w:t>
            </w:r>
            <w:r w:rsidR="00690DD2">
              <w:rPr>
                <w:rFonts w:ascii="宋体" w:hAnsi="宋体" w:cs="宋体" w:hint="eastAsia"/>
                <w:b/>
                <w:kern w:val="0"/>
                <w:sz w:val="20"/>
                <w:szCs w:val="20"/>
              </w:rPr>
              <w:t>06</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4220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4220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5020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5000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5000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110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5160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5050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-30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4520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4550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lastRenderedPageBreak/>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100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5300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5200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5200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5200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r w:rsidR="00587D98"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587D98" w:rsidRPr="004F57CD" w:rsidRDefault="00587D98"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587D98" w:rsidRPr="00587D98" w:rsidRDefault="00587D98">
            <w:pPr>
              <w:jc w:val="center"/>
              <w:rPr>
                <w:rFonts w:asciiTheme="minorEastAsia" w:eastAsiaTheme="minorEastAsia" w:hAnsiTheme="minorEastAsia" w:cs="宋体"/>
                <w:sz w:val="20"/>
                <w:szCs w:val="20"/>
              </w:rPr>
            </w:pPr>
            <w:r w:rsidRPr="00587D98">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587D98" w:rsidRPr="00587D98" w:rsidRDefault="00587D98">
            <w:pPr>
              <w:jc w:val="center"/>
              <w:rPr>
                <w:rFonts w:asciiTheme="minorEastAsia" w:eastAsiaTheme="minorEastAsia" w:hAnsiTheme="minorEastAsia" w:cs="Tahoma"/>
                <w:sz w:val="20"/>
                <w:szCs w:val="20"/>
              </w:rPr>
            </w:pPr>
            <w:r w:rsidRPr="00587D98">
              <w:rPr>
                <w:rFonts w:asciiTheme="minorEastAsia" w:eastAsiaTheme="minorEastAsia" w:hAnsiTheme="minorEastAsia" w:cs="Tahoma"/>
                <w:sz w:val="20"/>
                <w:szCs w:val="20"/>
              </w:rPr>
              <w:t>0</w:t>
            </w:r>
          </w:p>
        </w:tc>
      </w:tr>
    </w:tbl>
    <w:p w:rsidR="00D766DC" w:rsidRDefault="00D766DC">
      <w:pPr>
        <w:pStyle w:val="2"/>
        <w:spacing w:line="240" w:lineRule="auto"/>
        <w:jc w:val="left"/>
        <w:rPr>
          <w:rFonts w:ascii="宋体" w:hAnsi="宋体"/>
          <w:b w:val="0"/>
          <w:szCs w:val="28"/>
        </w:rPr>
      </w:pPr>
    </w:p>
    <w:p w:rsidR="00D766DC" w:rsidRDefault="00D766DC">
      <w:pPr>
        <w:pStyle w:val="2"/>
        <w:spacing w:line="240" w:lineRule="auto"/>
        <w:jc w:val="left"/>
      </w:pPr>
      <w:r>
        <w:rPr>
          <w:rFonts w:ascii="宋体" w:hAnsi="宋体" w:hint="eastAsia"/>
          <w:b w:val="0"/>
          <w:szCs w:val="28"/>
        </w:rPr>
        <w:t>2.</w:t>
      </w:r>
      <w:r>
        <w:rPr>
          <w:rFonts w:ascii="宋体" w:hAnsi="宋体" w:hint="eastAsia"/>
          <w:b w:val="0"/>
          <w:bCs w:val="0"/>
          <w:szCs w:val="28"/>
        </w:rPr>
        <w:t xml:space="preserve"> </w:t>
      </w:r>
      <w:r>
        <w:rPr>
          <w:rFonts w:ascii="宋体" w:hAnsi="宋体" w:hint="eastAsia"/>
          <w:b w:val="0"/>
          <w:szCs w:val="28"/>
        </w:rPr>
        <w:t>4山东地炼石脑油价格走势图</w:t>
      </w:r>
      <w:bookmarkEnd w:id="21"/>
      <w:bookmarkEnd w:id="22"/>
      <w:bookmarkEnd w:id="23"/>
    </w:p>
    <w:p w:rsidR="00476DE0" w:rsidRPr="00476DE0" w:rsidRDefault="00244F15"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549900" cy="4901565"/>
            <wp:effectExtent l="19050" t="0" r="0" b="0"/>
            <wp:docPr id="4" name="图片 1" descr="C:\Users\Administrator\Desktop\QQ截图2017101313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71013133349.jpg"/>
                    <pic:cNvPicPr>
                      <a:picLocks noChangeAspect="1" noChangeArrowheads="1"/>
                    </pic:cNvPicPr>
                  </pic:nvPicPr>
                  <pic:blipFill>
                    <a:blip r:embed="rId46"/>
                    <a:srcRect/>
                    <a:stretch>
                      <a:fillRect/>
                    </a:stretch>
                  </pic:blipFill>
                  <pic:spPr bwMode="auto">
                    <a:xfrm>
                      <a:off x="0" y="0"/>
                      <a:ext cx="5549900" cy="4901565"/>
                    </a:xfrm>
                    <a:prstGeom prst="rect">
                      <a:avLst/>
                    </a:prstGeom>
                    <a:noFill/>
                    <a:ln w="9525">
                      <a:noFill/>
                      <a:miter lim="800000"/>
                      <a:headEnd/>
                      <a:tailEnd/>
                    </a:ln>
                  </pic:spPr>
                </pic:pic>
              </a:graphicData>
            </a:graphic>
          </wp:inline>
        </w:drawing>
      </w:r>
    </w:p>
    <w:p w:rsidR="00D766DC" w:rsidRDefault="00D766DC"/>
    <w:p w:rsidR="00D766DC" w:rsidRDefault="00D766DC">
      <w:pPr>
        <w:rPr>
          <w:sz w:val="20"/>
          <w:szCs w:val="20"/>
        </w:rPr>
      </w:pPr>
    </w:p>
    <w:p w:rsidR="00D766DC" w:rsidRDefault="00D766DC">
      <w:pPr>
        <w:rPr>
          <w:sz w:val="20"/>
          <w:szCs w:val="20"/>
        </w:rPr>
      </w:pPr>
    </w:p>
    <w:p w:rsidR="00D766DC" w:rsidRDefault="00D766DC">
      <w:pPr>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lastRenderedPageBreak/>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Default="00D766DC">
      <w:pPr>
        <w:pStyle w:val="1"/>
        <w:spacing w:line="360" w:lineRule="auto"/>
        <w:rPr>
          <w:rFonts w:ascii="宋体" w:hAnsi="宋体"/>
          <w:b w:val="0"/>
          <w:kern w:val="2"/>
          <w:sz w:val="28"/>
          <w:szCs w:val="28"/>
        </w:rPr>
      </w:pPr>
      <w:r>
        <w:rPr>
          <w:rFonts w:ascii="宋体" w:hAnsi="宋体" w:hint="eastAsia"/>
          <w:b w:val="0"/>
          <w:kern w:val="2"/>
          <w:sz w:val="28"/>
          <w:szCs w:val="28"/>
        </w:rPr>
        <w:t>3</w:t>
      </w:r>
      <w:r>
        <w:rPr>
          <w:rFonts w:ascii="宋体" w:hAnsi="宋体" w:hint="eastAsia"/>
          <w:b w:val="0"/>
          <w:kern w:val="2"/>
          <w:sz w:val="28"/>
          <w:szCs w:val="28"/>
        </w:rPr>
        <w:t>．</w:t>
      </w:r>
      <w:r>
        <w:rPr>
          <w:rFonts w:ascii="宋体" w:hAnsi="宋体" w:hint="eastAsia"/>
          <w:b w:val="0"/>
          <w:kern w:val="2"/>
          <w:sz w:val="28"/>
          <w:szCs w:val="28"/>
        </w:rPr>
        <w:t xml:space="preserve">1  </w:t>
      </w:r>
      <w:r>
        <w:rPr>
          <w:rFonts w:ascii="宋体" w:hAnsi="宋体" w:hint="eastAsia"/>
          <w:b w:val="0"/>
          <w:kern w:val="2"/>
          <w:sz w:val="28"/>
          <w:szCs w:val="28"/>
        </w:rPr>
        <w:t>成品油市场动态</w:t>
      </w:r>
      <w:bookmarkEnd w:id="30"/>
      <w:bookmarkEnd w:id="31"/>
      <w:bookmarkEnd w:id="32"/>
    </w:p>
    <w:p w:rsidR="009F05BF" w:rsidRPr="009F05BF" w:rsidRDefault="009F05BF" w:rsidP="009F05BF">
      <w:pPr>
        <w:ind w:firstLine="420"/>
        <w:rPr>
          <w:rFonts w:ascii="华文仿宋" w:eastAsia="华文仿宋" w:hAnsi="华文仿宋" w:hint="eastAsia"/>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9F05BF">
        <w:rPr>
          <w:rFonts w:ascii="华文仿宋" w:eastAsia="华文仿宋" w:hAnsi="华文仿宋" w:hint="eastAsia"/>
          <w:sz w:val="28"/>
          <w:szCs w:val="28"/>
        </w:rPr>
        <w:t>本周节后国内成品油市场整体处于稳中上涨的态势，国际原油三连涨对于油价形成支撑，加上国庆节后部分中游贸易商以及终端按需补货，柴油仍然反弹为主，汽油市场走势相对清淡，市场涨跌互现，下游操作较为谨慎，部分市场汽油交投清淡。</w:t>
      </w:r>
    </w:p>
    <w:p w:rsidR="009F05BF"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本周，华南地区成品油行情先抑后扬，市场交投气氛平平。其中，汽油方面：上涨30元/吨左右，柴油方面：上涨200元/吨左右。其中广东市场汽油价格小涨，下游用户消库为主，交投气氛清淡依然，柴油行情大幅上扬，下游用户消库之余按需购进，市场交投气氛不佳；福建地区主营单位汽油报价走高，购销氛围欠佳，海南市场汽油价格大幅走高，柴油主营单位报价上涨，下游用户消库之余按需购进，市场交投气氛平平。</w:t>
      </w:r>
    </w:p>
    <w:p w:rsidR="009F05BF"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西南地区汽柴行情震荡走高，市场成交气氛表现平淡。其中汽油上调幅度在50元/吨左右，柴油上调幅度是200元/吨左右。进入“双节”小长假，业者多消耗前期库存为主，市场成交基本停滞。由于假期期间，国际油价跌多涨少，节后返市，变化率转为负向区间运行，虽然后期原油价格连续反弹，但后市行情仍存变数，消息面对市场指引有限。</w:t>
      </w:r>
    </w:p>
    <w:p w:rsidR="009F05BF"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本周，华东地区柴油行情明显推涨，市场购销氛围偏淡。其中汽油小幅上调20元/吨左右，柴油上涨幅度达到200元/吨 ，“双节”归来，市场观望气氛难消。鉴于山东地炼柴油受升级、转产等影响价格飙升，华东主营柴油外采成本攀高，后期资源看紧预期强烈，价格疯狂推涨，下游业者对高价较为抵触，市场成</w:t>
      </w:r>
      <w:r w:rsidRPr="009F05BF">
        <w:rPr>
          <w:rFonts w:ascii="华文仿宋" w:eastAsia="华文仿宋" w:hAnsi="华文仿宋" w:hint="eastAsia"/>
          <w:sz w:val="28"/>
          <w:szCs w:val="28"/>
        </w:rPr>
        <w:lastRenderedPageBreak/>
        <w:t>交气氛不佳。而汽油行情波动则相对有限，江苏地区汽柴价格甚至倒挂，并且主营出货维持宽松优惠，部分业者入市逢低补仓。</w:t>
      </w:r>
    </w:p>
    <w:p w:rsidR="009F05BF"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华北地区成品油市场表现为柴涨汽跌，节后交投气氛好转。汽油市场：价格有所回落，跌落幅度在50-150元/吨；柴油市场：上涨幅度在150元/吨左右。进入下周，国际原油预计将振荡回落为主，下周四零售价搁浅与小跌概率并存，故消息面难寻实质利好。市场阶段性补货告一段路，而且十九大即将于下周召开，将影响华北部分地区的成品油运输，因此市场成交气氛将逐渐降温。整体来看，预计下周华北地区成品油行情有所承压。</w:t>
      </w:r>
    </w:p>
    <w:p w:rsidR="009F05BF"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本周，华中地区成品油市场高位波动，节后归来汽柴走势逐渐分化。周内恰逢国庆长假，节前主营单位汽柴价格推至高位，节后归来，国际油价宽幅震荡，本轮变化率由正向转为负向区间运行，市场观望氛围升温。此外，终端汽柴需求表现逐渐分化，其中柴油需求仍处“银十”旺季，而汽油需求逐渐归于平淡，因此节后部分主营适度下调汽油价格，而柴油价格仍试探推涨。其中柴油涨幅达50-150元/吨。</w:t>
      </w:r>
    </w:p>
    <w:p w:rsidR="009F05BF"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西北地炼汽柴行情涨后回落，市场成交气氛平淡。陕西地炼汽柴价格大幅跟涨。然进入“十一”小长假之后，国际原油走势转弱，且汽柴价格高位，业者抵触情绪明显，多退市消库为主，市场成交基本停滞，汽柴价格再度回落。节后返市，国际原油跌后反弹，但变化率维持负向区间波动，消息面对市场难有指引。此外，随着天气转冷，私家车出行减少，且近期暂无节假日提振，市场成交十分清淡；柴油方面，受多雨天气影响，柴油消费受到一定抑制，后期天气好转，业者入市适量补货，整体成交略好于汽油。</w:t>
      </w:r>
    </w:p>
    <w:p w:rsidR="00B72D56" w:rsidRPr="009F05BF" w:rsidRDefault="009F05BF" w:rsidP="009F05BF">
      <w:pPr>
        <w:ind w:firstLine="420"/>
        <w:rPr>
          <w:rFonts w:ascii="华文仿宋" w:eastAsia="华文仿宋" w:hAnsi="华文仿宋" w:hint="eastAsia"/>
          <w:sz w:val="28"/>
          <w:szCs w:val="28"/>
        </w:rPr>
      </w:pPr>
      <w:r w:rsidRPr="009F05BF">
        <w:rPr>
          <w:rFonts w:ascii="华文仿宋" w:eastAsia="华文仿宋" w:hAnsi="华文仿宋" w:hint="eastAsia"/>
          <w:sz w:val="28"/>
          <w:szCs w:val="28"/>
        </w:rPr>
        <w:t>后期预测，短期来看，国内成品油市场供应端不会出现大的改变，供应仍然</w:t>
      </w:r>
      <w:r w:rsidRPr="009F05BF">
        <w:rPr>
          <w:rFonts w:ascii="华文仿宋" w:eastAsia="华文仿宋" w:hAnsi="华文仿宋" w:hint="eastAsia"/>
          <w:sz w:val="28"/>
          <w:szCs w:val="28"/>
        </w:rPr>
        <w:lastRenderedPageBreak/>
        <w:t>适度宽松，下游柴油刚性需求支撑油价仍有反弹空间，汽油需求相对低迷，目前处于消费淡季，贸易商以及终端商观望气氛较浓；十九大召开在即，周边省市高速危化品运输限行，下游必须按需补货，加上国际原油高位窄幅震荡，预计成品油市场仍保持稳中上涨的态势，尽管山东地炼柴油零星下滑，属于阶段性的回调，不会对市场带来较大的利空影响。</w:t>
      </w:r>
    </w:p>
    <w:p w:rsidR="009F05BF" w:rsidRPr="009F05BF" w:rsidRDefault="009F05BF" w:rsidP="009F05BF">
      <w:pPr>
        <w:ind w:firstLine="420"/>
      </w:pPr>
    </w:p>
    <w:p w:rsidR="00D766DC" w:rsidRDefault="00D766DC" w:rsidP="00100B41">
      <w:r>
        <w:rPr>
          <w:rFonts w:ascii="黑体" w:hint="eastAsia"/>
          <w:b/>
          <w:bCs/>
          <w:sz w:val="28"/>
          <w:szCs w:val="28"/>
        </w:rPr>
        <w:t>四、国内溶剂油市场综述</w:t>
      </w:r>
    </w:p>
    <w:p w:rsidR="004B5ABD" w:rsidRPr="00111F37" w:rsidRDefault="00A74C7D" w:rsidP="00A74C7D">
      <w:pPr>
        <w:ind w:firstLineChars="200" w:firstLine="560"/>
        <w:rPr>
          <w:rFonts w:ascii="华文仿宋" w:eastAsia="华文仿宋" w:hAnsi="华文仿宋" w:cs="仿宋_GB2312"/>
          <w:sz w:val="28"/>
          <w:szCs w:val="28"/>
        </w:rPr>
      </w:pPr>
      <w:bookmarkStart w:id="42" w:name="_Toc460250411"/>
      <w:bookmarkEnd w:id="35"/>
      <w:bookmarkEnd w:id="36"/>
      <w:bookmarkEnd w:id="37"/>
      <w:bookmarkEnd w:id="38"/>
      <w:bookmarkEnd w:id="39"/>
      <w:r w:rsidRPr="00A74C7D">
        <w:rPr>
          <w:rFonts w:ascii="华文仿宋" w:eastAsia="华文仿宋" w:hAnsi="华文仿宋" w:cs="Arial" w:hint="eastAsia"/>
          <w:sz w:val="28"/>
          <w:szCs w:val="28"/>
        </w:rPr>
        <w:t>本周溶剂油市场价格整体呈现稳中上行的趋势，节后市场观望情绪相对浓厚，市场实际成交量相对有限，新一轮成品油调价存在搁浅可能，国际原油先扬后抑，目前溶剂油市场整体利好支撑不足。虽国际原油连涨支撑，目前市场整体购销氛围相对有限。非标溶剂油市场方面，受国际原油上涨的利好氛围下，非标溶剂油市场整体交投氛围尚可，目前价位已调涨至相对高位，高位续涨压力较大，仅零星低价资源出现小幅调整。由于天气转凉柴油换号工作或将逐渐开启，非标200#溶剂油市场价格或将进入需求王家，价格方面仍有小幅上行的空间。国标溶剂油市场，因需求面暂无明显利好支撑，国标溶剂油市场目前整体表现淡稳，市场整体交投氛围也并不积极，但在原料成本的压力支撑下，国标溶剂油市场短线或维持高位坚挺为主。预计短期溶剂油市场方面暂维持目前价位盘稳出货为主。</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134"/>
      </w:tblGrid>
      <w:tr w:rsidR="00240DF6" w:rsidRPr="00240DF6" w:rsidTr="00EF749C">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420769">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10</w:t>
            </w:r>
            <w:r w:rsidRPr="00240DF6">
              <w:rPr>
                <w:rFonts w:ascii="宋体" w:hAnsi="宋体" w:cs="宋体" w:hint="eastAsia"/>
                <w:b/>
                <w:bCs/>
                <w:color w:val="000000"/>
                <w:kern w:val="0"/>
                <w:sz w:val="20"/>
                <w:szCs w:val="20"/>
              </w:rPr>
              <w:t>-</w:t>
            </w:r>
            <w:r w:rsidR="00420769">
              <w:rPr>
                <w:rFonts w:ascii="宋体" w:hAnsi="宋体" w:cs="宋体" w:hint="eastAsia"/>
                <w:b/>
                <w:bCs/>
                <w:color w:val="000000"/>
                <w:kern w:val="0"/>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EF749C" w:rsidP="00420769">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10</w:t>
            </w:r>
            <w:r w:rsidRPr="00240DF6">
              <w:rPr>
                <w:rFonts w:ascii="宋体" w:hAnsi="宋体" w:cs="宋体" w:hint="eastAsia"/>
                <w:b/>
                <w:bCs/>
                <w:color w:val="000000"/>
                <w:kern w:val="0"/>
                <w:sz w:val="20"/>
                <w:szCs w:val="20"/>
              </w:rPr>
              <w:t>-</w:t>
            </w:r>
            <w:r w:rsidR="00420769">
              <w:rPr>
                <w:rFonts w:ascii="宋体" w:hAnsi="宋体" w:cs="宋体" w:hint="eastAsia"/>
                <w:b/>
                <w:bCs/>
                <w:color w:val="000000"/>
                <w:kern w:val="0"/>
                <w:sz w:val="20"/>
                <w:szCs w:val="20"/>
              </w:rPr>
              <w:t>06</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300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4000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3700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300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4850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4550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600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5100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4500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5700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5600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5400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5300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5300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5200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5500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5500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5000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5000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4850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4850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5400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5200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5200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5200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5400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5200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7150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7150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6050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5850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6850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6650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150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6900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6750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6400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6400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6000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6000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4400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4400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4400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4400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 xml:space="preserve">　</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5500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5500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6300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6200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r w:rsidR="00420769" w:rsidRPr="00240DF6" w:rsidTr="00EF749C">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240DF6" w:rsidRDefault="00420769"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宋体" w:hAnsi="宋体" w:cs="宋体"/>
                <w:sz w:val="20"/>
                <w:szCs w:val="20"/>
              </w:rPr>
            </w:pPr>
            <w:r w:rsidRPr="00420769">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c>
          <w:tcPr>
            <w:tcW w:w="1134" w:type="dxa"/>
            <w:tcBorders>
              <w:top w:val="single" w:sz="4" w:space="0" w:color="993366"/>
              <w:left w:val="single" w:sz="4" w:space="0" w:color="993366"/>
              <w:bottom w:val="single" w:sz="4" w:space="0" w:color="993366"/>
              <w:right w:val="single" w:sz="4" w:space="0" w:color="993366"/>
            </w:tcBorders>
            <w:vAlign w:val="center"/>
          </w:tcPr>
          <w:p w:rsidR="00420769" w:rsidRPr="00420769" w:rsidRDefault="00420769">
            <w:pPr>
              <w:jc w:val="center"/>
              <w:rPr>
                <w:rFonts w:ascii="Tahoma" w:hAnsi="Tahoma" w:cs="Tahoma"/>
                <w:sz w:val="20"/>
                <w:szCs w:val="20"/>
              </w:rPr>
            </w:pPr>
            <w:r w:rsidRPr="00420769">
              <w:rPr>
                <w:rFonts w:ascii="Tahoma" w:hAnsi="Tahom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166"/>
      </w:tblGrid>
      <w:tr w:rsidR="00FD2679" w:rsidTr="00E508F5">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420769">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10</w:t>
            </w:r>
            <w:r>
              <w:rPr>
                <w:rFonts w:ascii="宋体" w:hAnsi="宋体" w:cs="宋体" w:hint="eastAsia"/>
                <w:b/>
                <w:bCs/>
                <w:color w:val="000000"/>
                <w:kern w:val="0"/>
                <w:szCs w:val="21"/>
              </w:rPr>
              <w:t>-</w:t>
            </w:r>
            <w:r w:rsidR="00420769">
              <w:rPr>
                <w:rFonts w:ascii="宋体" w:hAnsi="宋体" w:cs="宋体" w:hint="eastAsia"/>
                <w:b/>
                <w:bCs/>
                <w:color w:val="000000"/>
                <w:kern w:val="0"/>
                <w:szCs w:val="21"/>
              </w:rPr>
              <w:t>13</w:t>
            </w:r>
          </w:p>
        </w:tc>
        <w:tc>
          <w:tcPr>
            <w:tcW w:w="116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420769">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10</w:t>
            </w:r>
            <w:r>
              <w:rPr>
                <w:rFonts w:ascii="宋体" w:hAnsi="宋体" w:cs="宋体" w:hint="eastAsia"/>
                <w:b/>
                <w:bCs/>
                <w:color w:val="000000"/>
                <w:kern w:val="0"/>
                <w:szCs w:val="21"/>
              </w:rPr>
              <w:t>-</w:t>
            </w:r>
            <w:r w:rsidR="00420769">
              <w:rPr>
                <w:rFonts w:ascii="宋体" w:hAnsi="宋体" w:cs="宋体" w:hint="eastAsia"/>
                <w:b/>
                <w:bCs/>
                <w:color w:val="000000"/>
                <w:kern w:val="0"/>
                <w:szCs w:val="21"/>
              </w:rPr>
              <w:t>6</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6195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6000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6795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6600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7395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7200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7655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7460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7655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7460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7655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7460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7395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7200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7655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7460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7395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7200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195</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6795</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6600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6100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6300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6300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7600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7600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7900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7900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8200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8200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8000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8000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7900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7900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8700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8700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6700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6600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6900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6900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7000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7000</w:t>
            </w:r>
          </w:p>
        </w:tc>
      </w:tr>
      <w:tr w:rsidR="00420769"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Default="00420769"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c>
          <w:tcPr>
            <w:tcW w:w="1166" w:type="dxa"/>
            <w:tcBorders>
              <w:top w:val="single" w:sz="4" w:space="0" w:color="993366"/>
              <w:left w:val="single" w:sz="4" w:space="0" w:color="993366"/>
              <w:bottom w:val="single" w:sz="4" w:space="0" w:color="993366"/>
              <w:right w:val="single" w:sz="4" w:space="0" w:color="993366"/>
            </w:tcBorders>
            <w:vAlign w:val="bottom"/>
          </w:tcPr>
          <w:p w:rsidR="00420769" w:rsidRPr="00420769" w:rsidRDefault="00420769">
            <w:pPr>
              <w:jc w:val="center"/>
              <w:rPr>
                <w:rFonts w:asciiTheme="minorEastAsia" w:eastAsiaTheme="minorEastAsia" w:hAnsiTheme="minorEastAsia" w:cs="宋体"/>
                <w:sz w:val="20"/>
                <w:szCs w:val="20"/>
              </w:rPr>
            </w:pPr>
            <w:r w:rsidRPr="00420769">
              <w:rPr>
                <w:rFonts w:asciiTheme="minorEastAsia" w:eastAsiaTheme="minorEastAsia" w:hAnsiTheme="minorEastAsia" w:hint="eastAsi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lastRenderedPageBreak/>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0" w:type="auto"/>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280"/>
        <w:gridCol w:w="1276"/>
      </w:tblGrid>
      <w:tr w:rsidR="00407D07" w:rsidTr="00E944D7">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2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2A0B34">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10</w:t>
            </w:r>
            <w:r>
              <w:rPr>
                <w:rFonts w:ascii="宋体" w:hAnsi="宋体" w:cs="宋体" w:hint="eastAsia"/>
                <w:b/>
                <w:bCs/>
                <w:color w:val="000000"/>
                <w:kern w:val="0"/>
                <w:szCs w:val="21"/>
              </w:rPr>
              <w:t>-</w:t>
            </w:r>
            <w:r w:rsidR="002A0B34">
              <w:rPr>
                <w:rFonts w:ascii="宋体" w:hAnsi="宋体" w:cs="宋体" w:hint="eastAsia"/>
                <w:b/>
                <w:bCs/>
                <w:color w:val="000000"/>
                <w:kern w:val="0"/>
                <w:szCs w:val="21"/>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rsidP="002A0B34">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10</w:t>
            </w:r>
            <w:r>
              <w:rPr>
                <w:rFonts w:ascii="宋体" w:hAnsi="宋体" w:cs="宋体" w:hint="eastAsia"/>
                <w:b/>
                <w:bCs/>
                <w:color w:val="000000"/>
                <w:kern w:val="0"/>
                <w:szCs w:val="21"/>
              </w:rPr>
              <w:t>-</w:t>
            </w:r>
            <w:r w:rsidR="002A0B34">
              <w:rPr>
                <w:rFonts w:ascii="宋体" w:hAnsi="宋体" w:cs="宋体" w:hint="eastAsia"/>
                <w:b/>
                <w:bCs/>
                <w:color w:val="000000"/>
                <w:kern w:val="0"/>
                <w:szCs w:val="21"/>
              </w:rPr>
              <w:t>6</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2A0B34" w:rsidRPr="002A0B34" w:rsidRDefault="002A0B34">
            <w:pPr>
              <w:jc w:val="center"/>
              <w:rPr>
                <w:rFonts w:asciiTheme="minorEastAsia" w:eastAsiaTheme="minorEastAsia" w:hAnsiTheme="minorEastAsia" w:cs="Tahoma"/>
                <w:sz w:val="20"/>
                <w:szCs w:val="20"/>
              </w:rPr>
            </w:pPr>
            <w:r w:rsidRPr="002A0B34">
              <w:rPr>
                <w:rFonts w:asciiTheme="minorEastAsia" w:eastAsiaTheme="minorEastAsia" w:hAnsiTheme="minorEastAsia" w:cs="Tahom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5600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5600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5500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5500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300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4600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4300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7100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7150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7100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7150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7100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7150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6300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6350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-50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6050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6100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r w:rsidR="002A0B34" w:rsidTr="00690DD2">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2A0B34" w:rsidRDefault="002A0B3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80" w:type="dxa"/>
            <w:tcBorders>
              <w:top w:val="single" w:sz="4" w:space="0" w:color="993366"/>
              <w:left w:val="single" w:sz="4" w:space="0" w:color="993366"/>
              <w:bottom w:val="single" w:sz="4" w:space="0" w:color="993366"/>
              <w:right w:val="single" w:sz="4" w:space="0" w:color="993366"/>
            </w:tcBorders>
            <w:vAlign w:val="center"/>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c>
          <w:tcPr>
            <w:tcW w:w="1276" w:type="dxa"/>
            <w:tcBorders>
              <w:top w:val="single" w:sz="4" w:space="0" w:color="993366"/>
              <w:left w:val="single" w:sz="4" w:space="0" w:color="993366"/>
              <w:bottom w:val="single" w:sz="4" w:space="0" w:color="993366"/>
              <w:right w:val="single" w:sz="4" w:space="0" w:color="993366"/>
            </w:tcBorders>
            <w:vAlign w:val="bottom"/>
          </w:tcPr>
          <w:p w:rsidR="002A0B34" w:rsidRPr="002A0B34" w:rsidRDefault="002A0B34">
            <w:pPr>
              <w:jc w:val="center"/>
              <w:rPr>
                <w:rFonts w:asciiTheme="minorEastAsia" w:eastAsiaTheme="minorEastAsia" w:hAnsiTheme="minorEastAsia" w:cs="宋体"/>
                <w:sz w:val="20"/>
                <w:szCs w:val="20"/>
              </w:rPr>
            </w:pPr>
            <w:r w:rsidRPr="002A0B34">
              <w:rPr>
                <w:rFonts w:asciiTheme="minorEastAsia" w:eastAsiaTheme="minorEastAsia" w:hAnsiTheme="minorEastAsia" w:hint="eastAsi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314"/>
      </w:tblGrid>
      <w:tr w:rsidR="00D766DC">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8D3798">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8D3798">
              <w:rPr>
                <w:rFonts w:ascii="宋体" w:hAnsi="宋体" w:cs="宋体" w:hint="eastAsia"/>
                <w:b/>
                <w:bCs/>
                <w:color w:val="000000"/>
                <w:kern w:val="0"/>
                <w:szCs w:val="21"/>
              </w:rPr>
              <w:t>10</w:t>
            </w:r>
            <w:r>
              <w:rPr>
                <w:rFonts w:ascii="宋体" w:hAnsi="宋体" w:cs="宋体" w:hint="eastAsia"/>
                <w:b/>
                <w:bCs/>
                <w:color w:val="000000"/>
                <w:kern w:val="0"/>
                <w:szCs w:val="21"/>
              </w:rPr>
              <w:t>-</w:t>
            </w:r>
            <w:r w:rsidR="008D3798">
              <w:rPr>
                <w:rFonts w:ascii="宋体" w:hAnsi="宋体" w:cs="宋体" w:hint="eastAsia"/>
                <w:b/>
                <w:bCs/>
                <w:color w:val="000000"/>
                <w:kern w:val="0"/>
                <w:szCs w:val="21"/>
              </w:rPr>
              <w:t>13</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BC3AF2">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BC3AF2">
              <w:rPr>
                <w:rFonts w:ascii="宋体" w:hAnsi="宋体" w:cs="宋体" w:hint="eastAsia"/>
                <w:b/>
                <w:bCs/>
                <w:color w:val="000000"/>
                <w:kern w:val="0"/>
                <w:szCs w:val="21"/>
              </w:rPr>
              <w:t>10</w:t>
            </w:r>
            <w:r w:rsidR="004F7B37">
              <w:rPr>
                <w:rFonts w:ascii="宋体" w:hAnsi="宋体" w:cs="宋体" w:hint="eastAsia"/>
                <w:b/>
                <w:bCs/>
                <w:color w:val="000000"/>
                <w:kern w:val="0"/>
                <w:szCs w:val="21"/>
              </w:rPr>
              <w:t>-</w:t>
            </w:r>
            <w:r w:rsidR="00BC3AF2">
              <w:rPr>
                <w:rFonts w:ascii="宋体" w:hAnsi="宋体" w:cs="宋体" w:hint="eastAsia"/>
                <w:b/>
                <w:bCs/>
                <w:color w:val="000000"/>
                <w:kern w:val="0"/>
                <w:szCs w:val="21"/>
              </w:rPr>
              <w:t>6</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6700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6700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6650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6650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300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6650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6350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6700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6700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300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6600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6300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6800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6800</w:t>
            </w:r>
          </w:p>
        </w:tc>
      </w:tr>
      <w:tr w:rsidR="008D3798">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3798" w:rsidRDefault="008D37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3798" w:rsidRPr="008D3798" w:rsidRDefault="008D3798">
            <w:pPr>
              <w:jc w:val="center"/>
              <w:rPr>
                <w:rFonts w:asciiTheme="minorEastAsia" w:eastAsiaTheme="minorEastAsia" w:hAnsiTheme="minorEastAsia" w:cs="宋体"/>
                <w:sz w:val="20"/>
                <w:szCs w:val="20"/>
              </w:rPr>
            </w:pPr>
            <w:r w:rsidRPr="008D37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c>
          <w:tcPr>
            <w:tcW w:w="1314" w:type="dxa"/>
            <w:tcBorders>
              <w:top w:val="single" w:sz="4" w:space="0" w:color="993366"/>
              <w:left w:val="single" w:sz="4" w:space="0" w:color="993366"/>
              <w:bottom w:val="single" w:sz="4" w:space="0" w:color="993366"/>
              <w:right w:val="single" w:sz="4" w:space="0" w:color="993366"/>
            </w:tcBorders>
            <w:vAlign w:val="center"/>
          </w:tcPr>
          <w:p w:rsidR="008D3798" w:rsidRPr="008D3798" w:rsidRDefault="008D3798">
            <w:pPr>
              <w:jc w:val="center"/>
              <w:rPr>
                <w:rFonts w:asciiTheme="minorEastAsia" w:eastAsiaTheme="minorEastAsia" w:hAnsiTheme="minorEastAsia" w:cs="Tahoma"/>
                <w:sz w:val="20"/>
                <w:szCs w:val="20"/>
              </w:rPr>
            </w:pPr>
            <w:r w:rsidRPr="008D3798">
              <w:rPr>
                <w:rFonts w:asciiTheme="minorEastAsia" w:eastAsiaTheme="minorEastAsia" w:hAnsiTheme="minorEastAsi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730BB5" w:rsidRPr="00832565">
        <w:rPr>
          <w:rFonts w:ascii="黑体" w:hAnsi="宋体" w:hint="eastAsia"/>
          <w:bCs w:val="0"/>
          <w:sz w:val="28"/>
          <w:szCs w:val="28"/>
        </w:rPr>
        <w:t>8</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730BB5">
        <w:rPr>
          <w:rFonts w:ascii="宋体" w:hAnsi="宋体" w:hint="eastAsia"/>
          <w:b/>
          <w:bCs/>
          <w:kern w:val="44"/>
          <w:sz w:val="20"/>
          <w:szCs w:val="20"/>
        </w:rPr>
        <w:t>8</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lastRenderedPageBreak/>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4695" w:type="pct"/>
        <w:tblInd w:w="250" w:type="dxa"/>
        <w:tblLook w:val="04A0"/>
      </w:tblPr>
      <w:tblGrid>
        <w:gridCol w:w="1558"/>
        <w:gridCol w:w="1985"/>
        <w:gridCol w:w="2228"/>
        <w:gridCol w:w="1564"/>
        <w:gridCol w:w="2019"/>
      </w:tblGrid>
      <w:tr w:rsidR="00730BB5" w:rsidRPr="00730BB5" w:rsidTr="00730BB5">
        <w:trPr>
          <w:trHeight w:val="300"/>
        </w:trPr>
        <w:tc>
          <w:tcPr>
            <w:tcW w:w="833" w:type="pct"/>
            <w:tcBorders>
              <w:top w:val="single" w:sz="12" w:space="0" w:color="000000"/>
              <w:left w:val="single" w:sz="12" w:space="0" w:color="000000"/>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产销国</w:t>
            </w:r>
          </w:p>
        </w:tc>
        <w:tc>
          <w:tcPr>
            <w:tcW w:w="1061"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进口数量</w:t>
            </w:r>
          </w:p>
        </w:tc>
        <w:tc>
          <w:tcPr>
            <w:tcW w:w="1191"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进口美元</w:t>
            </w:r>
          </w:p>
        </w:tc>
        <w:tc>
          <w:tcPr>
            <w:tcW w:w="836"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出口数量</w:t>
            </w:r>
          </w:p>
        </w:tc>
        <w:tc>
          <w:tcPr>
            <w:tcW w:w="1079" w:type="pct"/>
            <w:tcBorders>
              <w:top w:val="single" w:sz="12" w:space="0" w:color="000000"/>
              <w:left w:val="nil"/>
              <w:bottom w:val="single" w:sz="12" w:space="0" w:color="000000"/>
              <w:right w:val="single" w:sz="12" w:space="0" w:color="000000"/>
            </w:tcBorders>
            <w:shd w:val="clear" w:color="000000" w:fill="00CCFF"/>
            <w:hideMark/>
          </w:tcPr>
          <w:p w:rsidR="00730BB5" w:rsidRPr="00730BB5" w:rsidRDefault="00730BB5" w:rsidP="00730BB5">
            <w:pPr>
              <w:widowControl/>
              <w:jc w:val="center"/>
              <w:rPr>
                <w:rFonts w:ascii="宋体" w:hAnsi="宋体" w:cs="宋体"/>
                <w:b/>
                <w:bCs/>
                <w:color w:val="000000"/>
                <w:kern w:val="0"/>
                <w:szCs w:val="21"/>
              </w:rPr>
            </w:pPr>
            <w:r w:rsidRPr="00730BB5">
              <w:rPr>
                <w:rFonts w:ascii="宋体" w:hAnsi="宋体" w:cs="宋体" w:hint="eastAsia"/>
                <w:b/>
                <w:bCs/>
                <w:color w:val="000000"/>
                <w:kern w:val="0"/>
                <w:szCs w:val="21"/>
              </w:rPr>
              <w:t>出口美元</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47" w:history="1">
              <w:r w:rsidR="00730BB5" w:rsidRPr="00730BB5">
                <w:rPr>
                  <w:rFonts w:ascii="宋体" w:hAnsi="宋体" w:cs="宋体" w:hint="eastAsia"/>
                  <w:color w:val="000000"/>
                  <w:kern w:val="0"/>
                  <w:sz w:val="20"/>
                </w:rPr>
                <w:t>比利时</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2559</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$7,886.00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48" w:history="1">
              <w:r w:rsidR="00730BB5" w:rsidRPr="00730BB5">
                <w:rPr>
                  <w:rFonts w:ascii="宋体" w:hAnsi="宋体" w:cs="宋体" w:hint="eastAsia"/>
                  <w:color w:val="000000"/>
                  <w:kern w:val="0"/>
                  <w:sz w:val="20"/>
                </w:rPr>
                <w:t>朝鲜</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29660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$41,524.00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49" w:history="1">
              <w:r w:rsidR="00730BB5" w:rsidRPr="00730BB5">
                <w:rPr>
                  <w:rFonts w:ascii="宋体" w:hAnsi="宋体" w:cs="宋体" w:hint="eastAsia"/>
                  <w:color w:val="000000"/>
                  <w:kern w:val="0"/>
                  <w:sz w:val="20"/>
                </w:rPr>
                <w:t>德国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39950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$27,994.00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0" w:history="1">
              <w:r w:rsidR="00730BB5" w:rsidRPr="00730BB5">
                <w:rPr>
                  <w:rFonts w:ascii="宋体" w:hAnsi="宋体" w:cs="宋体" w:hint="eastAsia"/>
                  <w:color w:val="000000"/>
                  <w:kern w:val="0"/>
                  <w:sz w:val="20"/>
                </w:rPr>
                <w:t>法国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18240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$15,103.00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1" w:history="1">
              <w:r w:rsidR="00730BB5" w:rsidRPr="00730BB5">
                <w:rPr>
                  <w:rFonts w:ascii="宋体" w:hAnsi="宋体" w:cs="宋体" w:hint="eastAsia"/>
                  <w:color w:val="000000"/>
                  <w:kern w:val="0"/>
                  <w:sz w:val="20"/>
                </w:rPr>
                <w:t>韩国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176610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$182,287.00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98570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$90,786.00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2" w:history="1">
              <w:r w:rsidR="00730BB5" w:rsidRPr="00730BB5">
                <w:rPr>
                  <w:rFonts w:ascii="宋体" w:hAnsi="宋体" w:cs="宋体" w:hint="eastAsia"/>
                  <w:color w:val="000000"/>
                  <w:kern w:val="0"/>
                  <w:sz w:val="20"/>
                </w:rPr>
                <w:t>荷兰</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1216</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$3,929.00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3" w:history="1">
              <w:r w:rsidR="00730BB5" w:rsidRPr="00730BB5">
                <w:rPr>
                  <w:rFonts w:ascii="宋体" w:hAnsi="宋体" w:cs="宋体" w:hint="eastAsia"/>
                  <w:color w:val="000000"/>
                  <w:kern w:val="0"/>
                  <w:sz w:val="20"/>
                </w:rPr>
                <w:t>美国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760122</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$1,034,694.00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4" w:history="1">
              <w:r w:rsidR="00730BB5" w:rsidRPr="00730BB5">
                <w:rPr>
                  <w:rFonts w:ascii="宋体" w:hAnsi="宋体" w:cs="宋体" w:hint="eastAsia"/>
                  <w:color w:val="000000"/>
                  <w:kern w:val="0"/>
                  <w:sz w:val="20"/>
                </w:rPr>
                <w:t>蒙古</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15010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$14,501.00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5" w:history="1">
              <w:r w:rsidR="00730BB5" w:rsidRPr="00730BB5">
                <w:rPr>
                  <w:rFonts w:ascii="宋体" w:hAnsi="宋体" w:cs="宋体" w:hint="eastAsia"/>
                  <w:color w:val="000000"/>
                  <w:kern w:val="0"/>
                  <w:sz w:val="20"/>
                </w:rPr>
                <w:t>日本</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12957</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$55,514.00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5</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6" w:history="1">
              <w:r w:rsidR="00730BB5" w:rsidRPr="00730BB5">
                <w:rPr>
                  <w:rFonts w:ascii="宋体" w:hAnsi="宋体" w:cs="宋体" w:hint="eastAsia"/>
                  <w:color w:val="000000"/>
                  <w:kern w:val="0"/>
                  <w:sz w:val="20"/>
                </w:rPr>
                <w:t>瑞典</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80060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$52,840.00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7" w:history="1">
              <w:r w:rsidR="00730BB5" w:rsidRPr="00730BB5">
                <w:rPr>
                  <w:rFonts w:ascii="宋体" w:hAnsi="宋体" w:cs="宋体" w:hint="eastAsia"/>
                  <w:color w:val="000000"/>
                  <w:kern w:val="0"/>
                  <w:sz w:val="20"/>
                </w:rPr>
                <w:t>台湾省</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10728</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$22,060.00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22820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$24,772.00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8" w:history="1">
              <w:r w:rsidR="00730BB5" w:rsidRPr="00730BB5">
                <w:rPr>
                  <w:rFonts w:ascii="宋体" w:hAnsi="宋体" w:cs="宋体" w:hint="eastAsia"/>
                  <w:color w:val="000000"/>
                  <w:kern w:val="0"/>
                  <w:sz w:val="20"/>
                </w:rPr>
                <w:t>泰国</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12937</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$14,630.00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59" w:history="1">
              <w:r w:rsidR="00730BB5" w:rsidRPr="00730BB5">
                <w:rPr>
                  <w:rFonts w:ascii="宋体" w:hAnsi="宋体" w:cs="宋体" w:hint="eastAsia"/>
                  <w:color w:val="000000"/>
                  <w:kern w:val="0"/>
                  <w:sz w:val="20"/>
                </w:rPr>
                <w:t>土耳其</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100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$1,171.00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60" w:history="1">
              <w:r w:rsidR="00730BB5" w:rsidRPr="00730BB5">
                <w:rPr>
                  <w:rFonts w:ascii="宋体" w:hAnsi="宋体" w:cs="宋体" w:hint="eastAsia"/>
                  <w:color w:val="000000"/>
                  <w:kern w:val="0"/>
                  <w:sz w:val="20"/>
                </w:rPr>
                <w:t>香港</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183520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$123,378.00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61" w:history="1">
              <w:r w:rsidR="00730BB5" w:rsidRPr="00730BB5">
                <w:rPr>
                  <w:rFonts w:ascii="宋体" w:hAnsi="宋体" w:cs="宋体" w:hint="eastAsia"/>
                  <w:color w:val="000000"/>
                  <w:kern w:val="0"/>
                  <w:sz w:val="20"/>
                </w:rPr>
                <w:t>新加坡</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663112</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$846,535.00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62" w:history="1">
              <w:r w:rsidR="00730BB5" w:rsidRPr="00730BB5">
                <w:rPr>
                  <w:rFonts w:ascii="宋体" w:hAnsi="宋体" w:cs="宋体" w:hint="eastAsia"/>
                  <w:color w:val="000000"/>
                  <w:kern w:val="0"/>
                  <w:sz w:val="20"/>
                </w:rPr>
                <w:t>牙买加</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2540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$4,868.00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63" w:history="1">
              <w:r w:rsidR="00730BB5" w:rsidRPr="00730BB5">
                <w:rPr>
                  <w:rFonts w:ascii="宋体" w:hAnsi="宋体" w:cs="宋体" w:hint="eastAsia"/>
                  <w:color w:val="000000"/>
                  <w:kern w:val="0"/>
                  <w:sz w:val="20"/>
                </w:rPr>
                <w:t>越南</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16240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$4,966.00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A20C84" w:rsidP="00730BB5">
            <w:pPr>
              <w:widowControl/>
              <w:jc w:val="center"/>
              <w:rPr>
                <w:rFonts w:ascii="宋体" w:hAnsi="宋体" w:cs="宋体"/>
                <w:color w:val="000000"/>
                <w:kern w:val="0"/>
                <w:sz w:val="20"/>
                <w:szCs w:val="20"/>
              </w:rPr>
            </w:pPr>
            <w:hyperlink r:id="rId64" w:history="1">
              <w:r w:rsidR="00730BB5" w:rsidRPr="00730BB5">
                <w:rPr>
                  <w:rFonts w:ascii="宋体" w:hAnsi="宋体" w:cs="宋体" w:hint="eastAsia"/>
                  <w:color w:val="000000"/>
                  <w:kern w:val="0"/>
                  <w:sz w:val="20"/>
                </w:rPr>
                <w:t>越南</w:t>
              </w:r>
            </w:hyperlink>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0</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$0.00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2640</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$2,376.00 </w:t>
            </w:r>
          </w:p>
        </w:tc>
      </w:tr>
      <w:tr w:rsidR="00730BB5" w:rsidRPr="00730BB5" w:rsidTr="00730BB5">
        <w:trPr>
          <w:trHeight w:val="300"/>
        </w:trPr>
        <w:tc>
          <w:tcPr>
            <w:tcW w:w="833" w:type="pct"/>
            <w:tcBorders>
              <w:top w:val="nil"/>
              <w:left w:val="single" w:sz="12" w:space="0" w:color="000000"/>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2017</w:t>
            </w:r>
          </w:p>
        </w:tc>
        <w:tc>
          <w:tcPr>
            <w:tcW w:w="106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1778591</w:t>
            </w:r>
          </w:p>
        </w:tc>
        <w:tc>
          <w:tcPr>
            <w:tcW w:w="1191"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$2,264,643.00 </w:t>
            </w:r>
          </w:p>
        </w:tc>
        <w:tc>
          <w:tcPr>
            <w:tcW w:w="836"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368365</w:t>
            </w:r>
          </w:p>
        </w:tc>
        <w:tc>
          <w:tcPr>
            <w:tcW w:w="1079" w:type="pct"/>
            <w:tcBorders>
              <w:top w:val="nil"/>
              <w:left w:val="nil"/>
              <w:bottom w:val="single" w:sz="12" w:space="0" w:color="000000"/>
              <w:right w:val="single" w:sz="12" w:space="0" w:color="000000"/>
            </w:tcBorders>
            <w:shd w:val="clear" w:color="auto" w:fill="auto"/>
            <w:vAlign w:val="center"/>
            <w:hideMark/>
          </w:tcPr>
          <w:p w:rsidR="00730BB5" w:rsidRPr="00730BB5" w:rsidRDefault="00730BB5" w:rsidP="00730BB5">
            <w:pPr>
              <w:widowControl/>
              <w:jc w:val="center"/>
              <w:rPr>
                <w:rFonts w:ascii="宋体" w:hAnsi="宋体" w:cs="宋体"/>
                <w:color w:val="000000"/>
                <w:kern w:val="0"/>
                <w:sz w:val="20"/>
                <w:szCs w:val="20"/>
              </w:rPr>
            </w:pPr>
            <w:r w:rsidRPr="00730BB5">
              <w:rPr>
                <w:rFonts w:ascii="宋体" w:hAnsi="宋体" w:cs="宋体" w:hint="eastAsia"/>
                <w:color w:val="000000"/>
                <w:kern w:val="0"/>
                <w:sz w:val="20"/>
                <w:szCs w:val="20"/>
              </w:rPr>
              <w:t xml:space="preserve">$304,821.00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672B6D">
        <w:rPr>
          <w:rFonts w:ascii="宋体" w:hAnsi="宋体" w:hint="eastAsia"/>
          <w:b/>
          <w:bCs/>
          <w:kern w:val="44"/>
          <w:sz w:val="20"/>
          <w:szCs w:val="20"/>
        </w:rPr>
        <w:t>8</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4696" w:type="pct"/>
        <w:tblInd w:w="250" w:type="dxa"/>
        <w:tblLook w:val="04A0"/>
      </w:tblPr>
      <w:tblGrid>
        <w:gridCol w:w="1560"/>
        <w:gridCol w:w="2012"/>
        <w:gridCol w:w="2382"/>
        <w:gridCol w:w="1559"/>
        <w:gridCol w:w="1843"/>
      </w:tblGrid>
      <w:tr w:rsidR="005B5D5F" w:rsidRPr="005B5D5F" w:rsidTr="005B5D5F">
        <w:trPr>
          <w:trHeight w:val="300"/>
        </w:trPr>
        <w:tc>
          <w:tcPr>
            <w:tcW w:w="834" w:type="pct"/>
            <w:tcBorders>
              <w:top w:val="single" w:sz="12" w:space="0" w:color="000000"/>
              <w:left w:val="single" w:sz="12" w:space="0" w:color="000000"/>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产销国</w:t>
            </w:r>
          </w:p>
        </w:tc>
        <w:tc>
          <w:tcPr>
            <w:tcW w:w="1075"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进口数量</w:t>
            </w:r>
          </w:p>
        </w:tc>
        <w:tc>
          <w:tcPr>
            <w:tcW w:w="1273"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进口美元</w:t>
            </w:r>
          </w:p>
        </w:tc>
        <w:tc>
          <w:tcPr>
            <w:tcW w:w="833"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出口数量</w:t>
            </w:r>
          </w:p>
        </w:tc>
        <w:tc>
          <w:tcPr>
            <w:tcW w:w="985" w:type="pct"/>
            <w:tcBorders>
              <w:top w:val="single" w:sz="12" w:space="0" w:color="000000"/>
              <w:left w:val="nil"/>
              <w:bottom w:val="single" w:sz="12" w:space="0" w:color="000000"/>
              <w:right w:val="single" w:sz="12" w:space="0" w:color="000000"/>
            </w:tcBorders>
            <w:shd w:val="clear" w:color="000000" w:fill="00CCFF"/>
            <w:hideMark/>
          </w:tcPr>
          <w:p w:rsidR="005B5D5F" w:rsidRPr="005B5D5F" w:rsidRDefault="005B5D5F" w:rsidP="005B5D5F">
            <w:pPr>
              <w:widowControl/>
              <w:jc w:val="center"/>
              <w:rPr>
                <w:rFonts w:ascii="宋体" w:hAnsi="宋体" w:cs="宋体"/>
                <w:b/>
                <w:bCs/>
                <w:color w:val="000000"/>
                <w:kern w:val="0"/>
                <w:szCs w:val="21"/>
              </w:rPr>
            </w:pPr>
            <w:r w:rsidRPr="005B5D5F">
              <w:rPr>
                <w:rFonts w:ascii="宋体" w:hAnsi="宋体" w:cs="宋体" w:hint="eastAsia"/>
                <w:b/>
                <w:bCs/>
                <w:color w:val="000000"/>
                <w:kern w:val="0"/>
                <w:szCs w:val="21"/>
              </w:rPr>
              <w:t>出口美元</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65" w:history="1">
              <w:r w:rsidR="005B5D5F" w:rsidRPr="005B5D5F">
                <w:rPr>
                  <w:rFonts w:ascii="宋体" w:hAnsi="宋体" w:cs="宋体" w:hint="eastAsia"/>
                  <w:color w:val="000000"/>
                  <w:kern w:val="0"/>
                  <w:sz w:val="20"/>
                </w:rPr>
                <w:t>俄罗斯联邦</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60745512</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$24,422,930.00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66" w:history="1">
              <w:r w:rsidR="005B5D5F" w:rsidRPr="005B5D5F">
                <w:rPr>
                  <w:rFonts w:ascii="宋体" w:hAnsi="宋体" w:cs="宋体" w:hint="eastAsia"/>
                  <w:color w:val="000000"/>
                  <w:kern w:val="0"/>
                  <w:sz w:val="20"/>
                </w:rPr>
                <w:t>韩国</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231032877</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$103,731,469.00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67" w:history="1">
              <w:r w:rsidR="005B5D5F" w:rsidRPr="005B5D5F">
                <w:rPr>
                  <w:rFonts w:ascii="宋体" w:hAnsi="宋体" w:cs="宋体" w:hint="eastAsia"/>
                  <w:color w:val="000000"/>
                  <w:kern w:val="0"/>
                  <w:sz w:val="20"/>
                </w:rPr>
                <w:t>卡塔尔</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78652870</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$32,406,198.00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68" w:history="1">
              <w:r w:rsidR="005B5D5F" w:rsidRPr="005B5D5F">
                <w:rPr>
                  <w:rFonts w:ascii="宋体" w:hAnsi="宋体" w:cs="宋体" w:hint="eastAsia"/>
                  <w:color w:val="000000"/>
                  <w:kern w:val="0"/>
                  <w:sz w:val="20"/>
                </w:rPr>
                <w:t>科威特</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81439000</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$37,959,118.00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69" w:history="1">
              <w:r w:rsidR="005B5D5F" w:rsidRPr="005B5D5F">
                <w:rPr>
                  <w:rFonts w:ascii="宋体" w:hAnsi="宋体" w:cs="宋体" w:hint="eastAsia"/>
                  <w:color w:val="000000"/>
                  <w:kern w:val="0"/>
                  <w:sz w:val="20"/>
                </w:rPr>
                <w:t>美国</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58572255</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$25,131,585.00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70" w:history="1">
              <w:r w:rsidR="005B5D5F" w:rsidRPr="005B5D5F">
                <w:rPr>
                  <w:rFonts w:ascii="宋体" w:hAnsi="宋体" w:cs="宋体" w:hint="eastAsia"/>
                  <w:color w:val="000000"/>
                  <w:kern w:val="0"/>
                  <w:sz w:val="20"/>
                </w:rPr>
                <w:t>沙特阿拉伯</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32484140</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$15,449,736.00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A20C84" w:rsidP="005B5D5F">
            <w:pPr>
              <w:widowControl/>
              <w:jc w:val="center"/>
              <w:rPr>
                <w:rFonts w:ascii="宋体" w:hAnsi="宋体" w:cs="宋体"/>
                <w:color w:val="000000"/>
                <w:kern w:val="0"/>
                <w:sz w:val="20"/>
                <w:szCs w:val="20"/>
              </w:rPr>
            </w:pPr>
            <w:hyperlink r:id="rId71" w:history="1">
              <w:r w:rsidR="005B5D5F" w:rsidRPr="005B5D5F">
                <w:rPr>
                  <w:rFonts w:ascii="宋体" w:hAnsi="宋体" w:cs="宋体" w:hint="eastAsia"/>
                  <w:color w:val="000000"/>
                  <w:kern w:val="0"/>
                  <w:sz w:val="20"/>
                </w:rPr>
                <w:t>印度</w:t>
              </w:r>
            </w:hyperlink>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31414854</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$14,871,007.00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r w:rsidR="005B5D5F" w:rsidRPr="005B5D5F" w:rsidTr="005B5D5F">
        <w:trPr>
          <w:trHeight w:val="300"/>
        </w:trPr>
        <w:tc>
          <w:tcPr>
            <w:tcW w:w="834" w:type="pct"/>
            <w:tcBorders>
              <w:top w:val="nil"/>
              <w:left w:val="single" w:sz="12" w:space="0" w:color="000000"/>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2017</w:t>
            </w:r>
          </w:p>
        </w:tc>
        <w:tc>
          <w:tcPr>
            <w:tcW w:w="107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574341508</w:t>
            </w:r>
          </w:p>
        </w:tc>
        <w:tc>
          <w:tcPr>
            <w:tcW w:w="127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$253,972,043.00 </w:t>
            </w:r>
          </w:p>
        </w:tc>
        <w:tc>
          <w:tcPr>
            <w:tcW w:w="833"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0</w:t>
            </w:r>
          </w:p>
        </w:tc>
        <w:tc>
          <w:tcPr>
            <w:tcW w:w="985" w:type="pct"/>
            <w:tcBorders>
              <w:top w:val="nil"/>
              <w:left w:val="nil"/>
              <w:bottom w:val="single" w:sz="12" w:space="0" w:color="000000"/>
              <w:right w:val="single" w:sz="12" w:space="0" w:color="000000"/>
            </w:tcBorders>
            <w:shd w:val="clear" w:color="auto" w:fill="auto"/>
            <w:vAlign w:val="center"/>
            <w:hideMark/>
          </w:tcPr>
          <w:p w:rsidR="005B5D5F" w:rsidRPr="005B5D5F" w:rsidRDefault="005B5D5F" w:rsidP="005B5D5F">
            <w:pPr>
              <w:widowControl/>
              <w:jc w:val="center"/>
              <w:rPr>
                <w:rFonts w:ascii="宋体" w:hAnsi="宋体" w:cs="宋体"/>
                <w:color w:val="000000"/>
                <w:kern w:val="0"/>
                <w:sz w:val="20"/>
                <w:szCs w:val="20"/>
              </w:rPr>
            </w:pPr>
            <w:r w:rsidRPr="005B5D5F">
              <w:rPr>
                <w:rFonts w:ascii="宋体" w:hAnsi="宋体" w:cs="宋体" w:hint="eastAsia"/>
                <w:color w:val="000000"/>
                <w:kern w:val="0"/>
                <w:sz w:val="20"/>
                <w:szCs w:val="20"/>
              </w:rPr>
              <w:t xml:space="preserve">$0.00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pStyle w:val="1"/>
        <w:rPr>
          <w:rFonts w:ascii="宋体" w:hAnsi="宋体"/>
          <w:sz w:val="24"/>
          <w:szCs w:val="24"/>
        </w:rPr>
      </w:pPr>
    </w:p>
    <w:p w:rsidR="00D766DC" w:rsidRDefault="00D766DC">
      <w:pPr>
        <w:rPr>
          <w:rFonts w:ascii="Arial" w:hAnsi="Arial" w:cs="Arial"/>
          <w:kern w:val="0"/>
          <w:szCs w:val="21"/>
        </w:rPr>
      </w:pPr>
    </w:p>
    <w:sectPr w:rsidR="00D766DC" w:rsidSect="007F1029">
      <w:headerReference w:type="default" r:id="rId72"/>
      <w:footerReference w:type="default" r:id="rId7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E80" w:rsidRDefault="00527E80">
      <w:r>
        <w:separator/>
      </w:r>
    </w:p>
  </w:endnote>
  <w:endnote w:type="continuationSeparator" w:id="1">
    <w:p w:rsidR="00527E80" w:rsidRDefault="00527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D2" w:rsidRDefault="00690DD2">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256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2565">
      <w:rPr>
        <w:b/>
        <w:bCs/>
        <w:noProof/>
      </w:rPr>
      <w:t>24</w:t>
    </w:r>
    <w:r>
      <w:rPr>
        <w:b/>
        <w:bCs/>
        <w:sz w:val="24"/>
        <w:szCs w:val="24"/>
      </w:rPr>
      <w:fldChar w:fldCharType="end"/>
    </w:r>
  </w:p>
  <w:p w:rsidR="00690DD2" w:rsidRDefault="00690DD2">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E80" w:rsidRDefault="00527E80">
      <w:r>
        <w:separator/>
      </w:r>
    </w:p>
  </w:footnote>
  <w:footnote w:type="continuationSeparator" w:id="1">
    <w:p w:rsidR="00527E80" w:rsidRDefault="00527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D2" w:rsidRDefault="00690DD2">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690DD2" w:rsidRDefault="00690DD2">
    <w:pPr>
      <w:pStyle w:val="a7"/>
      <w:pBdr>
        <w:bottom w:val="none" w:sz="0" w:space="0" w:color="auto"/>
      </w:pBdr>
    </w:pPr>
  </w:p>
  <w:p w:rsidR="00690DD2" w:rsidRDefault="00690DD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2290"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71C7"/>
    <w:rsid w:val="000121DE"/>
    <w:rsid w:val="00013FDF"/>
    <w:rsid w:val="0005567F"/>
    <w:rsid w:val="00060511"/>
    <w:rsid w:val="000824CA"/>
    <w:rsid w:val="00085917"/>
    <w:rsid w:val="000862A0"/>
    <w:rsid w:val="00096A95"/>
    <w:rsid w:val="000B1594"/>
    <w:rsid w:val="000B4670"/>
    <w:rsid w:val="000C4C8D"/>
    <w:rsid w:val="000E3ED3"/>
    <w:rsid w:val="000E4486"/>
    <w:rsid w:val="000F4930"/>
    <w:rsid w:val="000F6AFC"/>
    <w:rsid w:val="00100B41"/>
    <w:rsid w:val="00103D77"/>
    <w:rsid w:val="001045A7"/>
    <w:rsid w:val="00111F37"/>
    <w:rsid w:val="00130438"/>
    <w:rsid w:val="00137FFE"/>
    <w:rsid w:val="00183F2A"/>
    <w:rsid w:val="00195689"/>
    <w:rsid w:val="001B7F7D"/>
    <w:rsid w:val="001C077C"/>
    <w:rsid w:val="001C20CD"/>
    <w:rsid w:val="001D1279"/>
    <w:rsid w:val="001D3943"/>
    <w:rsid w:val="001E7175"/>
    <w:rsid w:val="001F0235"/>
    <w:rsid w:val="00200758"/>
    <w:rsid w:val="00214955"/>
    <w:rsid w:val="00216D04"/>
    <w:rsid w:val="00234D42"/>
    <w:rsid w:val="00240DF6"/>
    <w:rsid w:val="002447EA"/>
    <w:rsid w:val="00244F15"/>
    <w:rsid w:val="00261884"/>
    <w:rsid w:val="00274D99"/>
    <w:rsid w:val="00277D2C"/>
    <w:rsid w:val="00290A13"/>
    <w:rsid w:val="002A0B34"/>
    <w:rsid w:val="002A1698"/>
    <w:rsid w:val="002C3203"/>
    <w:rsid w:val="002D1062"/>
    <w:rsid w:val="002D67FA"/>
    <w:rsid w:val="002E1DC1"/>
    <w:rsid w:val="002F54D8"/>
    <w:rsid w:val="00307354"/>
    <w:rsid w:val="00324F27"/>
    <w:rsid w:val="00327FC0"/>
    <w:rsid w:val="003530D9"/>
    <w:rsid w:val="0035738C"/>
    <w:rsid w:val="00361079"/>
    <w:rsid w:val="00377F89"/>
    <w:rsid w:val="00384C31"/>
    <w:rsid w:val="003A177D"/>
    <w:rsid w:val="003B2552"/>
    <w:rsid w:val="003D6166"/>
    <w:rsid w:val="003F76C3"/>
    <w:rsid w:val="00407D07"/>
    <w:rsid w:val="00412C3D"/>
    <w:rsid w:val="00417CA3"/>
    <w:rsid w:val="00420769"/>
    <w:rsid w:val="00437B9F"/>
    <w:rsid w:val="00445837"/>
    <w:rsid w:val="00452199"/>
    <w:rsid w:val="00476DE0"/>
    <w:rsid w:val="00491A4E"/>
    <w:rsid w:val="004A6E28"/>
    <w:rsid w:val="004B4629"/>
    <w:rsid w:val="004B5ABD"/>
    <w:rsid w:val="004C2578"/>
    <w:rsid w:val="004C515D"/>
    <w:rsid w:val="004D3C9D"/>
    <w:rsid w:val="004E0D9B"/>
    <w:rsid w:val="004F3817"/>
    <w:rsid w:val="004F57CD"/>
    <w:rsid w:val="004F7B37"/>
    <w:rsid w:val="0050120B"/>
    <w:rsid w:val="00501DD8"/>
    <w:rsid w:val="00517918"/>
    <w:rsid w:val="00524DE5"/>
    <w:rsid w:val="00527E80"/>
    <w:rsid w:val="00533757"/>
    <w:rsid w:val="00565438"/>
    <w:rsid w:val="00581F9C"/>
    <w:rsid w:val="00587D98"/>
    <w:rsid w:val="005965F5"/>
    <w:rsid w:val="005B12A5"/>
    <w:rsid w:val="005B36D7"/>
    <w:rsid w:val="005B5D5F"/>
    <w:rsid w:val="005B67FC"/>
    <w:rsid w:val="005C1227"/>
    <w:rsid w:val="005C5518"/>
    <w:rsid w:val="005C6091"/>
    <w:rsid w:val="005E1F2A"/>
    <w:rsid w:val="00612F43"/>
    <w:rsid w:val="006145D2"/>
    <w:rsid w:val="00627BE6"/>
    <w:rsid w:val="00630ED3"/>
    <w:rsid w:val="00650D2E"/>
    <w:rsid w:val="00661E23"/>
    <w:rsid w:val="00672B6D"/>
    <w:rsid w:val="00690DD2"/>
    <w:rsid w:val="00693C56"/>
    <w:rsid w:val="00695E69"/>
    <w:rsid w:val="006B315F"/>
    <w:rsid w:val="006C0BE2"/>
    <w:rsid w:val="006C745D"/>
    <w:rsid w:val="006D0372"/>
    <w:rsid w:val="006D0B7F"/>
    <w:rsid w:val="006D0C94"/>
    <w:rsid w:val="006D23A3"/>
    <w:rsid w:val="006D6ABD"/>
    <w:rsid w:val="006E195D"/>
    <w:rsid w:val="00720A30"/>
    <w:rsid w:val="00730BB5"/>
    <w:rsid w:val="007314A0"/>
    <w:rsid w:val="007326DF"/>
    <w:rsid w:val="00765F8B"/>
    <w:rsid w:val="00767C71"/>
    <w:rsid w:val="007752FF"/>
    <w:rsid w:val="007A73BE"/>
    <w:rsid w:val="007B38A5"/>
    <w:rsid w:val="007B3E0D"/>
    <w:rsid w:val="007C32F6"/>
    <w:rsid w:val="007C748B"/>
    <w:rsid w:val="007D28DE"/>
    <w:rsid w:val="007F1029"/>
    <w:rsid w:val="00806040"/>
    <w:rsid w:val="00832565"/>
    <w:rsid w:val="00837FE5"/>
    <w:rsid w:val="00844D40"/>
    <w:rsid w:val="00851423"/>
    <w:rsid w:val="00887728"/>
    <w:rsid w:val="00894685"/>
    <w:rsid w:val="008A71DE"/>
    <w:rsid w:val="008D3798"/>
    <w:rsid w:val="008D4C33"/>
    <w:rsid w:val="009166B6"/>
    <w:rsid w:val="00921A1B"/>
    <w:rsid w:val="00922FF4"/>
    <w:rsid w:val="009347F0"/>
    <w:rsid w:val="00945B4E"/>
    <w:rsid w:val="00947B15"/>
    <w:rsid w:val="00952E08"/>
    <w:rsid w:val="00980E9A"/>
    <w:rsid w:val="00987DE6"/>
    <w:rsid w:val="00993180"/>
    <w:rsid w:val="009A6AB7"/>
    <w:rsid w:val="009F05BF"/>
    <w:rsid w:val="00A0658F"/>
    <w:rsid w:val="00A13F55"/>
    <w:rsid w:val="00A20C84"/>
    <w:rsid w:val="00A26CD6"/>
    <w:rsid w:val="00A31F3B"/>
    <w:rsid w:val="00A36CBA"/>
    <w:rsid w:val="00A42D38"/>
    <w:rsid w:val="00A4409F"/>
    <w:rsid w:val="00A6075D"/>
    <w:rsid w:val="00A63181"/>
    <w:rsid w:val="00A74C7D"/>
    <w:rsid w:val="00A77E3A"/>
    <w:rsid w:val="00A8579A"/>
    <w:rsid w:val="00AB0F41"/>
    <w:rsid w:val="00AB5344"/>
    <w:rsid w:val="00AC0BBE"/>
    <w:rsid w:val="00AC2EAE"/>
    <w:rsid w:val="00AF044A"/>
    <w:rsid w:val="00AF2497"/>
    <w:rsid w:val="00B049AB"/>
    <w:rsid w:val="00B16FDE"/>
    <w:rsid w:val="00B330CE"/>
    <w:rsid w:val="00B36918"/>
    <w:rsid w:val="00B4252A"/>
    <w:rsid w:val="00B7201D"/>
    <w:rsid w:val="00B72D56"/>
    <w:rsid w:val="00B969D4"/>
    <w:rsid w:val="00BA7BA1"/>
    <w:rsid w:val="00BC23E1"/>
    <w:rsid w:val="00BC3AF2"/>
    <w:rsid w:val="00BE088D"/>
    <w:rsid w:val="00BF56EB"/>
    <w:rsid w:val="00C15280"/>
    <w:rsid w:val="00C22F47"/>
    <w:rsid w:val="00C5695E"/>
    <w:rsid w:val="00C771C0"/>
    <w:rsid w:val="00C876BD"/>
    <w:rsid w:val="00C95585"/>
    <w:rsid w:val="00CA705C"/>
    <w:rsid w:val="00CB17C8"/>
    <w:rsid w:val="00CB2F62"/>
    <w:rsid w:val="00CF7DD5"/>
    <w:rsid w:val="00D013C8"/>
    <w:rsid w:val="00D06BE0"/>
    <w:rsid w:val="00D340ED"/>
    <w:rsid w:val="00D414AB"/>
    <w:rsid w:val="00D56268"/>
    <w:rsid w:val="00D766DC"/>
    <w:rsid w:val="00DA4501"/>
    <w:rsid w:val="00DA4F2B"/>
    <w:rsid w:val="00DB1006"/>
    <w:rsid w:val="00DB57C9"/>
    <w:rsid w:val="00DC59D6"/>
    <w:rsid w:val="00DC60AC"/>
    <w:rsid w:val="00E30A09"/>
    <w:rsid w:val="00E36209"/>
    <w:rsid w:val="00E508F5"/>
    <w:rsid w:val="00E54015"/>
    <w:rsid w:val="00E70F83"/>
    <w:rsid w:val="00E73393"/>
    <w:rsid w:val="00E87184"/>
    <w:rsid w:val="00E944D7"/>
    <w:rsid w:val="00E94998"/>
    <w:rsid w:val="00EA5E30"/>
    <w:rsid w:val="00EE7555"/>
    <w:rsid w:val="00EF59C3"/>
    <w:rsid w:val="00EF749C"/>
    <w:rsid w:val="00F051D9"/>
    <w:rsid w:val="00F07784"/>
    <w:rsid w:val="00F53EB5"/>
    <w:rsid w:val="00F54A24"/>
    <w:rsid w:val="00F553FB"/>
    <w:rsid w:val="00F611CA"/>
    <w:rsid w:val="00F61215"/>
    <w:rsid w:val="00F6247A"/>
    <w:rsid w:val="00F656E7"/>
    <w:rsid w:val="00F66767"/>
    <w:rsid w:val="00F72F22"/>
    <w:rsid w:val="00F8269A"/>
    <w:rsid w:val="00F87D35"/>
    <w:rsid w:val="00F9529D"/>
    <w:rsid w:val="00FA0050"/>
    <w:rsid w:val="00FA0D01"/>
    <w:rsid w:val="00FD2679"/>
    <w:rsid w:val="00FD40EB"/>
    <w:rsid w:val="00FE2B19"/>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 TargetMode="External"/><Relationship Id="rId1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 TargetMode="External"/><Relationship Id="rId2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 TargetMode="External"/><Relationship Id="rId3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 TargetMode="External"/><Relationship Id="rId2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 TargetMode="External"/><Relationship Id="rId3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 TargetMode="External"/><Relationship Id="rId4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 TargetMode="External"/><Relationship Id="rId4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 TargetMode="External"/><Relationship Id="rId5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 TargetMode="External"/><Relationship Id="rId5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 TargetMode="External"/><Relationship Id="rId6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 TargetMode="External"/><Relationship Id="rId68" Type="http://schemas.openxmlformats.org/officeDocument/2006/relationships/hyperlink" Target="javascript:clickdiy(%22_month%22,%222017|%E7%A7%91%E5%A8%81%E7%89%B9%22);" TargetMode="External"/><Relationship Id="rId7" Type="http://schemas.openxmlformats.org/officeDocument/2006/relationships/image" Target="media/image1.jpeg"/><Relationship Id="rId71" Type="http://schemas.openxmlformats.org/officeDocument/2006/relationships/hyperlink" Target="javascript:clickdiy(%22_month%22,%222017|%E5%8D%B0%E5%BA%A6%22);" TargetMode="External"/><Relationship Id="rId2" Type="http://schemas.openxmlformats.org/officeDocument/2006/relationships/styles" Target="styles.xml"/><Relationship Id="rId1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 TargetMode="External"/><Relationship Id="rId2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 TargetMode="External"/><Relationship Id="rId1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 TargetMode="External"/><Relationship Id="rId2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 TargetMode="External"/><Relationship Id="rId3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 TargetMode="External"/><Relationship Id="rId3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 TargetMode="External"/><Relationship Id="rId4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 TargetMode="External"/><Relationship Id="rId4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 TargetMode="External"/><Relationship Id="rId5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 TargetMode="External"/><Relationship Id="rId5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 TargetMode="External"/><Relationship Id="rId66" Type="http://schemas.openxmlformats.org/officeDocument/2006/relationships/hyperlink" Target="javascript:clickdiy(%22_month%22,%222017|%E9%9F%A9%E5%9B%BD%22);"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 TargetMode="External"/><Relationship Id="rId2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 TargetMode="External"/><Relationship Id="rId2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 TargetMode="External"/><Relationship Id="rId3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 TargetMode="External"/><Relationship Id="rId4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 TargetMode="External"/><Relationship Id="rId5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 TargetMode="External"/><Relationship Id="rId6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 TargetMode="External"/><Relationship Id="rId1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 TargetMode="External"/><Relationship Id="rId1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 TargetMode="External"/><Relationship Id="rId3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 TargetMode="External"/><Relationship Id="rId4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 TargetMode="External"/><Relationship Id="rId5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 TargetMode="External"/><Relationship Id="rId6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 TargetMode="External"/><Relationship Id="rId65" Type="http://schemas.openxmlformats.org/officeDocument/2006/relationships/hyperlink" Target="javascript:clickdiy(%22_month%22,%222017|%E4%BF%84%E7%BD%97%E6%96%AF%E8%81%94%E9%82%A6%2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 TargetMode="External"/><Relationship Id="rId1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 TargetMode="External"/><Relationship Id="rId2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 TargetMode="External"/><Relationship Id="rId2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 TargetMode="External"/><Relationship Id="rId3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 TargetMode="External"/><Relationship Id="rId3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 TargetMode="External"/><Relationship Id="rId4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 TargetMode="External"/><Relationship Id="rId4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 TargetMode="External"/><Relationship Id="rId56"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 TargetMode="External"/><Relationship Id="rId6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 TargetMode="External"/><Relationship Id="rId69" Type="http://schemas.openxmlformats.org/officeDocument/2006/relationships/hyperlink" Target="javascript:clickdiy(%22_month%22,%222017|%E7%BE%8E%E5%9B%BD%22);" TargetMode="External"/><Relationship Id="rId8" Type="http://schemas.openxmlformats.org/officeDocument/2006/relationships/image" Target="media/image2.jpeg"/><Relationship Id="rId5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 TargetMode="External"/><Relationship Id="rId17"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 TargetMode="External"/><Relationship Id="rId25"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 TargetMode="External"/><Relationship Id="rId33"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 TargetMode="External"/><Relationship Id="rId38"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 TargetMode="External"/><Relationship Id="rId46" Type="http://schemas.openxmlformats.org/officeDocument/2006/relationships/image" Target="media/image3.jpeg"/><Relationship Id="rId59"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 TargetMode="External"/><Relationship Id="rId67" Type="http://schemas.openxmlformats.org/officeDocument/2006/relationships/hyperlink" Target="javascript:clickdiy(%22_month%22,%222017|%E5%8D%A1%E5%A1%94%E5%B0%94%22);" TargetMode="External"/><Relationship Id="rId20"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 TargetMode="External"/><Relationship Id="rId41"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 TargetMode="External"/><Relationship Id="rId54"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 TargetMode="External"/><Relationship Id="rId62" Type="http://schemas.openxmlformats.org/officeDocument/2006/relationships/hyperlink" Target="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 TargetMode="External"/><Relationship Id="rId70" Type="http://schemas.openxmlformats.org/officeDocument/2006/relationships/hyperlink" Target="javascript:clickdiy(%22_month%22,%222017|%E6%B2%99%E7%89%B9%E9%98%BF%E6%8B%89%E4%BC%AF%2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24</Pages>
  <Words>6085</Words>
  <Characters>34689</Characters>
  <Application>Microsoft Office Word</Application>
  <DocSecurity>0</DocSecurity>
  <Lines>289</Lines>
  <Paragraphs>81</Paragraphs>
  <ScaleCrop>false</ScaleCrop>
  <Company>china</Company>
  <LinksUpToDate>false</LinksUpToDate>
  <CharactersWithSpaces>40693</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15</cp:revision>
  <dcterms:created xsi:type="dcterms:W3CDTF">2017-09-28T08:34:00Z</dcterms:created>
  <dcterms:modified xsi:type="dcterms:W3CDTF">2017-10-13T08:33:00Z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