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hint="eastAsia" w:ascii="黑体" w:eastAsia="黑体" w:cs="黑体"/>
                      <w:b/>
                      <w:bCs/>
                      <w:color w:val="993366"/>
                      <w:lang w:val="en-US" w:eastAsia="zh-CN"/>
                    </w:rPr>
                    <w:t>6</w:t>
                  </w:r>
                  <w:r>
                    <w:rPr>
                      <w:rFonts w:hint="eastAsia" w:ascii="黑体" w:eastAsia="黑体" w:cs="黑体"/>
                      <w:b/>
                      <w:bCs/>
                      <w:color w:val="993366"/>
                    </w:rPr>
                    <w:t>月</w:t>
                  </w:r>
                  <w:r>
                    <w:rPr>
                      <w:rFonts w:hint="eastAsia" w:ascii="黑体" w:eastAsia="黑体" w:cs="黑体"/>
                      <w:b/>
                      <w:bCs/>
                      <w:color w:val="993366"/>
                      <w:lang w:val="en-US" w:eastAsia="zh-CN"/>
                    </w:rPr>
                    <w:t>5</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olor w:val="FF0000"/>
          <w:sz w:val="28"/>
          <w:szCs w:val="28"/>
        </w:rPr>
      </w:pPr>
      <w:bookmarkStart w:id="1" w:name="_Toc436380329"/>
    </w:p>
    <w:p>
      <w:pPr>
        <w:rPr>
          <w:rFonts w:hint="eastAsia"/>
          <w:color w:val="FF0000"/>
          <w:sz w:val="28"/>
          <w:szCs w:val="28"/>
        </w:rPr>
      </w:pPr>
    </w:p>
    <w:p>
      <w:pPr>
        <w:rPr>
          <w:rFonts w:hint="eastAsia"/>
          <w:color w:val="FF0000"/>
          <w:sz w:val="28"/>
          <w:szCs w:val="28"/>
        </w:rPr>
      </w:pPr>
    </w:p>
    <w:p>
      <w:pPr>
        <w:pStyle w:val="2"/>
        <w:tabs>
          <w:tab w:val="left" w:pos="2100"/>
        </w:tabs>
        <w:spacing w:before="120" w:after="0" w:line="240" w:lineRule="auto"/>
        <w:rPr>
          <w:rFonts w:ascii="宋体" w:hAnsi="宋体" w:eastAsia="宋体" w:cs="宋体"/>
          <w:sz w:val="24"/>
          <w:szCs w:val="24"/>
        </w:rPr>
      </w:pPr>
      <w:r>
        <w:rPr>
          <w:rFonts w:hint="eastAsia"/>
          <w:color w:val="FF0000"/>
          <w:sz w:val="28"/>
          <w:szCs w:val="28"/>
        </w:rPr>
        <w:t>一、</w:t>
      </w:r>
      <w:bookmarkEnd w:id="0"/>
      <w:r>
        <w:rPr>
          <w:rFonts w:hint="eastAsia"/>
          <w:color w:val="FF0000"/>
          <w:sz w:val="28"/>
          <w:szCs w:val="28"/>
        </w:rPr>
        <w:t>国际燃料油市场行情</w:t>
      </w:r>
      <w:bookmarkEnd w:id="1"/>
      <w:bookmarkStart w:id="2" w:name="_Toc120023864"/>
      <w:bookmarkStart w:id="3" w:name="_Toc283387075"/>
      <w:bookmarkStart w:id="4" w:name="_Toc122509008"/>
      <w:bookmarkStart w:id="5" w:name="_Toc164833123"/>
      <w:bookmarkStart w:id="6" w:name="_Toc123098827"/>
      <w:bookmarkStart w:id="7" w:name="_Toc111024839"/>
      <w:bookmarkStart w:id="8" w:name="_Toc436380330"/>
      <w:bookmarkStart w:id="9" w:name="_Toc152134469"/>
    </w:p>
    <w:p>
      <w:pPr>
        <w:pStyle w:val="3"/>
        <w:spacing w:before="120" w:after="120" w:line="240" w:lineRule="auto"/>
        <w:ind w:right="480"/>
        <w:rPr>
          <w:rFonts w:ascii="宋体" w:hAnsi="宋体" w:eastAsia="宋体" w:cs="Times New Roman"/>
          <w:sz w:val="24"/>
          <w:szCs w:val="24"/>
        </w:rPr>
      </w:pPr>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ascii="宋体" w:hAnsi="宋体" w:eastAsia="宋体" w:cs="宋体"/>
          <w:sz w:val="21"/>
          <w:szCs w:val="21"/>
        </w:rPr>
      </w:pPr>
      <w:r>
        <w:rPr>
          <w:rFonts w:hint="eastAsia" w:cs="宋体"/>
          <w:kern w:val="0"/>
          <w:sz w:val="21"/>
          <w:szCs w:val="21"/>
          <w:lang w:val="en-US" w:eastAsia="zh-CN" w:bidi="ar"/>
        </w:rPr>
        <w:t xml:space="preserve">    </w:t>
      </w:r>
      <w:r>
        <w:rPr>
          <w:rFonts w:hint="eastAsia" w:ascii="宋体" w:hAnsi="宋体" w:eastAsia="宋体" w:cs="宋体"/>
          <w:sz w:val="21"/>
          <w:szCs w:val="21"/>
        </w:rPr>
        <w:t xml:space="preserve">周五，亚洲380cst燃料油近月跨月价差约三周以来首次转至逆价差，因对于供给过剩的担忧进一步缓解，普氏窗口缺乏现货卖单。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经纪消息人士周五将380cst燃料油6月/7月跨月价差定为约每吨升水0.75美元，高于前一日结算价每吨贴水0.25美元。1030 GMT时，洲际交易所（ICE）约有20-30万张380cst燃料油6月/7月跨月价差合约成交。到5月中旬，近月跨月价差跌至贴水区间，因担心新加坡的供给攀升。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380cst燃料油7月/8月跨月价差的买方递价也上升，较前一日上升0.35美元至每吨升水0.65美元，成交近70万张。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普氏窗口报告有成交两笔船货，总计2万吨180cst燃料油和2万吨380-cst燃料油。维多买入两艘船货，从托克买入一艘180cst燃料油船货，从Coastal买入一艘380cst燃料油。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周五普氏窗口仅有两个380cst燃料油卖方报价，相比之下有22笔买方递价。而前一个交易日，380cst燃料油市场有23个卖方报价，25个买方递价。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尽管新加坡陆上燃料油库存下降，但新加坡380cst燃料油近月跨月价差过去几周来的低迷基本上归因于船舶上贮存的燃料油供给充足。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消息人士估算大约有200万吨燃料油储存在新加坡附近的巨型油轮之上，受自3月以来普氏交易窗口现货交易活跃以及套利船货到货延迟影响。</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荷兰咨询公司PJK International表示，截至6月1日当周，阿姆斯特丹-鹿特丹-安特卫普（ARA）中心的燃料油库存较前一周下降22%或21.7万吨至77.9万吨。目前ARA燃料油库存位于四个月低点水平。两艘苏伊士型油轮分别于5月25日和5月29日从ARA中心装运燃料油前往Togo。</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大宗商品贸易商Trafigura周四在一份声明中指出，公司将租赁价值13.5亿美元最多32艘新油轮，第一艘油轮明年年底前交付使用。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新加坡燃料油现货市场，维多从CCMA以MOPS+0.25美元的价格购买了2万吨6月19-23日装380cst燃料油船货。维多从Trafigura公司以MOPS+2.00美元购买了2万吨6月28-7月2日装180cst燃料油船货。</w:t>
      </w:r>
    </w:p>
    <w:p>
      <w:pPr>
        <w:rPr>
          <w:rFonts w:hint="eastAsia" w:ascii="宋体" w:hAnsi="宋体" w:eastAsia="宋体" w:cs="宋体"/>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152134470"/>
      <w:bookmarkStart w:id="11" w:name="_Toc283387076"/>
      <w:bookmarkStart w:id="12" w:name="_Toc436380331"/>
      <w:bookmarkStart w:id="13" w:name="_Toc164833124"/>
      <w:r>
        <w:rPr>
          <w:rFonts w:hint="eastAsia" w:ascii="宋体" w:hAnsi="宋体" w:eastAsia="宋体" w:cs="宋体"/>
          <w:sz w:val="24"/>
          <w:szCs w:val="24"/>
        </w:rPr>
        <w:t>新加坡燃料油市场价格</w:t>
      </w:r>
      <w:bookmarkEnd w:id="10"/>
      <w:bookmarkEnd w:id="11"/>
      <w:bookmarkEnd w:id="12"/>
      <w:bookmarkEnd w:id="13"/>
    </w:p>
    <w:tbl>
      <w:tblPr>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1725"/>
        <w:gridCol w:w="1800"/>
        <w:gridCol w:w="1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中硫180cst</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lswr①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2.29/2.33</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0.48/0.52</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298.590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289.200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305.31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304.150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294.050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310.99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303.270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292.460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310.09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305.830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312.71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294.680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314.63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50.08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tbl>
      <w:tblPr>
        <w:tblW w:w="9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59"/>
        <w:gridCol w:w="1842"/>
        <w:gridCol w:w="1857"/>
        <w:gridCol w:w="2109"/>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59"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3699"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4014"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b/>
                <w:i w:val="0"/>
                <w:color w:val="000000"/>
                <w:sz w:val="20"/>
                <w:szCs w:val="20"/>
                <w:u w:val="none"/>
              </w:rPr>
            </w:pPr>
          </w:p>
        </w:tc>
        <w:tc>
          <w:tcPr>
            <w:tcW w:w="184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185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c>
          <w:tcPr>
            <w:tcW w:w="210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190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295.75</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2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288.45</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301.50</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301.50</w:t>
            </w:r>
          </w:p>
        </w:tc>
        <w:tc>
          <w:tcPr>
            <w:tcW w:w="2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300.75</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301.25</w:t>
            </w:r>
          </w:p>
        </w:tc>
        <w:tc>
          <w:tcPr>
            <w:tcW w:w="2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292.75</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303.25</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295.1</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1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294.75</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296.25</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2025"/>
        <w:gridCol w:w="2010"/>
        <w:gridCol w:w="196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436380334"/>
            <w:r>
              <w:rPr>
                <w:rFonts w:hint="eastAsia" w:ascii="宋体" w:hAnsi="宋体" w:eastAsia="宋体" w:cs="宋体"/>
                <w:b/>
                <w:i w:val="0"/>
                <w:color w:val="000000"/>
                <w:kern w:val="0"/>
                <w:sz w:val="20"/>
                <w:szCs w:val="20"/>
                <w:u w:val="none"/>
                <w:lang w:val="en-US" w:eastAsia="zh-CN" w:bidi="ar"/>
              </w:rPr>
              <w:t>燃料油</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w:t>
            </w:r>
          </w:p>
        </w:tc>
        <w:tc>
          <w:tcPr>
            <w:tcW w:w="20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新加坡高硫380CST</w:t>
            </w:r>
          </w:p>
        </w:tc>
        <w:tc>
          <w:tcPr>
            <w:tcW w:w="19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7月纸货</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贴水</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10"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196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无成交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bl>
    <w:p>
      <w:pPr>
        <w:pStyle w:val="3"/>
        <w:numPr>
          <w:ilvl w:val="0"/>
          <w:numId w:val="0"/>
        </w:numPr>
        <w:spacing w:before="120" w:after="120" w:line="240" w:lineRule="auto"/>
        <w:ind w:leftChars="0"/>
        <w:rPr>
          <w:rFonts w:ascii="宋体" w:hAnsi="宋体" w:eastAsia="宋体" w:cs="Times New Roman"/>
          <w:sz w:val="24"/>
          <w:szCs w:val="24"/>
        </w:rPr>
      </w:pPr>
    </w:p>
    <w:p>
      <w:pPr>
        <w:pStyle w:val="3"/>
        <w:numPr>
          <w:ilvl w:val="1"/>
          <w:numId w:val="1"/>
        </w:numPr>
        <w:spacing w:before="120" w:after="120" w:line="240" w:lineRule="auto"/>
        <w:rPr>
          <w:rFonts w:ascii="宋体" w:hAnsi="宋体" w:eastAsia="宋体" w:cs="Times New Roman"/>
          <w:sz w:val="24"/>
          <w:szCs w:val="24"/>
        </w:rPr>
      </w:pPr>
      <w:r>
        <w:rPr>
          <w:rFonts w:hint="eastAsia" w:ascii="宋体" w:hAnsi="宋体" w:eastAsia="宋体" w:cs="宋体"/>
          <w:sz w:val="24"/>
          <w:szCs w:val="24"/>
        </w:rPr>
        <w:t>韩国燃料油市场价格</w:t>
      </w:r>
      <w:bookmarkEnd w:id="18"/>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35"/>
        <w:gridCol w:w="229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今日贴水</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6.75/7.25</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303.28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308.68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307.87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310.30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310.29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297.26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14.25/14.75</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14.25/14.75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289.56</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295.03</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294.15</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285.56</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4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316.33</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tbl>
      <w:tblPr>
        <w:tblW w:w="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17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燃料油（1PCT）</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燃料油（3.5PCT）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304.50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295.75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302.25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282.50 </w:t>
            </w:r>
          </w:p>
        </w:tc>
      </w:tr>
    </w:tbl>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152134473"/>
      <w:bookmarkStart w:id="23" w:name="_Toc283387079"/>
      <w:bookmarkStart w:id="24" w:name="_Toc164759956"/>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283387080"/>
      <w:bookmarkStart w:id="27" w:name="_Toc164759957"/>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ascii="宋体" w:hAnsi="宋体" w:eastAsia="宋体" w:cs="宋体"/>
          <w:sz w:val="21"/>
          <w:szCs w:val="21"/>
        </w:rPr>
      </w:pPr>
      <w:bookmarkStart w:id="30" w:name="_Toc436380341"/>
      <w:r>
        <w:rPr>
          <w:rFonts w:hint="eastAsia"/>
          <w:sz w:val="21"/>
          <w:szCs w:val="21"/>
        </w:rPr>
        <w:t>　　</w:t>
      </w:r>
      <w:r>
        <w:rPr>
          <w:rFonts w:hint="eastAsia" w:ascii="宋体" w:hAnsi="宋体" w:eastAsia="宋体" w:cs="宋体"/>
          <w:sz w:val="21"/>
          <w:szCs w:val="21"/>
        </w:rPr>
        <w:t>周五（6月2日）市场观望氛围浓厚，短期行情偏弱。</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美国原油库存超过预期大幅下降提振原油市场价格，周四原油价格止跌窄幅回涨，但尾盘抛盘抹去了大部分涨幅，美国能源情报署公布的数据显示，截至上周五的一周，美国原油库存降幅是预期的将近三倍。周五国内市场华南船用油市场（以广州、深圳和福建为基准）国产混调180CST库提估价为3120-3270元/吨（详见船用油日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近期区内燃料油市场持续疲弱以终端需求，市场利好刺激不足，商家多按需操作为主，短期无明显利好刺激，预计后市价格或持续守稳。截止目前，区内国产油浆市场估价2200-2300元/吨，沥青料市场估价2400-2500元/吨，均较前一工作日持平。</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非标油市场，原油价格大幅震荡利空区内非标油市场，今商家报价全线守稳，业者待市心态不强，市场整体购销气氛平平，虽昨日原油价格窄幅回涨，但短期走势较为迷茫，商家仍持谨慎观望态度，按需操作为主，预计未来短期内华南非标油市场行情或偏弱为主。</w:t>
      </w:r>
    </w:p>
    <w:p>
      <w:pPr>
        <w:rPr>
          <w:rFonts w:hint="eastAsia" w:ascii="宋体" w:hAnsi="宋体" w:eastAsia="宋体" w:cs="宋体"/>
          <w:sz w:val="21"/>
          <w:szCs w:val="21"/>
        </w:rPr>
      </w:pP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ascii="宋体" w:hAnsi="宋体" w:eastAsia="宋体" w:cs="宋体"/>
          <w:sz w:val="21"/>
          <w:szCs w:val="21"/>
        </w:rPr>
      </w:pPr>
      <w:r>
        <w:rPr>
          <w:rFonts w:hint="eastAsia"/>
          <w:sz w:val="21"/>
          <w:szCs w:val="21"/>
        </w:rPr>
        <w:t>　　</w:t>
      </w:r>
      <w:r>
        <w:rPr>
          <w:rFonts w:hint="eastAsia" w:ascii="宋体" w:hAnsi="宋体" w:eastAsia="宋体" w:cs="宋体"/>
          <w:sz w:val="21"/>
          <w:szCs w:val="21"/>
        </w:rPr>
        <w:t>周五（6月2日），市场活跃度低迷，中高密油浆收跌。</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近日外盘原油一直在低位震荡，对燃料油市场的利空压力逐渐凸显出来。交投疲弱的船供油市场开始宽幅收跌，地炼深加工资源的出货承压也在增大，加之中下游“买涨不买跌”的心态作祟，市场活跃度更显低迷。</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华东油浆（密度1.1左右）的主流成交价在2240-2340元/吨，价格较昨日走跌30元，炼厂出货压力不大。华东中高密油浆的下行主要是受周边低价资源冲击的影响，地炼的出货压力也有所增加。另外，低密油浆的出货也有些压力，其中，清江石化的油浆最新报价在2700元/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非标油市场，自外盘原油在节前开跌后，非标油的出货承压快速增加，其价格也是在不断下行中。据悉，下游的调和油市场收跌明显，对非标油的寻货积极性也不高，后市出货预计还会有较大压力。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上海市场，低金属船用180CST（密度0.98左右，硫含量1.0以内）自提成交估价在3190-3290元/吨；宁波市场，低金属船用180CST（密度0.98左右，硫含量1.0以内）自提成交估价在3190-3280元/吨；南通市场，低金属船用180CST（密度0.98左右，硫含量1.0以内）自提成交估价在3180-3270元/吨，均较昨日走跌70元。</w:t>
      </w:r>
    </w:p>
    <w:p>
      <w:pPr>
        <w:rPr>
          <w:rFonts w:hint="eastAsia"/>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ascii="宋体" w:hAnsi="宋体" w:eastAsia="宋体" w:cs="宋体"/>
          <w:sz w:val="21"/>
          <w:szCs w:val="21"/>
        </w:rPr>
      </w:pPr>
      <w:r>
        <w:rPr>
          <w:rFonts w:hint="eastAsia"/>
          <w:sz w:val="21"/>
          <w:szCs w:val="21"/>
        </w:rPr>
        <w:t>　</w:t>
      </w:r>
      <w:bookmarkStart w:id="34" w:name="_Toc436380342"/>
      <w:r>
        <w:rPr>
          <w:rFonts w:hint="eastAsia"/>
          <w:sz w:val="21"/>
          <w:szCs w:val="21"/>
        </w:rPr>
        <w:t>　</w:t>
      </w:r>
      <w:r>
        <w:rPr>
          <w:rFonts w:hint="eastAsia" w:ascii="宋体" w:hAnsi="宋体" w:eastAsia="宋体" w:cs="宋体"/>
          <w:sz w:val="21"/>
          <w:szCs w:val="21"/>
        </w:rPr>
        <w:t>周五（6月2日），油浆价格继续下滑，短期看跌势头较强。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进口燃料油市场，美国原油库存再降且超预期但尾盘抛盘抹去大部分涨幅，因担心主要产油国产量上升令全球供应过剩问题加重，美国石油库存数据公布后油价应声走高，布伦特原油价格下跌，纽交所七月交割的轻质低硫原油期货结算价至48.36美元，伦敦洲际交易所布伦特原油期货至50.63美元。俄罗斯M100成交估价3830-3930元/吨，贴水34-36美元/吨，马瑞原油（含重质油票）成交估价2720-2780元/吨，稀释沥青（沥青票 密度0.98）主流成交价2720-2780元/吨。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焦化料市场，周五山东地区优质焦化料（沥青票，密度1.0左右，硫含量1.0左右）市场估价在2450-2550元/吨，渣油票市场估价为2550-2650元/吨，较前一工作日持平，今山东地区减渣报价零星补跌，市场购销气氛疲软，业者保守谨慎看跌情绪较强，就目前形势来看未来短期山东焦化料或难逆袭。</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周五山东地区高密油浆市场成交估价2100-2200元/吨，低密油浆成交估价2200-2300元/吨，较前一工作日跌30元，今山东地炼油浆报价零星补跌，炼厂出货承压，国际原油近期低位盘旋走势不明，短期油浆市场难寻外部利好拉动，预计未来短线内延续窄幅下行之势。</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山东地炼常减压开工率：截至6月2日，山东地区地方炼厂常减压开工率为56.8%，较上周增长1.2%，较去年同期增长8.1%。据了解近期利津石化全厂检修结束装置点火运行，永鑫化工新建300万吨常减压装置已投产，60万吨旧常减压装置目前正常运行，滨阳燃化常减压结束检修装置复工，其他炼厂暂无加入开停工行列消息，预计下周山东地炼常减压开工率或继续窄幅攀升。</w:t>
      </w:r>
    </w:p>
    <w:p>
      <w:pPr>
        <w:rPr>
          <w:rFonts w:hint="eastAsia" w:ascii="宋体" w:hAnsi="宋体" w:eastAsia="宋体" w:cs="宋体"/>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tbl>
      <w:tblPr>
        <w:tblW w:w="9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4"/>
        <w:gridCol w:w="2800"/>
        <w:gridCol w:w="908"/>
        <w:gridCol w:w="1071"/>
        <w:gridCol w:w="1071"/>
        <w:gridCol w:w="2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6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2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0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7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6月2日</w:t>
            </w:r>
          </w:p>
        </w:tc>
        <w:tc>
          <w:tcPr>
            <w:tcW w:w="107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6月1日</w:t>
            </w:r>
          </w:p>
        </w:tc>
        <w:tc>
          <w:tcPr>
            <w:tcW w:w="2622"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黄埔市场</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上期所规格180CST </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-70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3525</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3595</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库提价（即期）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船用标准180CST</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3270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3370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库提价（广州-海口）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沥青料</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-70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2615</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2685</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新加坡混调高硫180CST贴水</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新加坡高硫180CST</w:t>
            </w: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新加坡高硫380CST</w:t>
            </w:r>
          </w:p>
        </w:tc>
        <w:tc>
          <w:tcPr>
            <w:tcW w:w="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-5.25</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302.50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307.75</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华东市场</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华东国产混调180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3365</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3365</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上海国产混调180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宁波国产混调180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南通国产混调180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color="auto" w:fill="FFFF0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35-39</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35-39</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国产调和250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-50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2800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2850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华东油浆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2340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2370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山东市场</w:t>
            </w: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直馏高硫180CST</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34-36</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34-36</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焦化原料（带沥青票）</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油浆（密度密度1.03-1.06沥青票）</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2300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2330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油浆（密度1.1左右沥青票</w:t>
            </w:r>
            <w:r>
              <w:rPr>
                <w:rStyle w:val="192"/>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-50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2200</w:t>
            </w:r>
          </w:p>
        </w:tc>
        <w:tc>
          <w:tcPr>
            <w:tcW w:w="1071"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2250</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常渣（密度0.95左右）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2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7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备注：1自2015年6月10日起，新增进口稀释沥青估价，该估价含沥青票，为港口库船提价格。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2、近期山东地区常渣外销量稀少，于2016年3月22日起暂停常渣成交估价。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7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7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7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7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7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674"/>
        <w:gridCol w:w="618"/>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674" w:type="dxa"/>
            <w:shd w:val="clear" w:color="auto" w:fill="99CCFF"/>
          </w:tcPr>
          <w:p>
            <w:pPr>
              <w:jc w:val="center"/>
              <w:rPr>
                <w:rFonts w:cs="Times New Roman"/>
                <w:color w:val="000000"/>
                <w:sz w:val="20"/>
                <w:szCs w:val="20"/>
              </w:rPr>
            </w:pPr>
            <w:r>
              <w:rPr>
                <w:rFonts w:hint="eastAsia"/>
                <w:color w:val="000000"/>
                <w:sz w:val="20"/>
                <w:szCs w:val="20"/>
              </w:rPr>
              <w:t>升跌</w:t>
            </w:r>
          </w:p>
        </w:tc>
        <w:tc>
          <w:tcPr>
            <w:tcW w:w="618"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rFonts w:hint="eastAsia"/>
                <w:sz w:val="20"/>
                <w:szCs w:val="20"/>
                <w:lang w:val="en-US" w:eastAsia="zh-CN"/>
              </w:rPr>
              <w:t>1804</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3978</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3779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4174</w:t>
            </w:r>
          </w:p>
        </w:tc>
        <w:tc>
          <w:tcPr>
            <w:tcW w:w="732" w:type="dxa"/>
          </w:tcPr>
          <w:p>
            <w:pPr>
              <w:rPr>
                <w:rFonts w:hint="eastAsia" w:eastAsia="宋体" w:cs="Times New Roman"/>
                <w:lang w:eastAsia="zh-CN"/>
              </w:rPr>
            </w:pPr>
            <w:r>
              <w:rPr>
                <w:rFonts w:hint="eastAsia"/>
                <w:sz w:val="20"/>
                <w:szCs w:val="20"/>
                <w:lang w:val="en-US" w:eastAsia="zh-CN"/>
              </w:rPr>
              <w:t>3779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3829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4010</w:t>
            </w:r>
          </w:p>
        </w:tc>
        <w:tc>
          <w:tcPr>
            <w:tcW w:w="674" w:type="dxa"/>
            <w:vAlign w:val="center"/>
          </w:tcPr>
          <w:p>
            <w:pPr>
              <w:jc w:val="center"/>
              <w:rPr>
                <w:rFonts w:hint="eastAsia" w:eastAsia="宋体" w:cs="Times New Roman"/>
                <w:sz w:val="20"/>
                <w:szCs w:val="20"/>
                <w:lang w:val="en-US" w:eastAsia="zh-CN"/>
              </w:rPr>
            </w:pPr>
            <w:r>
              <w:rPr>
                <w:rFonts w:hint="eastAsia" w:cs="Times New Roman"/>
                <w:sz w:val="20"/>
                <w:szCs w:val="20"/>
                <w:lang w:val="en-US" w:eastAsia="zh-CN"/>
              </w:rPr>
              <w:t>32</w:t>
            </w:r>
          </w:p>
        </w:tc>
        <w:tc>
          <w:tcPr>
            <w:tcW w:w="618"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46</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1June</w:t>
            </w:r>
            <w:r>
              <w:rPr>
                <w:sz w:val="20"/>
                <w:szCs w:val="20"/>
              </w:rPr>
              <w:t>17</w:t>
            </w:r>
          </w:p>
        </w:tc>
      </w:tr>
    </w:tbl>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pStyle w:val="23"/>
        <w:rPr>
          <w:rFonts w:hint="eastAsia" w:eastAsia="宋体" w:cs="Times New Roman"/>
          <w:sz w:val="20"/>
          <w:szCs w:val="20"/>
          <w:lang w:eastAsia="zh-CN"/>
        </w:rPr>
      </w:pPr>
      <w:bookmarkStart w:id="37" w:name="_Toc436380345"/>
      <w:r>
        <w:rPr>
          <w:rFonts w:hint="eastAsia" w:cs="宋体"/>
          <w:b w:val="0"/>
          <w:i w:val="0"/>
          <w:caps w:val="0"/>
          <w:color w:val="212121"/>
          <w:spacing w:val="0"/>
          <w:sz w:val="21"/>
          <w:szCs w:val="21"/>
          <w:shd w:val="clear" w:fill="FFFFFF"/>
          <w:lang w:eastAsia="zh-CN"/>
        </w:rPr>
        <w:t>周五上期所燃料油期货无成交</w:t>
      </w: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numId w:val="0"/>
        </w:numPr>
        <w:spacing w:before="240" w:after="240" w:line="240" w:lineRule="auto"/>
        <w:ind w:leftChars="0"/>
        <w:rPr>
          <w:rFonts w:cs="Times New Roman"/>
          <w:b/>
          <w:bCs/>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华南燃料油船期预报</w:t>
      </w:r>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4月5日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泓富6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4月6日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龙光688</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2,978.00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大富1</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N/A/珠海</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湛海供166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10，478.00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12月3日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安定号</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混调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tbl>
      <w:tblPr>
        <w:tblW w:w="8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15" w:type="dxa"/>
          <w:left w:w="15" w:type="dxa"/>
          <w:bottom w:w="15" w:type="dxa"/>
          <w:right w:w="15" w:type="dxa"/>
        </w:tblCellMar>
      </w:tblPr>
      <w:tblGrid>
        <w:gridCol w:w="1056"/>
        <w:gridCol w:w="1103"/>
        <w:gridCol w:w="1519"/>
        <w:gridCol w:w="1062"/>
        <w:gridCol w:w="1232"/>
        <w:gridCol w:w="1060"/>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color="auto" w:fill="99CCFF"/>
            <w:vAlign w:val="center"/>
          </w:tcPr>
          <w:p>
            <w:pPr>
              <w:jc w:val="center"/>
              <w:rPr>
                <w:rFonts w:hint="eastAsia" w:ascii="宋体" w:hAnsi="宋体" w:eastAsia="宋体" w:cs="宋体"/>
                <w:b/>
                <w:bCs/>
                <w:i w:val="0"/>
                <w:color w:val="000000"/>
                <w:sz w:val="20"/>
                <w:szCs w:val="20"/>
                <w:u w:val="none"/>
              </w:rPr>
            </w:pPr>
            <w:bookmarkStart w:id="40" w:name="_PictureBullets"/>
            <w:r>
              <w:rPr>
                <w:rFonts w:hint="eastAsia" w:ascii="宋体" w:hAnsi="宋体" w:eastAsia="宋体" w:cs="宋体"/>
                <w:b/>
                <w:bCs/>
                <w:i w:val="0"/>
                <w:color w:val="000000"/>
                <w:kern w:val="0"/>
                <w:sz w:val="20"/>
                <w:szCs w:val="20"/>
                <w:u w:val="none"/>
                <w:lang w:val="en-US" w:eastAsia="zh-CN" w:bidi="ar"/>
              </w:rPr>
              <w:t>序号</w:t>
            </w:r>
          </w:p>
        </w:tc>
        <w:tc>
          <w:tcPr>
            <w:tcW w:w="1103"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预计到港日期</w:t>
            </w:r>
          </w:p>
        </w:tc>
        <w:tc>
          <w:tcPr>
            <w:tcW w:w="1519"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数量（吨）</w:t>
            </w:r>
          </w:p>
        </w:tc>
        <w:tc>
          <w:tcPr>
            <w:tcW w:w="1062"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航线</w:t>
            </w:r>
          </w:p>
        </w:tc>
        <w:tc>
          <w:tcPr>
            <w:tcW w:w="1232"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船名</w:t>
            </w:r>
          </w:p>
        </w:tc>
        <w:tc>
          <w:tcPr>
            <w:tcW w:w="106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接货公司</w:t>
            </w:r>
          </w:p>
        </w:tc>
        <w:tc>
          <w:tcPr>
            <w:tcW w:w="1023"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NAVE SYNERGY纳维</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神驰化工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SEA HYMN海上圣歌</w:t>
            </w:r>
          </w:p>
        </w:tc>
        <w:tc>
          <w:tcPr>
            <w:tcW w:w="1060"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俄罗斯/莱州港</w:t>
            </w:r>
          </w:p>
        </w:tc>
        <w:tc>
          <w:tcPr>
            <w:tcW w:w="1232"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 MEDEA美狄亚</w:t>
            </w:r>
          </w:p>
        </w:tc>
        <w:tc>
          <w:tcPr>
            <w:tcW w:w="1060"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23"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127000.00 </w:t>
            </w:r>
          </w:p>
        </w:tc>
        <w:tc>
          <w:tcPr>
            <w:tcW w:w="1062"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232"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DIAMOND牛钻</w:t>
            </w:r>
          </w:p>
        </w:tc>
        <w:tc>
          <w:tcPr>
            <w:tcW w:w="1060"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023" w:type="dxa"/>
            <w:tcBorders>
              <w:tl2br w:val="nil"/>
              <w:tr2bl w:val="nil"/>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5月7日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委内瑞拉/青岛港 </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CONFORT凯逸</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5月9日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JING GANG S  </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5月11日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PORT STANLEY斯坦利</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中国化工</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DHT SOPHIE苏菲</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5月13日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SOPHIE SCHE…</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SILIA T西伯亚</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CHEROKEE彻罗基</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VIXTORY I维多利亚</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中化弘润</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达池</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俄罗斯/董家口港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IOANNA安娜</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N/A/龙口港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TOTONO BOTT…</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264000.00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伊朗/青岛港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DAN都恩 </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OVERSEAS MC…</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IOANNA安娜</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泰国/青岛港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Signal Chee</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清源石化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5月19日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SILVER DOWE…</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万达天弘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5月19日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SILVERWAY银色之路</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5月19日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海外麦奇</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中油</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N/A/莱州港 </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基西拉勇士</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大庆455</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ANAFI WARRI…</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中国化工</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N/A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5月21日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旺池</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5月21日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MARE TIRRENUM马丽</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5月23日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N/A/龙口港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BRIGHTOILL…</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阿曼/青岛港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ADVANTAGE SKY益空</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ELBRUS厄尔布鲁士</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马士基蒂斯波特</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莫妮卡</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连兴湖</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榆林湾</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天龙座</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GENERB ATLA…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中油</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SYROS WARRIOR勇士</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5月27日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迪拜魔力</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FSL HONG KONG</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SUEZ HANS苏伊士</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5月29日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5月29日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BALLA巴拉</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CATALAN SEA卡特兰海</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山东鑫岳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中石化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旺池</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金诚石化</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5月14日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中国/莱州港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北海展望</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中国/龙口港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北海名望</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5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5月29日</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6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中国/东营港</w:t>
            </w:r>
          </w:p>
        </w:tc>
        <w:tc>
          <w:tcPr>
            <w:tcW w:w="123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2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56" w:type="dxa"/>
            <w:tcBorders>
              <w:tl2br w:val="nil"/>
              <w:tr2bl w:val="nil"/>
            </w:tcBorders>
            <w:shd w:val="clear"/>
            <w:vAlign w:val="center"/>
          </w:tcPr>
          <w:p>
            <w:pPr>
              <w:jc w:val="center"/>
              <w:rPr>
                <w:rFonts w:hint="eastAsia" w:ascii="宋体" w:hAnsi="宋体" w:eastAsia="宋体" w:cs="宋体"/>
                <w:i w:val="0"/>
                <w:color w:val="000000"/>
                <w:sz w:val="20"/>
                <w:szCs w:val="20"/>
                <w:u w:val="none"/>
              </w:rPr>
            </w:pPr>
          </w:p>
        </w:tc>
        <w:tc>
          <w:tcPr>
            <w:tcW w:w="1103"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19"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5292000.00 </w:t>
            </w:r>
          </w:p>
        </w:tc>
        <w:tc>
          <w:tcPr>
            <w:tcW w:w="1062" w:type="dxa"/>
            <w:tcBorders>
              <w:tl2br w:val="nil"/>
              <w:tr2bl w:val="nil"/>
            </w:tcBorders>
            <w:shd w:val="clear"/>
            <w:vAlign w:val="center"/>
          </w:tcPr>
          <w:p>
            <w:pPr>
              <w:jc w:val="center"/>
              <w:rPr>
                <w:rFonts w:hint="eastAsia" w:ascii="宋体" w:hAnsi="宋体" w:eastAsia="宋体" w:cs="宋体"/>
                <w:i w:val="0"/>
                <w:color w:val="000000"/>
                <w:sz w:val="20"/>
                <w:szCs w:val="20"/>
                <w:u w:val="none"/>
              </w:rPr>
            </w:pPr>
          </w:p>
        </w:tc>
        <w:tc>
          <w:tcPr>
            <w:tcW w:w="1232" w:type="dxa"/>
            <w:tcBorders>
              <w:tl2br w:val="nil"/>
              <w:tr2bl w:val="nil"/>
            </w:tcBorders>
            <w:shd w:val="clear"/>
            <w:vAlign w:val="center"/>
          </w:tcPr>
          <w:p>
            <w:pPr>
              <w:jc w:val="center"/>
              <w:rPr>
                <w:rFonts w:hint="eastAsia" w:ascii="宋体" w:hAnsi="宋体" w:eastAsia="宋体" w:cs="宋体"/>
                <w:i w:val="0"/>
                <w:color w:val="000000"/>
                <w:sz w:val="20"/>
                <w:szCs w:val="20"/>
                <w:u w:val="none"/>
              </w:rPr>
            </w:pPr>
          </w:p>
        </w:tc>
        <w:tc>
          <w:tcPr>
            <w:tcW w:w="1060" w:type="dxa"/>
            <w:tcBorders>
              <w:tl2br w:val="nil"/>
              <w:tr2bl w:val="nil"/>
            </w:tcBorders>
            <w:shd w:val="clear"/>
            <w:vAlign w:val="center"/>
          </w:tcPr>
          <w:p>
            <w:pPr>
              <w:jc w:val="center"/>
              <w:rPr>
                <w:rFonts w:hint="eastAsia" w:ascii="宋体" w:hAnsi="宋体" w:eastAsia="宋体" w:cs="宋体"/>
                <w:i w:val="0"/>
                <w:color w:val="000000"/>
                <w:sz w:val="20"/>
                <w:szCs w:val="20"/>
                <w:u w:val="none"/>
              </w:rPr>
            </w:pPr>
          </w:p>
        </w:tc>
        <w:tc>
          <w:tcPr>
            <w:tcW w:w="1023" w:type="dxa"/>
            <w:tcBorders>
              <w:tl2br w:val="nil"/>
              <w:tr2bl w:val="nil"/>
            </w:tcBorders>
            <w:shd w:val="clear"/>
            <w:vAlign w:val="center"/>
          </w:tcPr>
          <w:p>
            <w:pPr>
              <w:jc w:val="center"/>
              <w:rPr>
                <w:rFonts w:hint="eastAsia" w:ascii="宋体" w:hAnsi="宋体" w:eastAsia="宋体" w:cs="宋体"/>
                <w:i w:val="0"/>
                <w:color w:val="000000"/>
                <w:sz w:val="20"/>
                <w:szCs w:val="20"/>
                <w:u w:val="none"/>
              </w:rPr>
            </w:pP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0"/>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5936A70"/>
    <w:rsid w:val="073571F2"/>
    <w:rsid w:val="08637014"/>
    <w:rsid w:val="09A22A9A"/>
    <w:rsid w:val="11B345A2"/>
    <w:rsid w:val="11F0216C"/>
    <w:rsid w:val="11FB2585"/>
    <w:rsid w:val="12405027"/>
    <w:rsid w:val="19173BEC"/>
    <w:rsid w:val="1AE25643"/>
    <w:rsid w:val="1B181E72"/>
    <w:rsid w:val="1C7B558B"/>
    <w:rsid w:val="1E05756A"/>
    <w:rsid w:val="204400A1"/>
    <w:rsid w:val="216F6706"/>
    <w:rsid w:val="2C466334"/>
    <w:rsid w:val="2E124748"/>
    <w:rsid w:val="2FED0A7B"/>
    <w:rsid w:val="303F24AB"/>
    <w:rsid w:val="352A71FE"/>
    <w:rsid w:val="364E621B"/>
    <w:rsid w:val="37421D1D"/>
    <w:rsid w:val="3D394AB7"/>
    <w:rsid w:val="433C2D37"/>
    <w:rsid w:val="4377126D"/>
    <w:rsid w:val="442365D5"/>
    <w:rsid w:val="49726E89"/>
    <w:rsid w:val="49CF663C"/>
    <w:rsid w:val="508E7A28"/>
    <w:rsid w:val="57530AD4"/>
    <w:rsid w:val="5A3230EE"/>
    <w:rsid w:val="5C3A0D5D"/>
    <w:rsid w:val="5EEE743C"/>
    <w:rsid w:val="62C148D1"/>
    <w:rsid w:val="63211DE2"/>
    <w:rsid w:val="63A34163"/>
    <w:rsid w:val="64DD49F1"/>
    <w:rsid w:val="6A4867A0"/>
    <w:rsid w:val="7227212B"/>
    <w:rsid w:val="72685FA0"/>
    <w:rsid w:val="78C67E70"/>
    <w:rsid w:val="7F0F4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 w:type="character" w:customStyle="1" w:styleId="186">
    <w:name w:val="font91"/>
    <w:basedOn w:val="24"/>
    <w:qFormat/>
    <w:uiPriority w:val="0"/>
    <w:rPr>
      <w:rFonts w:hint="eastAsia" w:ascii="宋体" w:hAnsi="宋体" w:eastAsia="宋体" w:cs="宋体"/>
      <w:color w:val="000000"/>
      <w:sz w:val="21"/>
      <w:szCs w:val="21"/>
      <w:u w:val="none"/>
    </w:rPr>
  </w:style>
  <w:style w:type="character" w:customStyle="1" w:styleId="187">
    <w:name w:val="font101"/>
    <w:basedOn w:val="24"/>
    <w:qFormat/>
    <w:uiPriority w:val="0"/>
    <w:rPr>
      <w:rFonts w:hint="eastAsia" w:ascii="宋体" w:hAnsi="宋体" w:eastAsia="宋体" w:cs="宋体"/>
      <w:color w:val="000000"/>
      <w:sz w:val="21"/>
      <w:szCs w:val="21"/>
      <w:u w:val="none"/>
    </w:rPr>
  </w:style>
  <w:style w:type="character" w:customStyle="1" w:styleId="188">
    <w:name w:val="font41"/>
    <w:basedOn w:val="24"/>
    <w:qFormat/>
    <w:uiPriority w:val="0"/>
    <w:rPr>
      <w:rFonts w:hint="eastAsia" w:ascii="宋体" w:hAnsi="宋体" w:eastAsia="宋体" w:cs="宋体"/>
      <w:color w:val="000000"/>
      <w:sz w:val="21"/>
      <w:szCs w:val="21"/>
      <w:u w:val="none"/>
    </w:rPr>
  </w:style>
  <w:style w:type="character" w:customStyle="1" w:styleId="189">
    <w:name w:val="font31"/>
    <w:basedOn w:val="24"/>
    <w:qFormat/>
    <w:uiPriority w:val="0"/>
    <w:rPr>
      <w:rFonts w:hint="eastAsia" w:ascii="宋体" w:hAnsi="宋体" w:eastAsia="宋体" w:cs="宋体"/>
      <w:color w:val="000000"/>
      <w:sz w:val="21"/>
      <w:szCs w:val="21"/>
      <w:u w:val="none"/>
    </w:rPr>
  </w:style>
  <w:style w:type="character" w:customStyle="1" w:styleId="190">
    <w:name w:val="font81"/>
    <w:basedOn w:val="24"/>
    <w:qFormat/>
    <w:uiPriority w:val="0"/>
    <w:rPr>
      <w:rFonts w:hint="eastAsia" w:ascii="宋体" w:hAnsi="宋体" w:eastAsia="宋体" w:cs="宋体"/>
      <w:color w:val="000000"/>
      <w:sz w:val="21"/>
      <w:szCs w:val="21"/>
      <w:u w:val="none"/>
    </w:rPr>
  </w:style>
  <w:style w:type="character" w:customStyle="1" w:styleId="191">
    <w:name w:val="font21"/>
    <w:basedOn w:val="24"/>
    <w:qFormat/>
    <w:uiPriority w:val="0"/>
    <w:rPr>
      <w:rFonts w:hint="eastAsia" w:ascii="宋体" w:hAnsi="宋体" w:eastAsia="宋体" w:cs="宋体"/>
      <w:color w:val="000000"/>
      <w:sz w:val="21"/>
      <w:szCs w:val="21"/>
      <w:u w:val="none"/>
    </w:rPr>
  </w:style>
  <w:style w:type="character" w:customStyle="1" w:styleId="192">
    <w:name w:val="font51"/>
    <w:basedOn w:val="2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2017-06-05T05:48:25Z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