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hint="eastAsia" w:ascii="黑体" w:eastAsia="黑体" w:cs="黑体"/>
                      <w:b/>
                      <w:bCs/>
                      <w:color w:val="993366"/>
                      <w:lang w:val="en-US" w:eastAsia="zh-CN"/>
                    </w:rPr>
                    <w:t>6</w:t>
                  </w:r>
                  <w:r>
                    <w:rPr>
                      <w:rFonts w:hint="eastAsia" w:ascii="黑体" w:eastAsia="黑体" w:cs="黑体"/>
                      <w:b/>
                      <w:bCs/>
                      <w:color w:val="993366"/>
                    </w:rPr>
                    <w:t>月</w:t>
                  </w:r>
                  <w:r>
                    <w:rPr>
                      <w:rFonts w:hint="eastAsia" w:ascii="黑体" w:eastAsia="黑体" w:cs="黑体"/>
                      <w:b/>
                      <w:bCs/>
                      <w:color w:val="993366"/>
                      <w:lang w:val="en-US" w:eastAsia="zh-CN"/>
                    </w:rPr>
                    <w:t>2</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hint="eastAsia"/>
          <w:color w:val="FF0000"/>
          <w:sz w:val="28"/>
          <w:szCs w:val="28"/>
        </w:rPr>
      </w:pPr>
      <w:bookmarkStart w:id="1" w:name="_Toc436380329"/>
    </w:p>
    <w:p>
      <w:pPr>
        <w:rPr>
          <w:rFonts w:hint="eastAsia"/>
          <w:color w:val="FF0000"/>
          <w:sz w:val="28"/>
          <w:szCs w:val="28"/>
        </w:rPr>
      </w:pPr>
    </w:p>
    <w:p>
      <w:pPr>
        <w:rPr>
          <w:rFonts w:hint="eastAsia"/>
          <w:color w:val="FF0000"/>
          <w:sz w:val="28"/>
          <w:szCs w:val="28"/>
        </w:rPr>
      </w:pPr>
    </w:p>
    <w:p>
      <w:pPr>
        <w:pStyle w:val="2"/>
        <w:tabs>
          <w:tab w:val="left" w:pos="2100"/>
        </w:tabs>
        <w:spacing w:before="120" w:after="0" w:line="240" w:lineRule="auto"/>
        <w:rPr>
          <w:rFonts w:ascii="宋体" w:hAnsi="宋体" w:eastAsia="宋体" w:cs="宋体"/>
          <w:sz w:val="24"/>
          <w:szCs w:val="24"/>
        </w:rPr>
      </w:pPr>
      <w:r>
        <w:rPr>
          <w:rFonts w:hint="eastAsia"/>
          <w:color w:val="FF0000"/>
          <w:sz w:val="28"/>
          <w:szCs w:val="28"/>
        </w:rPr>
        <w:t>一、</w:t>
      </w:r>
      <w:bookmarkEnd w:id="0"/>
      <w:r>
        <w:rPr>
          <w:rFonts w:hint="eastAsia"/>
          <w:color w:val="FF0000"/>
          <w:sz w:val="28"/>
          <w:szCs w:val="28"/>
        </w:rPr>
        <w:t>国际燃料油市场行情</w:t>
      </w:r>
      <w:bookmarkEnd w:id="1"/>
      <w:bookmarkStart w:id="2" w:name="_Toc122509008"/>
      <w:bookmarkStart w:id="3" w:name="_Toc164833123"/>
      <w:bookmarkStart w:id="4" w:name="_Toc123098827"/>
      <w:bookmarkStart w:id="5" w:name="_Toc120023864"/>
      <w:bookmarkStart w:id="6" w:name="_Toc283387075"/>
      <w:bookmarkStart w:id="7" w:name="_Toc111024839"/>
      <w:bookmarkStart w:id="8" w:name="_Toc436380330"/>
      <w:bookmarkStart w:id="9" w:name="_Toc152134469"/>
    </w:p>
    <w:p>
      <w:pPr>
        <w:pStyle w:val="3"/>
        <w:spacing w:before="120" w:after="120" w:line="240" w:lineRule="auto"/>
        <w:ind w:right="480"/>
        <w:rPr>
          <w:rFonts w:ascii="宋体" w:hAnsi="宋体" w:eastAsia="宋体" w:cs="Times New Roman"/>
          <w:sz w:val="24"/>
          <w:szCs w:val="24"/>
        </w:rPr>
      </w:pPr>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ascii="宋体" w:hAnsi="宋体" w:eastAsia="宋体" w:cs="宋体"/>
          <w:sz w:val="21"/>
          <w:szCs w:val="21"/>
        </w:rPr>
      </w:pPr>
      <w:r>
        <w:rPr>
          <w:rFonts w:hint="eastAsia" w:cs="宋体"/>
          <w:kern w:val="0"/>
          <w:sz w:val="21"/>
          <w:szCs w:val="21"/>
          <w:lang w:val="en-US" w:eastAsia="zh-CN" w:bidi="ar"/>
        </w:rPr>
        <w:t xml:space="preserve">    </w:t>
      </w:r>
      <w:r>
        <w:rPr>
          <w:rFonts w:hint="eastAsia" w:ascii="宋体" w:hAnsi="宋体" w:eastAsia="宋体" w:cs="宋体"/>
          <w:sz w:val="21"/>
          <w:szCs w:val="21"/>
        </w:rPr>
        <w:t xml:space="preserve">周四，亚洲380cst燃料油近月跨月价差上升，贴水缩窄至约两周最低，因市场预期存储在新加坡海域的充足供给近期或许不会再涌向市场。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在现货市场上，连续第二日没有船货成交，相比之前3-5月强劲的买兴主导市场。纸货市场上，伦敦洲际（ICE）380cst燃料油6月/7月跨月价差的贴水缩窄至每吨约0.50美元，高于前一日的贴水1美元。近月跨月价差盘中一度曾达到平价，但随后快速回吐涨幅，0900 GMT时报每吨负0.50美元。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周四公布的官方数据显示，截至5月31日当周，新加坡陆上燃料油库存下降0.1%或0.4万吨，至284万吨。创下1月初以来最低。新加坡的燃料油净进口较前一周增长1%至77.1万吨，因进口下降13%，小于出口26%的下降幅度。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根据数据显示，中国恢复了其新加坡燃料油出口最大市场的地位，最新一周新加坡出口19.1万吨燃料油到中国，其次出口8.1万吨燃料油到韩国，出口4.4万吨燃料油到台湾地区。马来西亚是新加坡最大的净燃料油出口国，共出口27.7万吨燃料油到新加坡，伊拉克出口16.7万吨燃料油到新加坡，俄罗斯出口16万吨燃料油到新加坡，泰国出口9.4万吨燃料油到新加坡。</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在阿联酋，普氏能源资讯的数据显示，截至5月29日当周富查伊拉工业区燃料油库存升至三周高位1,008.4万桶，较前一周增长11%或98.7万桶。而富查伊拉中心的燃料油库存较前一周上涨11%或98.7万桶。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尽管普氏窗口未报告有交易达成，但有意向的买家抬高了递价，而卖家则较周三水平下调了报价。</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标书消息，Bakri从沙特炼油商Samref以每吨对380cst燃料油价格贴水17美元的价格购买了8-9万吨650cst到700cst高硫燃料油船货，交货方式为FOB，6月6-10日在延布装船。</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印度石油公司以每吨对普氏和阿格斯180cst估价的均价贴水10-11美元（FOB）的价格销售了最高2.5万吨6月13-15日从坎德拉港口装船的180cst高硫燃料油船货，买家为Gulf Petrochem公司。</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三位知情的消息人士们表示，沙特阿美公司旗下的贸易子公司正打算为其新加坡办公室增加招聘人数，因为其向新加坡能源中心推进。</w:t>
      </w:r>
    </w:p>
    <w:p>
      <w:pPr>
        <w:rPr>
          <w:rFonts w:hint="eastAsia" w:ascii="宋体" w:hAnsi="宋体" w:eastAsia="宋体" w:cs="宋体"/>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152134470"/>
      <w:bookmarkStart w:id="11" w:name="_Toc283387076"/>
      <w:bookmarkStart w:id="12" w:name="_Toc436380331"/>
      <w:bookmarkStart w:id="13" w:name="_Toc164833124"/>
      <w:r>
        <w:rPr>
          <w:rFonts w:hint="eastAsia" w:ascii="宋体" w:hAnsi="宋体" w:eastAsia="宋体" w:cs="宋体"/>
          <w:sz w:val="24"/>
          <w:szCs w:val="24"/>
        </w:rPr>
        <w:t>新加坡燃料油市场价格</w:t>
      </w:r>
      <w:bookmarkEnd w:id="10"/>
      <w:bookmarkEnd w:id="11"/>
      <w:bookmarkEnd w:id="12"/>
      <w:bookmarkEnd w:id="13"/>
    </w:p>
    <w:tbl>
      <w:tblPr>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5"/>
        <w:gridCol w:w="1725"/>
        <w:gridCol w:w="1800"/>
        <w:gridCol w:w="17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中硫180cst</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lswr①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2.45/2.49</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-0.15/-0.11</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304.150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294.050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310.99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303.270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292.460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310.09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305.830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312.71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307.710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294.680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314.63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323.360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312.090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330.64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52.44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tbl>
      <w:tblPr>
        <w:tblW w:w="93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3"/>
        <w:gridCol w:w="1846"/>
        <w:gridCol w:w="1861"/>
        <w:gridCol w:w="2113"/>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b/>
                <w:i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c>
          <w:tcPr>
            <w:tcW w:w="186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8月纸货</w:t>
            </w:r>
          </w:p>
        </w:tc>
        <w:tc>
          <w:tcPr>
            <w:tcW w:w="211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c>
          <w:tcPr>
            <w:tcW w:w="189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301.50</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301.50</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300.75</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301.25</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292.75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303.25</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303.5</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295.1</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303.5</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294.75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318.55</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318.80</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312.5</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283387078"/>
      <w:bookmarkStart w:id="17" w:name="_Toc436380333"/>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tbl>
      <w:tblP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25"/>
        <w:gridCol w:w="2025"/>
        <w:gridCol w:w="2010"/>
        <w:gridCol w:w="196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8" w:name="_Toc436380334"/>
            <w:r>
              <w:rPr>
                <w:rFonts w:hint="eastAsia" w:ascii="宋体" w:hAnsi="宋体" w:eastAsia="宋体" w:cs="宋体"/>
                <w:b/>
                <w:i w:val="0"/>
                <w:color w:val="000000"/>
                <w:kern w:val="0"/>
                <w:sz w:val="20"/>
                <w:szCs w:val="20"/>
                <w:u w:val="none"/>
                <w:lang w:val="en-US" w:eastAsia="zh-CN" w:bidi="ar"/>
              </w:rPr>
              <w:t>燃料油</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w:t>
            </w:r>
          </w:p>
        </w:tc>
        <w:tc>
          <w:tcPr>
            <w:tcW w:w="20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新加坡高硫380CST</w:t>
            </w:r>
          </w:p>
        </w:tc>
        <w:tc>
          <w:tcPr>
            <w:tcW w:w="19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7月纸货</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8月纸货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贴水</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10"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196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327.25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r>
    </w:tbl>
    <w:p>
      <w:pPr>
        <w:pStyle w:val="3"/>
        <w:numPr>
          <w:ilvl w:val="0"/>
          <w:numId w:val="0"/>
        </w:numPr>
        <w:spacing w:before="120" w:after="120" w:line="240" w:lineRule="auto"/>
        <w:ind w:leftChars="0"/>
        <w:rPr>
          <w:rFonts w:ascii="宋体" w:hAnsi="宋体" w:eastAsia="宋体" w:cs="Times New Roman"/>
          <w:sz w:val="24"/>
          <w:szCs w:val="24"/>
        </w:rPr>
      </w:pPr>
    </w:p>
    <w:p>
      <w:pPr>
        <w:pStyle w:val="3"/>
        <w:numPr>
          <w:ilvl w:val="1"/>
          <w:numId w:val="1"/>
        </w:numPr>
        <w:spacing w:before="120" w:after="120" w:line="240" w:lineRule="auto"/>
        <w:rPr>
          <w:rFonts w:ascii="宋体" w:hAnsi="宋体" w:eastAsia="宋体" w:cs="Times New Roman"/>
          <w:sz w:val="24"/>
          <w:szCs w:val="24"/>
        </w:rPr>
      </w:pPr>
      <w:r>
        <w:rPr>
          <w:rFonts w:hint="eastAsia" w:ascii="宋体" w:hAnsi="宋体" w:eastAsia="宋体" w:cs="宋体"/>
          <w:sz w:val="24"/>
          <w:szCs w:val="24"/>
        </w:rPr>
        <w:t>韩国燃料油市场价格</w:t>
      </w:r>
      <w:bookmarkEnd w:id="18"/>
    </w:p>
    <w:tbl>
      <w:tblPr>
        <w:tblW w:w="6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35"/>
        <w:gridCol w:w="229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今日贴水</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6.75/7.25</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308.68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307.87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310.30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310.29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325.81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314.54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W w:w="6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5"/>
        <w:gridCol w:w="213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14.75/15.25</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14.75/15.25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295.03</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294.15</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296.94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298.59</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314.24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302.97</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W w:w="5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4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331.98</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tbl>
      <w:tblPr>
        <w:tblW w:w="4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5"/>
        <w:gridCol w:w="177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燃料油（1PCT）</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燃料油（3.5PCT）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304.50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295.75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301.00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302.25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292.25 </w:t>
            </w:r>
          </w:p>
        </w:tc>
      </w:tr>
    </w:tbl>
    <w:p>
      <w:pPr>
        <w:rPr>
          <w:rFonts w:cs="Times New Roman"/>
        </w:rPr>
      </w:pPr>
    </w:p>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283387079"/>
      <w:bookmarkStart w:id="23" w:name="_Toc152134473"/>
      <w:bookmarkStart w:id="24" w:name="_Toc164759956"/>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152134474"/>
      <w:bookmarkStart w:id="27" w:name="_Toc164759957"/>
      <w:bookmarkStart w:id="28" w:name="_Toc283387080"/>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ascii="宋体" w:hAnsi="宋体" w:eastAsia="宋体" w:cs="宋体"/>
          <w:sz w:val="21"/>
          <w:szCs w:val="21"/>
        </w:rPr>
      </w:pPr>
      <w:bookmarkStart w:id="30" w:name="_Toc436380341"/>
      <w:r>
        <w:rPr>
          <w:rFonts w:hint="eastAsia"/>
          <w:sz w:val="21"/>
          <w:szCs w:val="21"/>
        </w:rPr>
        <w:t>　　</w:t>
      </w:r>
      <w:r>
        <w:rPr>
          <w:rFonts w:hint="eastAsia" w:ascii="宋体" w:hAnsi="宋体" w:eastAsia="宋体" w:cs="宋体"/>
          <w:sz w:val="21"/>
          <w:szCs w:val="21"/>
        </w:rPr>
        <w:t>周四（6月1日）非标油零星报跌，短期走势不佳。</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因利比亚增产，扶助提振5月欧佩克产量增加，投资者们依然对主要产油国们减产将削减全球原油库存持怀疑态度，周三，油价急挫3%至三周低位。周四国内市场华南船用油市场（以广州、深圳和福建为基准）国产混调180CST库提估价为3220-3370元/吨（详见船用油日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区内燃料油市场行情始终持稳为主，油浆市场商家持续内供，业者待市情绪不高；沥青料市场终端需求疲弱，商家疲于报价，市场整体交投较为清淡。截止目前，区内国产油浆市场估价2200-2300元/吨，沥青料市场估价2400-2500元/吨，均较前一工作日持平。</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非标油市场，国际原油价格大幅下跌利空因素令区内本就走势平平的非标油市场价格承压下行，商家零星报跌，中海油湛江炼厂常一线报跌50元至4550元/吨，东莞东长车用调和柴油(密度0.845，闪点65，十六烷值53，燃料油票)报跌50元至5000元/吨，市场悲观氛围浓厚，短期走势不佳。</w:t>
      </w:r>
    </w:p>
    <w:p>
      <w:pPr>
        <w:rPr>
          <w:rFonts w:hint="eastAsia" w:ascii="宋体" w:hAnsi="宋体" w:eastAsia="宋体" w:cs="宋体"/>
          <w:sz w:val="21"/>
          <w:szCs w:val="21"/>
        </w:rPr>
      </w:pPr>
    </w:p>
    <w:p>
      <w:pPr>
        <w:pStyle w:val="3"/>
        <w:spacing w:before="240" w:after="240" w:line="240" w:lineRule="auto"/>
        <w:rPr>
          <w:rFonts w:ascii="宋体" w:hAnsi="宋体" w:eastAsia="宋体" w:cs="Times New Roman"/>
          <w:sz w:val="24"/>
          <w:szCs w:val="24"/>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ascii="宋体" w:hAnsi="宋体" w:eastAsia="宋体" w:cs="宋体"/>
          <w:sz w:val="21"/>
          <w:szCs w:val="21"/>
        </w:rPr>
      </w:pPr>
      <w:r>
        <w:rPr>
          <w:rFonts w:hint="eastAsia"/>
          <w:sz w:val="21"/>
          <w:szCs w:val="21"/>
        </w:rPr>
        <w:t>　　</w:t>
      </w:r>
      <w:r>
        <w:rPr>
          <w:rFonts w:hint="eastAsia" w:ascii="宋体" w:hAnsi="宋体" w:eastAsia="宋体" w:cs="宋体"/>
          <w:sz w:val="21"/>
          <w:szCs w:val="21"/>
        </w:rPr>
        <w:t>周四（6月1日），市场利空压力增加，短期行情看跌。</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虽然限产协议执行期会延长，但期货市场并不买账，近日外盘原油价格继续收跌，对燃料油市场的利空压力显然也在增加。船供油市场的活跃度本就不高，经此利空打压后，短期内业者的成交价或将收跌，而上游地炼的原料选择性增多后，对燃料油的深加工需求也或将降低，加之原油看跌，近期燃料油市场的走势也不乐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沥青料市场，华东主流沥青料的成交价在2570-2670元/吨，价格较昨日持平，炼厂出货有压力。据了解，宁波某大型炼厂的优质200#沥青的成交价在2530元/吨，而山东地区的焦化料需求又在转弱，近日行情不太乐观。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油浆市场，华东油浆（密度1.1左右）的主流成交价在2300-2400元/吨，价格较昨日持平，炼厂出货压力不大。日前中高密油浆做防水卷材的需求较好，加之华东与油浆外销的地炼相对较少，炼厂出货较为顺畅。据悉，巴陵石化还处于检修中，不日就会开工。</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上海市场，低金属船用180CST（密度0.98左右，硫含量1.0以内）自提成交估价在3260-3360元/吨；宁波市场，低金属船用180CST（密度0.98左右，硫含量1.0以内）自提成交估价在3260-3350元/吨；南通市场，低金属船用180CST（密度0.98左右，硫含量1.0以内）自提成交估价在3250-3340元/吨，均较昨日持平。</w:t>
      </w:r>
    </w:p>
    <w:p>
      <w:pPr>
        <w:rPr>
          <w:rFonts w:hint="eastAsia"/>
          <w:sz w:val="21"/>
          <w:szCs w:val="21"/>
        </w:rPr>
      </w:pPr>
    </w:p>
    <w:p>
      <w:pPr>
        <w:pStyle w:val="23"/>
        <w:rPr>
          <w:rFonts w:cs="Times New Roman"/>
          <w:b/>
          <w:bCs/>
        </w:rPr>
      </w:pPr>
      <w:r>
        <w:rPr>
          <w:b/>
          <w:bCs/>
        </w:rPr>
        <w:t>2.3</w:t>
      </w:r>
      <w:r>
        <w:rPr>
          <w:rFonts w:hint="eastAsia"/>
          <w:b/>
          <w:bCs/>
        </w:rPr>
        <w:t>山东地区燃料油市场行情</w:t>
      </w:r>
      <w:bookmarkEnd w:id="30"/>
      <w:bookmarkStart w:id="32" w:name="_Toc164759962"/>
      <w:bookmarkStart w:id="33" w:name="_Toc152134478"/>
    </w:p>
    <w:p>
      <w:pPr>
        <w:rPr>
          <w:rFonts w:hint="eastAsia" w:ascii="宋体" w:hAnsi="宋体" w:eastAsia="宋体" w:cs="宋体"/>
          <w:sz w:val="21"/>
          <w:szCs w:val="21"/>
        </w:rPr>
      </w:pPr>
      <w:r>
        <w:rPr>
          <w:rFonts w:hint="eastAsia"/>
          <w:sz w:val="21"/>
          <w:szCs w:val="21"/>
        </w:rPr>
        <w:t>　</w:t>
      </w:r>
      <w:bookmarkStart w:id="34" w:name="_Toc436380342"/>
      <w:r>
        <w:rPr>
          <w:rFonts w:hint="eastAsia"/>
          <w:sz w:val="21"/>
          <w:szCs w:val="21"/>
        </w:rPr>
        <w:t>　</w:t>
      </w:r>
      <w:r>
        <w:rPr>
          <w:rFonts w:hint="eastAsia" w:ascii="宋体" w:hAnsi="宋体" w:eastAsia="宋体" w:cs="宋体"/>
          <w:sz w:val="21"/>
          <w:szCs w:val="21"/>
        </w:rPr>
        <w:t>周四（6月1日），焦化料油浆齐跌，业者谨慎观望。</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进口燃料油市场，利比亚增产扶助提振5月欧佩克产量增加，此外投资者依然对主要产油国减产将削减全球原油库存持怀疑态度，周三油价急挫3%至三周低位，纽交所美国原油期货合约价格下挫至48.32美元，伦敦洲际交易所7月布伦特原油期货合约价格跌至50.31美元。俄罗斯M100成交估价3830-3930元/吨，贴水34-36美元/吨，马瑞原油（含重质油票）成交估价2720-2780元/吨，稀释沥青（沥青票 密度0.98）主流成交价2720-2780元/吨。</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焦化料市场，周四山东地区优质焦化料（沥青票，密度1.0左右，硫含量1.0左右）市场估价在2450-2550元/吨，渣油票市场估价为2550-2650元/吨，较前一工作日跌100元，周内中海沥青滨州110#合同执行2500元/吨放量2万吨左右，200#暂不放量，另外个别炼厂减渣报价高位补跌，市场购销气氛略显疲软，短期或难逆转。</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油浆市场，周四山东地区高密油浆市场成交估价2130-2230元/吨，低密油浆成交估价2230-2330元/吨，较前一工作日跌50元，外盘周二国际原油继续走低，山东油浆市场利空弥漫，业者保守谨慎看跌后市，备货积极性有限，炼厂出货压力显现，大单成交优惠力度可观。</w:t>
      </w:r>
    </w:p>
    <w:p>
      <w:pPr>
        <w:rPr>
          <w:rFonts w:hint="eastAsia" w:ascii="宋体" w:hAnsi="宋体" w:eastAsia="宋体" w:cs="宋体"/>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tbl>
      <w:tblPr>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73"/>
        <w:gridCol w:w="2820"/>
        <w:gridCol w:w="911"/>
        <w:gridCol w:w="1076"/>
        <w:gridCol w:w="1076"/>
        <w:gridCol w:w="2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7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28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1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7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6月1日</w:t>
            </w:r>
          </w:p>
        </w:tc>
        <w:tc>
          <w:tcPr>
            <w:tcW w:w="107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5月31日</w:t>
            </w:r>
          </w:p>
        </w:tc>
        <w:tc>
          <w:tcPr>
            <w:tcW w:w="258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提货方式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黄埔市场</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上期所规格180CST </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3595</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3595</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库提价（即期）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船用标准180CST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库提价（广州-海口）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沥青料</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2685</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2685</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新加坡混调高硫180CST贴水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新加坡高硫180CST</w:t>
            </w: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318.25</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318.25</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新加坡高硫380CST</w:t>
            </w: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307.75</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307.75</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华东市场</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华东国产混调180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3365</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3365</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上海国产混调180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3520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3520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宁波国产混调180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南通国产混调180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3960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3960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35-39</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35-39</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国产调和250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华东油浆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山东市场</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直馏高硫180CST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3730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3730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3930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3930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34-36</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34-36</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焦化原料（带沥青票）</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-100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2650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2750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油浆（密度密度1.03-1.06沥青票）</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-50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2330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2380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油浆（密度1.1左右沥青票</w:t>
            </w:r>
            <w:r>
              <w:rPr>
                <w:rStyle w:val="191"/>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-30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2250</w:t>
            </w:r>
          </w:p>
        </w:tc>
        <w:tc>
          <w:tcPr>
            <w:tcW w:w="1076"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2280</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常渣（密度0.95左右）</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2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4"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备注：1自2015年6月10日起，新增进口稀释沥青估价，该估价含沥青票，为港口库船提价格。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2、近期山东地区常渣外销量稀少，于2016年3月22日起暂停常渣成交估价。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4"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4"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4"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4"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4"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bl>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674"/>
        <w:gridCol w:w="618"/>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674" w:type="dxa"/>
            <w:shd w:val="clear" w:color="auto" w:fill="99CCFF"/>
          </w:tcPr>
          <w:p>
            <w:pPr>
              <w:jc w:val="center"/>
              <w:rPr>
                <w:rFonts w:cs="Times New Roman"/>
                <w:color w:val="000000"/>
                <w:sz w:val="20"/>
                <w:szCs w:val="20"/>
              </w:rPr>
            </w:pPr>
            <w:r>
              <w:rPr>
                <w:rFonts w:hint="eastAsia"/>
                <w:color w:val="000000"/>
                <w:sz w:val="20"/>
                <w:szCs w:val="20"/>
              </w:rPr>
              <w:t>升跌</w:t>
            </w:r>
          </w:p>
        </w:tc>
        <w:tc>
          <w:tcPr>
            <w:tcW w:w="618"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rFonts w:hint="eastAsia"/>
                <w:sz w:val="20"/>
                <w:szCs w:val="20"/>
                <w:lang w:val="en-US" w:eastAsia="zh-CN"/>
              </w:rPr>
              <w:t>1804</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3978</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3779</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4174</w:t>
            </w:r>
          </w:p>
        </w:tc>
        <w:tc>
          <w:tcPr>
            <w:tcW w:w="732" w:type="dxa"/>
          </w:tcPr>
          <w:p>
            <w:pPr>
              <w:rPr>
                <w:rFonts w:hint="eastAsia" w:eastAsia="宋体" w:cs="Times New Roman"/>
                <w:lang w:eastAsia="zh-CN"/>
              </w:rPr>
            </w:pPr>
            <w:r>
              <w:rPr>
                <w:rFonts w:hint="eastAsia"/>
                <w:sz w:val="20"/>
                <w:szCs w:val="20"/>
                <w:lang w:val="en-US" w:eastAsia="zh-CN"/>
              </w:rPr>
              <w:t>3779</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3829</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4010</w:t>
            </w:r>
          </w:p>
        </w:tc>
        <w:tc>
          <w:tcPr>
            <w:tcW w:w="674" w:type="dxa"/>
            <w:vAlign w:val="center"/>
          </w:tcPr>
          <w:p>
            <w:pPr>
              <w:jc w:val="center"/>
              <w:rPr>
                <w:rFonts w:hint="eastAsia" w:eastAsia="宋体" w:cs="Times New Roman"/>
                <w:sz w:val="20"/>
                <w:szCs w:val="20"/>
                <w:lang w:val="en-US" w:eastAsia="zh-CN"/>
              </w:rPr>
            </w:pPr>
            <w:r>
              <w:rPr>
                <w:rFonts w:hint="eastAsia" w:cs="Times New Roman"/>
                <w:sz w:val="20"/>
                <w:szCs w:val="20"/>
                <w:lang w:val="en-US" w:eastAsia="zh-CN"/>
              </w:rPr>
              <w:t>32</w:t>
            </w:r>
          </w:p>
        </w:tc>
        <w:tc>
          <w:tcPr>
            <w:tcW w:w="618"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46</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1June</w:t>
            </w:r>
            <w:r>
              <w:rPr>
                <w:sz w:val="20"/>
                <w:szCs w:val="20"/>
              </w:rPr>
              <w:t>17</w:t>
            </w:r>
          </w:p>
        </w:tc>
      </w:tr>
    </w:tbl>
    <w:p>
      <w:pPr>
        <w:rPr>
          <w:rFonts w:hint="eastAsia" w:ascii="Arial" w:hAnsi="Arial"/>
          <w:sz w:val="21"/>
          <w:szCs w:val="21"/>
        </w:rPr>
      </w:pPr>
      <w:bookmarkStart w:id="41" w:name="_GoBack"/>
      <w:bookmarkEnd w:id="41"/>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pStyle w:val="23"/>
        <w:rPr>
          <w:rFonts w:cs="Times New Roman"/>
          <w:sz w:val="20"/>
          <w:szCs w:val="20"/>
        </w:rPr>
      </w:pPr>
      <w:bookmarkStart w:id="37" w:name="_Toc436380345"/>
      <w:r>
        <w:rPr>
          <w:rFonts w:hint="eastAsia" w:ascii="宋体" w:hAnsi="宋体" w:eastAsia="宋体" w:cs="宋体"/>
          <w:b w:val="0"/>
          <w:i w:val="0"/>
          <w:caps w:val="0"/>
          <w:color w:val="212121"/>
          <w:spacing w:val="0"/>
          <w:sz w:val="21"/>
          <w:szCs w:val="21"/>
          <w:shd w:val="clear" w:fill="FFFFFF"/>
        </w:rPr>
        <w:t>上海燃料油价格跌幅较大。主力4月合约，以3829元/吨收盘，下跌149元,跌幅为3.75%。</w:t>
      </w:r>
      <w:r>
        <w:rPr>
          <w:rFonts w:hint="eastAsia" w:ascii="宋体" w:hAnsi="宋体" w:eastAsia="宋体" w:cs="宋体"/>
          <w:b w:val="0"/>
          <w:i w:val="0"/>
          <w:caps w:val="0"/>
          <w:color w:val="212121"/>
          <w:spacing w:val="0"/>
          <w:sz w:val="21"/>
          <w:szCs w:val="21"/>
          <w:shd w:val="clear" w:fill="FFFFFF"/>
        </w:rPr>
        <w:br w:type="textWrapping"/>
      </w:r>
      <w:r>
        <w:rPr>
          <w:rFonts w:hint="eastAsia" w:ascii="宋体" w:hAnsi="宋体" w:eastAsia="宋体" w:cs="宋体"/>
          <w:b w:val="0"/>
          <w:i w:val="0"/>
          <w:caps w:val="0"/>
          <w:color w:val="212121"/>
          <w:spacing w:val="0"/>
          <w:sz w:val="21"/>
          <w:szCs w:val="21"/>
          <w:shd w:val="clear" w:fill="FFFFFF"/>
        </w:rPr>
        <w:t>全部合约成交46手,持仓量维持6手。主力合约成交46手,持仓量维持2手。</w:t>
      </w: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ilvl w:val="1"/>
          <w:numId w:val="3"/>
        </w:numPr>
        <w:spacing w:before="240" w:after="240" w:line="240" w:lineRule="auto"/>
        <w:rPr>
          <w:rFonts w:ascii="宋体" w:hAnsi="宋体" w:eastAsia="宋体" w:cs="Times New Roman"/>
          <w:sz w:val="24"/>
          <w:szCs w:val="24"/>
        </w:rPr>
      </w:pPr>
      <w:r>
        <w:rPr>
          <w:rFonts w:hint="eastAsia" w:ascii="宋体" w:hAnsi="宋体" w:eastAsia="宋体" w:cs="宋体"/>
          <w:sz w:val="24"/>
          <w:szCs w:val="24"/>
        </w:rPr>
        <w:t>华南燃料油船期预报</w:t>
      </w:r>
    </w:p>
    <w:p>
      <w:pPr>
        <w:rPr>
          <w:rFonts w:cs="Times New Roman"/>
        </w:rPr>
      </w:pPr>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4月5日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泓富6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4月6日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龙光688</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2,978.00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大富1</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N/A/珠海</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湛海供166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10，478.00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12月3日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安定号</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混调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p>
      <w:pPr>
        <w:rPr>
          <w:rFonts w:cs="Times New Roman"/>
          <w:sz w:val="21"/>
          <w:szCs w:val="21"/>
        </w:rPr>
      </w:pPr>
    </w:p>
    <w:tbl>
      <w:tblPr>
        <w:tblStyle w:val="29"/>
        <w:tblW w:w="8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080"/>
        <w:gridCol w:w="1125"/>
        <w:gridCol w:w="1530"/>
        <w:gridCol w:w="1080"/>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PrEx>
        <w:trPr>
          <w:trHeight w:val="495" w:hRule="atLeast"/>
        </w:trPr>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bookmarkStart w:id="40" w:name="_PictureBullets"/>
            <w:r>
              <w:rPr>
                <w:rFonts w:hint="eastAsia" w:ascii="宋体" w:hAnsi="宋体" w:eastAsia="宋体" w:cs="宋体"/>
                <w:b/>
                <w:bCs/>
                <w:i w:val="0"/>
                <w:color w:val="000000"/>
                <w:kern w:val="0"/>
                <w:sz w:val="20"/>
                <w:szCs w:val="20"/>
                <w:u w:val="none"/>
                <w:lang w:val="en-US" w:eastAsia="zh-CN" w:bidi="ar"/>
              </w:rPr>
              <w:t>序号</w:t>
            </w:r>
          </w:p>
        </w:tc>
        <w:tc>
          <w:tcPr>
            <w:tcW w:w="1125"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预计到港日期</w:t>
            </w:r>
          </w:p>
        </w:tc>
        <w:tc>
          <w:tcPr>
            <w:tcW w:w="153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数量（吨）</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航线</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船名</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接货公司</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NAVE SYNERGY纳维</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神驰化工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SEA HYMN海上圣歌</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俄罗斯/莱州港</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 MEDEA美狄亚</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127000.00 </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DIAMOND牛钻</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齐润化工</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委内瑞拉/青岛港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CONFORT凯逸</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5月9日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JING GANG S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PORT STANLEY斯坦利</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DHT SOPHIE苏菲</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SOPHIE SCHE…</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SILIA T西伯亚</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CHEROKEE彻罗基</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264000.00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伊朗/青岛港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DAN都恩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285000.00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OVERSEAS MC…</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IOANNA安娜</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N/A/莱州港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基西拉勇士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阿曼/青岛港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ADVANTAGE SKY益空</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榆林湾</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SYROS WARRIOR勇士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迪拜魔力</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FSL HONG KONG</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SUEZ HANS苏伊士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5月29日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CATALAN SEA卡特兰海</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山东鑫岳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旺池</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金诚石化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5月14日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北海展望</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3438000.00 </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0"/>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5936A70"/>
    <w:rsid w:val="073571F2"/>
    <w:rsid w:val="08637014"/>
    <w:rsid w:val="09A22A9A"/>
    <w:rsid w:val="11B345A2"/>
    <w:rsid w:val="11F0216C"/>
    <w:rsid w:val="11FB2585"/>
    <w:rsid w:val="19173BEC"/>
    <w:rsid w:val="1AE25643"/>
    <w:rsid w:val="1C7B558B"/>
    <w:rsid w:val="1E05756A"/>
    <w:rsid w:val="204400A1"/>
    <w:rsid w:val="216F6706"/>
    <w:rsid w:val="2C466334"/>
    <w:rsid w:val="2E124748"/>
    <w:rsid w:val="2FED0A7B"/>
    <w:rsid w:val="303F24AB"/>
    <w:rsid w:val="352A71FE"/>
    <w:rsid w:val="37421D1D"/>
    <w:rsid w:val="3D394AB7"/>
    <w:rsid w:val="433C2D37"/>
    <w:rsid w:val="4377126D"/>
    <w:rsid w:val="442365D5"/>
    <w:rsid w:val="49726E89"/>
    <w:rsid w:val="49CF663C"/>
    <w:rsid w:val="508E7A28"/>
    <w:rsid w:val="57530AD4"/>
    <w:rsid w:val="5A3230EE"/>
    <w:rsid w:val="5C3A0D5D"/>
    <w:rsid w:val="5EEE743C"/>
    <w:rsid w:val="62C148D1"/>
    <w:rsid w:val="63211DE2"/>
    <w:rsid w:val="63A34163"/>
    <w:rsid w:val="64DD49F1"/>
    <w:rsid w:val="6A4867A0"/>
    <w:rsid w:val="7227212B"/>
    <w:rsid w:val="72685FA0"/>
    <w:rsid w:val="78C67E70"/>
    <w:rsid w:val="7F0F4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 w:type="character" w:customStyle="1" w:styleId="186">
    <w:name w:val="font91"/>
    <w:basedOn w:val="24"/>
    <w:qFormat/>
    <w:uiPriority w:val="0"/>
    <w:rPr>
      <w:rFonts w:hint="eastAsia" w:ascii="宋体" w:hAnsi="宋体" w:eastAsia="宋体" w:cs="宋体"/>
      <w:color w:val="000000"/>
      <w:sz w:val="21"/>
      <w:szCs w:val="21"/>
      <w:u w:val="none"/>
    </w:rPr>
  </w:style>
  <w:style w:type="character" w:customStyle="1" w:styleId="187">
    <w:name w:val="font101"/>
    <w:basedOn w:val="24"/>
    <w:qFormat/>
    <w:uiPriority w:val="0"/>
    <w:rPr>
      <w:rFonts w:hint="eastAsia" w:ascii="宋体" w:hAnsi="宋体" w:eastAsia="宋体" w:cs="宋体"/>
      <w:color w:val="000000"/>
      <w:sz w:val="21"/>
      <w:szCs w:val="21"/>
      <w:u w:val="none"/>
    </w:rPr>
  </w:style>
  <w:style w:type="character" w:customStyle="1" w:styleId="188">
    <w:name w:val="font41"/>
    <w:basedOn w:val="24"/>
    <w:qFormat/>
    <w:uiPriority w:val="0"/>
    <w:rPr>
      <w:rFonts w:hint="eastAsia" w:ascii="宋体" w:hAnsi="宋体" w:eastAsia="宋体" w:cs="宋体"/>
      <w:color w:val="000000"/>
      <w:sz w:val="21"/>
      <w:szCs w:val="21"/>
      <w:u w:val="none"/>
    </w:rPr>
  </w:style>
  <w:style w:type="character" w:customStyle="1" w:styleId="189">
    <w:name w:val="font31"/>
    <w:basedOn w:val="24"/>
    <w:qFormat/>
    <w:uiPriority w:val="0"/>
    <w:rPr>
      <w:rFonts w:hint="eastAsia" w:ascii="宋体" w:hAnsi="宋体" w:eastAsia="宋体" w:cs="宋体"/>
      <w:color w:val="000000"/>
      <w:sz w:val="21"/>
      <w:szCs w:val="21"/>
      <w:u w:val="none"/>
    </w:rPr>
  </w:style>
  <w:style w:type="character" w:customStyle="1" w:styleId="190">
    <w:name w:val="font81"/>
    <w:basedOn w:val="24"/>
    <w:qFormat/>
    <w:uiPriority w:val="0"/>
    <w:rPr>
      <w:rFonts w:hint="eastAsia" w:ascii="宋体" w:hAnsi="宋体" w:eastAsia="宋体" w:cs="宋体"/>
      <w:color w:val="000000"/>
      <w:sz w:val="21"/>
      <w:szCs w:val="21"/>
      <w:u w:val="none"/>
    </w:rPr>
  </w:style>
  <w:style w:type="character" w:customStyle="1" w:styleId="191">
    <w:name w:val="font21"/>
    <w:basedOn w:val="2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2017-06-02T03:42:49Z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