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ascii="黑体" w:eastAsia="黑体" w:cs="黑体"/>
                      <w:b/>
                      <w:bCs/>
                      <w:color w:val="993366"/>
                    </w:rPr>
                    <w:t>5</w:t>
                  </w:r>
                  <w:r>
                    <w:rPr>
                      <w:rFonts w:hint="eastAsia" w:ascii="黑体" w:eastAsia="黑体" w:cs="黑体"/>
                      <w:b/>
                      <w:bCs/>
                      <w:color w:val="993366"/>
                    </w:rPr>
                    <w:t>月</w:t>
                  </w:r>
                  <w:r>
                    <w:rPr>
                      <w:rFonts w:hint="eastAsia" w:ascii="黑体" w:eastAsia="黑体" w:cs="黑体"/>
                      <w:b/>
                      <w:bCs/>
                      <w:color w:val="993366"/>
                      <w:lang w:val="en-US" w:eastAsia="zh-CN"/>
                    </w:rPr>
                    <w:t>31</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olor w:val="FF0000"/>
          <w:sz w:val="28"/>
          <w:szCs w:val="28"/>
        </w:rPr>
      </w:pPr>
      <w:bookmarkStart w:id="1" w:name="_Toc436380329"/>
    </w:p>
    <w:p>
      <w:pPr>
        <w:rPr>
          <w:rFonts w:hint="eastAsia"/>
          <w:color w:val="FF0000"/>
          <w:sz w:val="28"/>
          <w:szCs w:val="28"/>
        </w:rPr>
      </w:pPr>
    </w:p>
    <w:p>
      <w:pPr>
        <w:rPr>
          <w:rFonts w:hint="eastAsia"/>
          <w:color w:val="FF0000"/>
          <w:sz w:val="28"/>
          <w:szCs w:val="28"/>
        </w:rPr>
      </w:pPr>
    </w:p>
    <w:p>
      <w:pPr>
        <w:pStyle w:val="2"/>
        <w:tabs>
          <w:tab w:val="left" w:pos="2100"/>
        </w:tabs>
        <w:spacing w:before="120" w:after="0" w:line="240" w:lineRule="auto"/>
        <w:rPr>
          <w:rFonts w:ascii="宋体" w:hAnsi="宋体" w:eastAsia="宋体" w:cs="宋体"/>
          <w:sz w:val="24"/>
          <w:szCs w:val="24"/>
        </w:rPr>
      </w:pPr>
      <w:r>
        <w:rPr>
          <w:rFonts w:hint="eastAsia"/>
          <w:color w:val="FF0000"/>
          <w:sz w:val="28"/>
          <w:szCs w:val="28"/>
        </w:rPr>
        <w:t>一、</w:t>
      </w:r>
      <w:bookmarkEnd w:id="0"/>
      <w:r>
        <w:rPr>
          <w:rFonts w:hint="eastAsia"/>
          <w:color w:val="FF0000"/>
          <w:sz w:val="28"/>
          <w:szCs w:val="28"/>
        </w:rPr>
        <w:t>国际燃料油市场行情</w:t>
      </w:r>
      <w:bookmarkEnd w:id="1"/>
      <w:bookmarkStart w:id="2" w:name="_Toc436380330"/>
      <w:bookmarkStart w:id="3" w:name="_Toc111024839"/>
      <w:bookmarkStart w:id="4" w:name="_Toc152134469"/>
      <w:bookmarkStart w:id="5" w:name="_Toc122509008"/>
      <w:bookmarkStart w:id="6" w:name="_Toc123098827"/>
      <w:bookmarkStart w:id="7" w:name="_Toc283387075"/>
      <w:bookmarkStart w:id="8" w:name="_Toc120023864"/>
      <w:bookmarkStart w:id="9" w:name="_Toc164833123"/>
    </w:p>
    <w:p>
      <w:pPr>
        <w:pStyle w:val="3"/>
        <w:spacing w:before="120" w:after="120" w:line="240" w:lineRule="auto"/>
        <w:ind w:right="480"/>
        <w:rPr>
          <w:rFonts w:ascii="宋体" w:hAnsi="宋体" w:eastAsia="宋体" w:cs="Times New Roman"/>
          <w:sz w:val="24"/>
          <w:szCs w:val="24"/>
        </w:rPr>
      </w:pPr>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ascii="宋体" w:hAnsi="宋体" w:eastAsia="宋体" w:cs="宋体"/>
          <w:sz w:val="21"/>
          <w:szCs w:val="21"/>
        </w:rPr>
      </w:pPr>
      <w:r>
        <w:rPr>
          <w:rFonts w:hint="eastAsia" w:cs="宋体"/>
          <w:kern w:val="0"/>
          <w:sz w:val="21"/>
          <w:szCs w:val="21"/>
          <w:lang w:val="en-US" w:eastAsia="zh-CN" w:bidi="ar"/>
        </w:rPr>
        <w:t xml:space="preserve">    </w:t>
      </w:r>
      <w:r>
        <w:rPr>
          <w:rFonts w:hint="eastAsia" w:ascii="宋体" w:hAnsi="宋体" w:eastAsia="宋体" w:cs="宋体"/>
          <w:sz w:val="21"/>
          <w:szCs w:val="21"/>
        </w:rPr>
        <w:t>中石油和摩科瑞公司在普氏窗口交易中大力买入燃料油实货近三个月后，这两家贸易公司周五售出了其第一批船货。这令业内参与商推测他们的买盘风波目前已中止，可能打压现货价差和纸货市场。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与此同时，业内人士表示，新加坡码头交货升水价下跌，因过去一周船用油的需求相对疲软，而且船用油地区性市场竞争激烈。</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新加坡现货市场中达成三笔燃料油交易，总计60万吨380CST燃料油。中石油公司售给Coastal公司各2万吨分别于6月16-20日和6月21-25日装380CST燃料油，售价分别为每吨295.50美元和294.50美元。摩科瑞公司售给兴隆公司2万吨6月11-15日装380CST燃料油，售价为每吨294.50美元。</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相对疲软的交易价使380CST燃料油的现货价差跌至每吨较新加坡报价贴水0.05美元。上次380CST燃料油的现货价差处于贴水价位是在3月20日。</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自3月以来，摩科瑞公司在普氏窗口交易中已购买了总共279万吨燃料油，仅次于中石油公司，中石油公司在同一时期购买了356万吨。加起来，摩科瑞公司和中石油公司的采购量占3月初以来燃料油交易总量866万吨的73%。</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自5月初以来，普氏窗口交易中总共交易了180万吨燃料油，而4月份成交了382.1万吨。</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业内人士周五挂牌码头交货价为每吨较新加坡报价升水约3.00美元。消息人士表示，新加坡船用燃料油的较低需求以及香港船舶市场价格竞争力的加强有助于新加坡码头交货的升水价近期下跌。</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一位贸易商表示，从韩国向香港供应的燃料油增加，这使新加坡的船用油更具有价格竞争力。</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过去两周，码头交货价平均为每吨较新加坡报价升水4美元以上，而前两周的价格平均为每吨较新加坡报价升水约2.50-3.00美元。</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由于公共假期，PJK International将于5月26日公布其阿姆斯特丹-鹿特丹-安特卫普的成品油库存周度报告，而不是5月25日。</w:t>
      </w:r>
    </w:p>
    <w:p>
      <w:pPr>
        <w:rPr>
          <w:rFonts w:hint="eastAsia" w:ascii="宋体" w:hAnsi="宋体" w:eastAsia="宋体" w:cs="宋体"/>
          <w:b/>
          <w:bCs/>
          <w:sz w:val="21"/>
          <w:szCs w:val="21"/>
        </w:rPr>
      </w:pPr>
    </w:p>
    <w:p>
      <w:pPr>
        <w:rPr>
          <w:rFonts w:hint="eastAsia"/>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164833124"/>
      <w:bookmarkStart w:id="11" w:name="_Toc283387076"/>
      <w:bookmarkStart w:id="12" w:name="_Toc152134470"/>
      <w:bookmarkStart w:id="13" w:name="_Toc436380331"/>
      <w:r>
        <w:rPr>
          <w:rFonts w:hint="eastAsia" w:ascii="宋体" w:hAnsi="宋体" w:eastAsia="宋体" w:cs="宋体"/>
          <w:sz w:val="24"/>
          <w:szCs w:val="24"/>
        </w:rPr>
        <w:t>新加坡燃料油市场价格</w:t>
      </w:r>
      <w:bookmarkEnd w:id="10"/>
      <w:bookmarkEnd w:id="11"/>
      <w:bookmarkEnd w:id="12"/>
      <w:bookmarkEnd w:id="13"/>
    </w:p>
    <w:tbl>
      <w:tblPr>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1725"/>
        <w:gridCol w:w="1800"/>
        <w:gridCol w:w="1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中硫180cst</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lswr①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2.51/2.55</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-0.85/-0.81</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305.830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312.71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294.680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314.63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323.360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312.090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330.64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320.040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308.980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327.24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312.080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301.780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319.10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50.83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tbl>
      <w:tblP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30"/>
        <w:gridCol w:w="1817"/>
        <w:gridCol w:w="1832"/>
        <w:gridCol w:w="2078"/>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3649"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b/>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6月纸货</w:t>
            </w:r>
          </w:p>
        </w:tc>
        <w:tc>
          <w:tcPr>
            <w:tcW w:w="183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7纸货</w:t>
            </w:r>
          </w:p>
        </w:tc>
        <w:tc>
          <w:tcPr>
            <w:tcW w:w="20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6月纸货</w:t>
            </w:r>
          </w:p>
        </w:tc>
        <w:tc>
          <w:tcPr>
            <w:tcW w:w="201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303.25</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295.1</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294.75</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318.55</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318.80</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316.75</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308.65</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18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1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20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300.45</w:t>
            </w:r>
          </w:p>
        </w:tc>
        <w:tc>
          <w:tcPr>
            <w:tcW w:w="2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2025"/>
        <w:gridCol w:w="2010"/>
        <w:gridCol w:w="196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436380334"/>
            <w:r>
              <w:rPr>
                <w:rFonts w:hint="eastAsia" w:ascii="宋体" w:hAnsi="宋体" w:eastAsia="宋体" w:cs="宋体"/>
                <w:b/>
                <w:i w:val="0"/>
                <w:color w:val="000000"/>
                <w:kern w:val="0"/>
                <w:sz w:val="20"/>
                <w:szCs w:val="20"/>
                <w:u w:val="none"/>
                <w:lang w:val="en-US" w:eastAsia="zh-CN" w:bidi="ar"/>
              </w:rPr>
              <w:t>燃料油</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w:t>
            </w:r>
          </w:p>
        </w:tc>
        <w:tc>
          <w:tcPr>
            <w:tcW w:w="20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新加坡高硫380CST</w:t>
            </w:r>
          </w:p>
        </w:tc>
        <w:tc>
          <w:tcPr>
            <w:tcW w:w="19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6月纸货</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7月纸货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贴水</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10"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196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bl>
    <w:p>
      <w:pPr>
        <w:pStyle w:val="3"/>
        <w:numPr>
          <w:numId w:val="0"/>
        </w:numPr>
        <w:spacing w:before="120" w:after="120" w:line="240" w:lineRule="auto"/>
        <w:ind w:leftChars="0"/>
        <w:rPr>
          <w:rFonts w:ascii="宋体" w:hAnsi="宋体" w:eastAsia="宋体" w:cs="Times New Roman"/>
          <w:sz w:val="24"/>
          <w:szCs w:val="24"/>
        </w:rPr>
      </w:pPr>
    </w:p>
    <w:p>
      <w:pPr>
        <w:pStyle w:val="3"/>
        <w:numPr>
          <w:ilvl w:val="1"/>
          <w:numId w:val="1"/>
        </w:numPr>
        <w:spacing w:before="120" w:after="120" w:line="240" w:lineRule="auto"/>
        <w:rPr>
          <w:rFonts w:ascii="宋体" w:hAnsi="宋体" w:eastAsia="宋体" w:cs="Times New Roman"/>
          <w:sz w:val="24"/>
          <w:szCs w:val="24"/>
        </w:rPr>
      </w:pPr>
      <w:r>
        <w:rPr>
          <w:rFonts w:hint="eastAsia" w:ascii="宋体" w:hAnsi="宋体" w:eastAsia="宋体" w:cs="宋体"/>
          <w:sz w:val="24"/>
          <w:szCs w:val="24"/>
        </w:rPr>
        <w:t>韩国燃料油市场价格</w:t>
      </w:r>
      <w:bookmarkEnd w:id="18"/>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35"/>
        <w:gridCol w:w="229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今日贴水</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6.75/7.25</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310.30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310.29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325.81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323.26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315.48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305.18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16.25/16.75</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16.25/16.75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314.24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302.5</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292.2</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4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320.88</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tbl>
      <w:tblPr>
        <w:tblW w:w="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17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燃料油（1PCT）</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燃料油（3.5PCT）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302.25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316.50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294.50 </w:t>
            </w:r>
          </w:p>
        </w:tc>
      </w:tr>
    </w:tbl>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164759956"/>
      <w:bookmarkStart w:id="23" w:name="_Toc283387079"/>
      <w:bookmarkStart w:id="24" w:name="_Toc152134473"/>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283387080"/>
      <w:bookmarkStart w:id="27" w:name="_Toc164759957"/>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ascii="宋体" w:hAnsi="宋体" w:eastAsia="宋体" w:cs="宋体"/>
          <w:sz w:val="21"/>
          <w:szCs w:val="21"/>
        </w:rPr>
      </w:pPr>
      <w:bookmarkStart w:id="30" w:name="_Toc436380341"/>
      <w:r>
        <w:rPr>
          <w:rFonts w:hint="eastAsia"/>
          <w:sz w:val="21"/>
          <w:szCs w:val="21"/>
        </w:rPr>
        <w:t>　　</w:t>
      </w:r>
      <w:r>
        <w:rPr>
          <w:rFonts w:hint="eastAsia" w:ascii="宋体" w:hAnsi="宋体" w:eastAsia="宋体" w:cs="宋体"/>
          <w:sz w:val="21"/>
          <w:szCs w:val="21"/>
        </w:rPr>
        <w:t>周五（5月26日）市场持续走势，按需操作为主。</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周四欧佩克会议后 ，油价跌至一周低点，创下5月4日以来最大单日跌幅，此前主要产油国延长减产的协议未能令投资者满意，他们原本希望欧佩克采取更大力度的行动来支撑油价。周五国内市场华南船用油市场（以广州、深圳和福建为基准）国产混调180CST库提估价为3220-3370元/吨（详见船用油日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区内燃料油市场整体走势依旧持稳为主，业者待市情绪一般，商家多按需操作为主，市场交投气氛平平。截止目前，区内国产油浆市场估价2200-2300元/吨，沥青料市场估价2400-2500元/吨，均较前一工作日持平。</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非标油市场，近期区内非标油市场行情居稳疲软为主，业者待市情绪不高，加之昨日原油价格大幅下跌，区内非标油商家多持谨慎观望态度，报价守稳为主，市场走势一般，预计未来短期内华南非标油市场价格或将以守稳为主。</w:t>
      </w:r>
    </w:p>
    <w:p>
      <w:pPr>
        <w:rPr>
          <w:rFonts w:hint="eastAsia" w:ascii="宋体" w:hAnsi="宋体" w:eastAsia="宋体" w:cs="宋体"/>
          <w:sz w:val="21"/>
          <w:szCs w:val="21"/>
        </w:rPr>
      </w:pPr>
    </w:p>
    <w:p>
      <w:pPr>
        <w:rPr>
          <w:rFonts w:hint="eastAsia" w:ascii="宋体" w:hAnsi="宋体" w:eastAsia="宋体" w:cs="宋体"/>
          <w:sz w:val="21"/>
          <w:szCs w:val="21"/>
        </w:rPr>
      </w:pP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ascii="宋体" w:hAnsi="宋体" w:eastAsia="宋体" w:cs="宋体"/>
          <w:sz w:val="21"/>
          <w:szCs w:val="21"/>
        </w:rPr>
      </w:pPr>
      <w:r>
        <w:rPr>
          <w:rFonts w:hint="eastAsia"/>
          <w:sz w:val="21"/>
          <w:szCs w:val="21"/>
        </w:rPr>
        <w:t>　　</w:t>
      </w:r>
      <w:r>
        <w:rPr>
          <w:rFonts w:hint="eastAsia" w:ascii="宋体" w:hAnsi="宋体" w:eastAsia="宋体" w:cs="宋体"/>
          <w:sz w:val="21"/>
          <w:szCs w:val="21"/>
        </w:rPr>
        <w:t>周五（5月26日），利空压力快速增大，燃料油市场暂稳待市。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在连续数日上涨后，外盘原油大幅收跌，其中，外盘WTI原油跌2.46美元至48.9美元/桶，布伦特原油则大跌了2.5美元至51.46美元/桶，前期累积的涨幅消耗大半，对乐观中的燃料油市场可谓一剂强效利空。受短期走势不明和业者悲观情绪上升的影响，市场活跃度快速降低。日前地炼多在执行前期合同，出货上的压力预计会在后市显现。</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华东油浆（密度1.1左右）的主流成交价在2300-2400元/吨，价格较昨日持平，炼厂出货较为顺畅。近期做防水卷材需求较好，中高密油浆走货压力不大，不过，外盘原油大幅收跌，令市场信心受挫，华东油浆也或将受到一些影响。</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非标油市场，华东的非标油较周边地区有一些价格优势，加之场内资源外销的地炼偏少，炼厂的报价暂时守稳，尽管外盘原油正在释放利空信号。下游的船供油市场上涨乏力，地炼的深加工需求也较少，后市非标油的出货压力或将增大。</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上海市场，低金属船用180CST（密度0.98左右，硫含量1.0以内）自提成交估价在3260-3360元/吨；宁波市场，低金属船用180CST（密度0.98左右，硫含量1.0以内）自提成交估价在3260-3350元/吨；南通市场，低金属船用180CST（密度0.98左右，硫含量1.0以内）自提成交估价在3250-3340元/吨，均较昨日持平。</w:t>
      </w:r>
    </w:p>
    <w:p>
      <w:pPr>
        <w:rPr>
          <w:rFonts w:hint="eastAsia" w:ascii="宋体" w:hAnsi="宋体" w:eastAsia="宋体" w:cs="宋体"/>
          <w:sz w:val="21"/>
          <w:szCs w:val="21"/>
        </w:rPr>
      </w:pPr>
    </w:p>
    <w:p>
      <w:pPr>
        <w:rPr>
          <w:rFonts w:hint="eastAsia"/>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ascii="宋体" w:hAnsi="宋体" w:eastAsia="宋体" w:cs="宋体"/>
          <w:sz w:val="21"/>
          <w:szCs w:val="21"/>
        </w:rPr>
      </w:pPr>
      <w:r>
        <w:rPr>
          <w:rFonts w:hint="eastAsia"/>
          <w:sz w:val="21"/>
          <w:szCs w:val="21"/>
        </w:rPr>
        <w:t>　</w:t>
      </w:r>
      <w:bookmarkStart w:id="34" w:name="_Toc436380342"/>
      <w:r>
        <w:rPr>
          <w:rFonts w:hint="eastAsia"/>
          <w:sz w:val="21"/>
          <w:szCs w:val="21"/>
        </w:rPr>
        <w:t>　</w:t>
      </w:r>
      <w:r>
        <w:rPr>
          <w:rFonts w:hint="eastAsia" w:ascii="宋体" w:hAnsi="宋体" w:eastAsia="宋体" w:cs="宋体"/>
          <w:sz w:val="21"/>
          <w:szCs w:val="21"/>
        </w:rPr>
        <w:t>周五（5月26日），国际原油大幅下挫，山东油浆承压下滑。</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进口燃料油市场，周四原油期货大幅下跌，此前主要产油国延长减产的协议未能令投资者满意，周四欧佩克会议后油价跌至一周低点，伦敦洲际交易所7月布伦特原油期货结算价至51.46美元，纽约商业交易所7月交割的WTI轻质低硫原油期货结算价至48.90美元。俄罗斯M100成交估价3830-3930元/吨，贴水34-36美元/吨，马瑞原油（含重质油票）成交估价2720-2780元/吨，稀释沥青（沥青票 密度0.98）主流成交价2720-2780元/吨。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焦化料市场，周五山东地区优质焦化料（沥青票，密度1.0左右，硫含量1.0左右）市场估价在2550-2650元/吨，渣油票市场估价为2650-2750元/吨，较前一工作日回稳，今区内减渣报价虽无明显波动，但购销气氛平平成交优惠力度可观，业者心态保守谨慎，短期看跌情绪较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周五山东地区高密油浆市场成交估价2250-2350元/吨，低密油浆成交估价2350-2450元/吨，较前一工作日跌20元，虽然成品油按机制上调140元、135元，但外盘周四国际原油大幅下挫，明显挫伤山东油浆信心，今地炼油浆报价承压下行，市场交投一般，短期国际利空或难消散，预计端午假期前油浆或稳中下行为主。</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山东地炼常减压开工率：截至5月26日，山东地区地方炼厂常减压开工率为55.6%，较上周增长0.6%，较去年同期增长5.6%。据了解周内海右石化300万吨常减压结束检修如期复工，暂无其他炼厂有加入开停工行列消息，虽端午小长假临近，但区内汽柴油行情走势依旧平平，炼厂装置开工平稳运行，下月初利津石化结束检修或如期复工，预计下周山东地炼常减压开工率攀升。</w:t>
      </w:r>
    </w:p>
    <w:p>
      <w:pPr>
        <w:rPr>
          <w:rFonts w:hint="eastAsia" w:ascii="宋体" w:hAnsi="宋体" w:eastAsia="宋体" w:cs="宋体"/>
          <w:b/>
          <w:bCs/>
          <w:sz w:val="21"/>
          <w:szCs w:val="21"/>
        </w:rPr>
      </w:pPr>
    </w:p>
    <w:p>
      <w:pPr>
        <w:rPr>
          <w:rFonts w:hint="eastAsia" w:ascii="宋体" w:hAnsi="宋体" w:eastAsia="宋体" w:cs="宋体"/>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tbl>
      <w:tblPr>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4"/>
        <w:gridCol w:w="2755"/>
        <w:gridCol w:w="886"/>
        <w:gridCol w:w="1059"/>
        <w:gridCol w:w="1059"/>
        <w:gridCol w:w="2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4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275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88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5月30日</w:t>
            </w:r>
          </w:p>
        </w:tc>
        <w:tc>
          <w:tcPr>
            <w:tcW w:w="10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5月26日</w:t>
            </w:r>
          </w:p>
        </w:tc>
        <w:tc>
          <w:tcPr>
            <w:tcW w:w="273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黄埔市场</w:t>
            </w: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上期所规格180CST </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3595</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3595</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库提价（即期）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船用标准180CST</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库提价（广州-海口）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沥青料</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2685</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2685</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新加坡混调高硫180CST贴水</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新加坡高硫180CST</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新加坡高硫380CST</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309.00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FF"/>
                <w:sz w:val="18"/>
                <w:szCs w:val="18"/>
                <w:u w:val="none"/>
              </w:rPr>
            </w:pPr>
            <w:r>
              <w:rPr>
                <w:rFonts w:hint="default" w:ascii="Tahoma" w:hAnsi="Tahoma" w:eastAsia="Tahoma" w:cs="Tahoma"/>
                <w:i w:val="0"/>
                <w:color w:val="0000FF"/>
                <w:kern w:val="0"/>
                <w:sz w:val="18"/>
                <w:szCs w:val="18"/>
                <w:u w:val="none"/>
                <w:lang w:val="en-US" w:eastAsia="zh-CN" w:bidi="ar"/>
              </w:rPr>
              <w:t>309.00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华东市场</w:t>
            </w: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3365</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3365</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3520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3520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南通国产混调180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3370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3960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3960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35-39</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35-39</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国产调和250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2850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2850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华东油浆</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2370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山东市场</w:t>
            </w: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直馏高硫180CST</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3730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3730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3930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3930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34-36</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34-36</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焦化原料（带沥青票）</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2750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2750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油浆（密度密度1.03-1.06沥青票）</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2450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2450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油浆（密度1.1左右沥青票</w:t>
            </w:r>
            <w:r>
              <w:rPr>
                <w:rStyle w:val="190"/>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2370</w:t>
            </w:r>
          </w:p>
        </w:tc>
        <w:tc>
          <w:tcPr>
            <w:tcW w:w="1059"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2370</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常渣（密度0.95左右）</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2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备注：1自2015年6月10日起，新增进口稀释沥青估价，该估价含沥青票，为港口库船提价格。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2、近期山东地区常渣外销量稀少，于2016年3月22日起暂停常渣成交估价。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93"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rPr>
          <w:rFonts w:cs="Times New Roman"/>
        </w:rPr>
      </w:pPr>
      <w:bookmarkStart w:id="41" w:name="_GoBack"/>
      <w:bookmarkEnd w:id="41"/>
    </w:p>
    <w:p>
      <w:pPr>
        <w:rPr>
          <w:rFonts w:cs="Times New Roman"/>
        </w:rPr>
      </w:pPr>
    </w:p>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560"/>
        <w:gridCol w:w="732"/>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560" w:type="dxa"/>
            <w:shd w:val="clear" w:color="auto" w:fill="99CCFF"/>
          </w:tcPr>
          <w:p>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sz w:val="20"/>
                <w:szCs w:val="20"/>
              </w:rPr>
              <w:t>1711</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3818</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3805</w:t>
            </w:r>
          </w:p>
        </w:tc>
        <w:tc>
          <w:tcPr>
            <w:tcW w:w="732" w:type="dxa"/>
          </w:tcPr>
          <w:p>
            <w:pPr>
              <w:rPr>
                <w:rFonts w:hint="eastAsia" w:eastAsia="宋体" w:cs="Times New Roman"/>
                <w:lang w:eastAsia="zh-CN"/>
              </w:rPr>
            </w:pPr>
            <w:r>
              <w:rPr>
                <w:rFonts w:hint="eastAsia"/>
                <w:sz w:val="20"/>
                <w:szCs w:val="20"/>
                <w:lang w:val="en-US" w:eastAsia="zh-CN"/>
              </w:rPr>
              <w:t>3874</w:t>
            </w:r>
          </w:p>
        </w:tc>
        <w:tc>
          <w:tcPr>
            <w:tcW w:w="732" w:type="dxa"/>
          </w:tcPr>
          <w:p>
            <w:pPr>
              <w:rPr>
                <w:rFonts w:hint="eastAsia" w:eastAsia="宋体" w:cs="Times New Roman"/>
                <w:lang w:eastAsia="zh-CN"/>
              </w:rPr>
            </w:pPr>
            <w:r>
              <w:rPr>
                <w:rFonts w:hint="eastAsia"/>
                <w:sz w:val="20"/>
                <w:szCs w:val="20"/>
                <w:lang w:val="en-US" w:eastAsia="zh-CN"/>
              </w:rPr>
              <w:t>3805</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3874</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3833</w:t>
            </w:r>
          </w:p>
        </w:tc>
        <w:tc>
          <w:tcPr>
            <w:tcW w:w="560"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15</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6</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18</w:t>
            </w:r>
            <w:r>
              <w:rPr>
                <w:sz w:val="20"/>
                <w:szCs w:val="20"/>
              </w:rPr>
              <w:t>May17</w:t>
            </w:r>
          </w:p>
        </w:tc>
      </w:tr>
    </w:tbl>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keepNext w:val="0"/>
        <w:keepLines w:val="0"/>
        <w:widowControl/>
        <w:suppressLineNumbers w:val="0"/>
        <w:wordWrap w:val="0"/>
        <w:spacing w:before="0" w:beforeAutospacing="0" w:after="60" w:afterAutospacing="0" w:line="288" w:lineRule="auto"/>
        <w:ind w:left="0" w:right="0" w:firstLine="480"/>
        <w:jc w:val="left"/>
      </w:pPr>
      <w:bookmarkStart w:id="37" w:name="_Toc436380345"/>
      <w:r>
        <w:rPr>
          <w:rFonts w:hint="eastAsia" w:ascii="宋体" w:hAnsi="宋体" w:eastAsia="宋体" w:cs="宋体"/>
          <w:kern w:val="0"/>
          <w:sz w:val="21"/>
          <w:szCs w:val="21"/>
          <w:lang w:val="en-US" w:eastAsia="zh-CN" w:bidi="ar"/>
        </w:rPr>
        <w:t>周</w:t>
      </w:r>
      <w:r>
        <w:rPr>
          <w:rFonts w:hint="eastAsia" w:cs="宋体"/>
          <w:kern w:val="0"/>
          <w:sz w:val="21"/>
          <w:szCs w:val="21"/>
          <w:lang w:val="en-US" w:eastAsia="zh-CN" w:bidi="ar"/>
        </w:rPr>
        <w:t>五</w:t>
      </w:r>
      <w:r>
        <w:rPr>
          <w:rFonts w:hint="eastAsia" w:ascii="宋体" w:hAnsi="宋体" w:eastAsia="宋体" w:cs="宋体"/>
          <w:kern w:val="0"/>
          <w:sz w:val="21"/>
          <w:szCs w:val="21"/>
          <w:lang w:val="en-US" w:eastAsia="zh-CN" w:bidi="ar"/>
        </w:rPr>
        <w:t>上期所燃料油期货市场无成交。</w:t>
      </w:r>
    </w:p>
    <w:p>
      <w:pPr>
        <w:pStyle w:val="23"/>
        <w:rPr>
          <w:rFonts w:cs="Times New Roman"/>
          <w:sz w:val="20"/>
          <w:szCs w:val="20"/>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4月5日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泓富6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4月6日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龙光688</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2,978.00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大富1</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N/A/珠海</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湛海供166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10，478.00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12月3日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安定号</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混调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080"/>
        <w:gridCol w:w="1125"/>
        <w:gridCol w:w="1530"/>
        <w:gridCol w:w="108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bookmarkStart w:id="40" w:name="_PictureBullets"/>
            <w:r>
              <w:rPr>
                <w:rFonts w:hint="eastAsia" w:ascii="宋体" w:hAnsi="宋体" w:eastAsia="宋体" w:cs="宋体"/>
                <w:b/>
                <w:bCs/>
                <w:i w:val="0"/>
                <w:color w:val="000000"/>
                <w:kern w:val="0"/>
                <w:sz w:val="20"/>
                <w:szCs w:val="20"/>
                <w:u w:val="none"/>
                <w:lang w:val="en-US" w:eastAsia="zh-CN" w:bidi="ar"/>
              </w:rPr>
              <w:t>序号</w:t>
            </w:r>
          </w:p>
        </w:tc>
        <w:tc>
          <w:tcPr>
            <w:tcW w:w="1125"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预计到港日期</w:t>
            </w:r>
          </w:p>
        </w:tc>
        <w:tc>
          <w:tcPr>
            <w:tcW w:w="153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数量（吨）</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航线</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船名</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接货公司</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NAVE SYNERGY纳维</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神驰化工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SEA HYMN海上圣歌</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俄罗斯/莱州港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 MEDEA美狄亚</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DIAMOND牛钻</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委内瑞拉/青岛港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CONFORT凯逸</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JING GANG S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PORT STANLEY斯坦利</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DHT SOPHIE苏菲</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SOPHIE SCHE…</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SILIA T西伯亚</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CHEROKEE彻罗基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264000.00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伊朗/青岛港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DAN都恩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OVERSEAS MC…</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IOANNA安娜</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N/A/莱州港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基西拉勇士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阿曼/青岛港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ADVANTAGE SKY益空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榆林湾</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SYROS WARRIOR勇士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迪拜魔力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FSL HONG KONG</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SUEZ HANS苏伊士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CATALAN SEA卡特兰海</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山东鑫岳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旺池</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北海展望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3438000.00 </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0"/>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5936A70"/>
    <w:rsid w:val="073571F2"/>
    <w:rsid w:val="08637014"/>
    <w:rsid w:val="09A22A9A"/>
    <w:rsid w:val="11B345A2"/>
    <w:rsid w:val="11F0216C"/>
    <w:rsid w:val="11FB2585"/>
    <w:rsid w:val="19173BEC"/>
    <w:rsid w:val="1AE25643"/>
    <w:rsid w:val="1C7B558B"/>
    <w:rsid w:val="204400A1"/>
    <w:rsid w:val="216F6706"/>
    <w:rsid w:val="2C466334"/>
    <w:rsid w:val="2E124748"/>
    <w:rsid w:val="2FED0A7B"/>
    <w:rsid w:val="303F24AB"/>
    <w:rsid w:val="352A71FE"/>
    <w:rsid w:val="37421D1D"/>
    <w:rsid w:val="433C2D37"/>
    <w:rsid w:val="4377126D"/>
    <w:rsid w:val="442365D5"/>
    <w:rsid w:val="49726E89"/>
    <w:rsid w:val="49CF663C"/>
    <w:rsid w:val="508E7A28"/>
    <w:rsid w:val="57530AD4"/>
    <w:rsid w:val="5C3A0D5D"/>
    <w:rsid w:val="5EEE743C"/>
    <w:rsid w:val="62C148D1"/>
    <w:rsid w:val="63211DE2"/>
    <w:rsid w:val="63A34163"/>
    <w:rsid w:val="64DD49F1"/>
    <w:rsid w:val="6A4867A0"/>
    <w:rsid w:val="7227212B"/>
    <w:rsid w:val="72685FA0"/>
    <w:rsid w:val="78C67E70"/>
    <w:rsid w:val="7F0F4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 w:type="character" w:customStyle="1" w:styleId="186">
    <w:name w:val="font91"/>
    <w:basedOn w:val="24"/>
    <w:qFormat/>
    <w:uiPriority w:val="0"/>
    <w:rPr>
      <w:rFonts w:hint="eastAsia" w:ascii="宋体" w:hAnsi="宋体" w:eastAsia="宋体" w:cs="宋体"/>
      <w:color w:val="000000"/>
      <w:sz w:val="21"/>
      <w:szCs w:val="21"/>
      <w:u w:val="none"/>
    </w:rPr>
  </w:style>
  <w:style w:type="character" w:customStyle="1" w:styleId="187">
    <w:name w:val="font101"/>
    <w:basedOn w:val="24"/>
    <w:qFormat/>
    <w:uiPriority w:val="0"/>
    <w:rPr>
      <w:rFonts w:hint="eastAsia" w:ascii="宋体" w:hAnsi="宋体" w:eastAsia="宋体" w:cs="宋体"/>
      <w:color w:val="000000"/>
      <w:sz w:val="21"/>
      <w:szCs w:val="21"/>
      <w:u w:val="none"/>
    </w:rPr>
  </w:style>
  <w:style w:type="character" w:customStyle="1" w:styleId="188">
    <w:name w:val="font41"/>
    <w:basedOn w:val="24"/>
    <w:qFormat/>
    <w:uiPriority w:val="0"/>
    <w:rPr>
      <w:rFonts w:hint="eastAsia" w:ascii="宋体" w:hAnsi="宋体" w:eastAsia="宋体" w:cs="宋体"/>
      <w:color w:val="000000"/>
      <w:sz w:val="21"/>
      <w:szCs w:val="21"/>
      <w:u w:val="none"/>
    </w:rPr>
  </w:style>
  <w:style w:type="character" w:customStyle="1" w:styleId="189">
    <w:name w:val="font31"/>
    <w:basedOn w:val="24"/>
    <w:qFormat/>
    <w:uiPriority w:val="0"/>
    <w:rPr>
      <w:rFonts w:hint="eastAsia" w:ascii="宋体" w:hAnsi="宋体" w:eastAsia="宋体" w:cs="宋体"/>
      <w:color w:val="000000"/>
      <w:sz w:val="21"/>
      <w:szCs w:val="21"/>
      <w:u w:val="none"/>
    </w:rPr>
  </w:style>
  <w:style w:type="character" w:customStyle="1" w:styleId="190">
    <w:name w:val="font81"/>
    <w:basedOn w:val="2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2017-05-31T06:35:15Z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