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CCECFF" angle="-135" focus="100%" focussize="0f,0f" focusposition="32768f,32768f"/>
    </v:background>
  </w:background>
  <w:body>
    <w:p>
      <w:pPr>
        <w:ind w:firstLine="31680" w:firstLineChars="250"/>
        <w:rPr>
          <w:rFonts w:cs="Times New Roman"/>
        </w:rPr>
      </w:pPr>
      <w:r>
        <w:pict>
          <v:shape id="图片 65" o:spid="_x0000_s1028" o:spt="75" alt="椹板-图3" type="#_x0000_t75" style="position:absolute;left:0pt;margin-left:-79.35pt;margin-top:-65.55pt;height:280.8pt;width:595pt;mso-position-vertical-relative:line;z-index:-251656192;mso-width-relative:page;mso-height-relative:page;" filled="f" o:preferrelative="t" stroked="f" coordsize="21600,21600">
            <v:path/>
            <v:fill on="f" focussize="0,0"/>
            <v:stroke on="f" joinstyle="miter"/>
            <v:imagedata r:id="rId7" o:title=""/>
            <o:lock v:ext="edit" aspectratio="t"/>
          </v:shape>
        </w:pict>
      </w:r>
      <w:r>
        <w:pict>
          <v:shape id="_x0000_s1029" o:spid="_x0000_s1029" o:spt="202" type="#_x0000_t202" style="position:absolute;left:0pt;margin-left:36pt;margin-top:0pt;height:70.2pt;width:378pt;z-index:251658240;mso-width-relative:page;mso-height-relative:page;" filled="f" stroked="f" coordsize="21600,21600">
            <v:path/>
            <v:fill on="f" focussize="0,0"/>
            <v:stroke on="f" joinstyle="miter"/>
            <v:imagedata o:title=""/>
            <o:lock v:ext="edit"/>
            <v:textbox>
              <w:txbxContent>
                <w:p>
                  <w:pPr>
                    <w:ind w:firstLine="31680" w:firstLineChars="49"/>
                    <w:rPr>
                      <w:rFonts w:ascii="Verdana" w:hAnsi="Verdana" w:eastAsia="黑体" w:cs="Times New Roman"/>
                      <w:b/>
                      <w:bCs/>
                      <w:color w:val="000080"/>
                      <w:sz w:val="36"/>
                      <w:szCs w:val="36"/>
                      <w:u w:val="double"/>
                    </w:rPr>
                  </w:pPr>
                  <w:r>
                    <w:rPr>
                      <w:rFonts w:ascii="Verdana" w:hAnsi="Verdana" w:eastAsia="黑体" w:cs="Verdana"/>
                      <w:b/>
                      <w:bCs/>
                      <w:color w:val="000080"/>
                      <w:sz w:val="36"/>
                      <w:szCs w:val="36"/>
                      <w:u w:val="double"/>
                    </w:rPr>
                    <w:t xml:space="preserve">   Chinaccm</w:t>
                  </w:r>
                  <w:r>
                    <w:rPr>
                      <w:rFonts w:ascii="Verdana" w:hAnsi="Verdana" w:eastAsia="黑体" w:cs="Verdana"/>
                      <w:b/>
                      <w:bCs/>
                      <w:color w:val="FF0000"/>
                      <w:sz w:val="44"/>
                      <w:szCs w:val="44"/>
                      <w:u w:val="double"/>
                    </w:rPr>
                    <w:t xml:space="preserve"> VIP</w:t>
                  </w:r>
                  <w:r>
                    <w:rPr>
                      <w:rFonts w:ascii="Verdana" w:hAnsi="Verdana" w:eastAsia="黑体" w:cs="Verdana"/>
                      <w:b/>
                      <w:bCs/>
                      <w:color w:val="000080"/>
                      <w:sz w:val="36"/>
                      <w:szCs w:val="36"/>
                      <w:u w:val="double"/>
                    </w:rPr>
                    <w:t xml:space="preserve">day report   </w:t>
                  </w:r>
                </w:p>
                <w:p>
                  <w:pPr>
                    <w:jc w:val="center"/>
                    <w:rPr>
                      <w:rFonts w:ascii="Verdana" w:hAnsi="Verdana" w:eastAsia="黑体" w:cs="Times New Roman"/>
                      <w:b/>
                      <w:bCs/>
                      <w:color w:val="FF6600"/>
                      <w:sz w:val="36"/>
                      <w:szCs w:val="36"/>
                      <w:u w:val="double"/>
                    </w:rPr>
                  </w:pPr>
                  <w:r>
                    <w:rPr>
                      <w:rFonts w:hint="eastAsia"/>
                      <w:b/>
                      <w:bCs/>
                      <w:color w:val="FF6600"/>
                    </w:rPr>
                    <w:t>中华商务网服务日报</w:t>
                  </w:r>
                </w:p>
              </w:txbxContent>
            </v:textbox>
          </v:shape>
        </w:pict>
      </w:r>
    </w:p>
    <w:p>
      <w:pPr>
        <w:ind w:firstLine="31680" w:firstLineChars="250"/>
        <w:rPr>
          <w:rFonts w:cs="Times New Roman"/>
        </w:rPr>
      </w:pPr>
    </w:p>
    <w:p>
      <w:pPr>
        <w:rPr>
          <w:rFonts w:cs="Times New Roman"/>
        </w:rPr>
      </w:pPr>
    </w:p>
    <w:p>
      <w:pPr>
        <w:rPr>
          <w:rFonts w:cs="Times New Roman"/>
        </w:rPr>
      </w:pPr>
    </w:p>
    <w:p>
      <w:pPr>
        <w:rPr>
          <w:rFonts w:cs="Times New Roman"/>
        </w:rPr>
      </w:pPr>
    </w:p>
    <w:p>
      <w:pPr>
        <w:tabs>
          <w:tab w:val="right" w:pos="8312"/>
        </w:tabs>
        <w:rPr>
          <w:rFonts w:cs="Times New Roman"/>
        </w:rPr>
      </w:pPr>
      <w:r>
        <w:pict>
          <v:shape id="_x0000_s1030" o:spid="_x0000_s1030" o:spt="202" type="#_x0000_t202" style="position:absolute;left:0pt;margin-left:126pt;margin-top:0pt;height:39pt;width:198pt;z-index:251658240;mso-width-relative:page;mso-height-relative:page;" filled="f" stroked="f" coordsize="21600,21600">
            <v:path/>
            <v:fill on="f" focussize="0,0"/>
            <v:stroke on="f" joinstyle="miter"/>
            <v:imagedata o:title=""/>
            <o:lock v:ext="edit"/>
            <v:textbox>
              <w:txbxContent>
                <w:p>
                  <w:pPr>
                    <w:jc w:val="center"/>
                    <w:rPr>
                      <w:rFonts w:ascii="黑体" w:eastAsia="黑体" w:cs="Times New Roman"/>
                      <w:b/>
                      <w:bCs/>
                      <w:color w:val="993366"/>
                    </w:rPr>
                  </w:pPr>
                  <w:r>
                    <w:rPr>
                      <w:rFonts w:ascii="黑体" w:eastAsia="黑体" w:cs="黑体"/>
                      <w:b/>
                      <w:bCs/>
                      <w:color w:val="993366"/>
                    </w:rPr>
                    <w:t>2017</w:t>
                  </w:r>
                  <w:r>
                    <w:rPr>
                      <w:rFonts w:hint="eastAsia" w:ascii="黑体" w:eastAsia="黑体" w:cs="黑体"/>
                      <w:b/>
                      <w:bCs/>
                      <w:color w:val="993366"/>
                    </w:rPr>
                    <w:t>年</w:t>
                  </w:r>
                  <w:r>
                    <w:rPr>
                      <w:rFonts w:ascii="黑体" w:eastAsia="黑体" w:cs="黑体"/>
                      <w:b/>
                      <w:bCs/>
                      <w:color w:val="993366"/>
                    </w:rPr>
                    <w:t>5</w:t>
                  </w:r>
                  <w:r>
                    <w:rPr>
                      <w:rFonts w:hint="eastAsia" w:ascii="黑体" w:eastAsia="黑体" w:cs="黑体"/>
                      <w:b/>
                      <w:bCs/>
                      <w:color w:val="993366"/>
                    </w:rPr>
                    <w:t>月</w:t>
                  </w:r>
                  <w:r>
                    <w:rPr>
                      <w:rFonts w:hint="eastAsia" w:ascii="黑体" w:eastAsia="黑体" w:cs="黑体"/>
                      <w:b/>
                      <w:bCs/>
                      <w:color w:val="993366"/>
                      <w:lang w:val="en-US" w:eastAsia="zh-CN"/>
                    </w:rPr>
                    <w:t>10</w:t>
                  </w:r>
                  <w:r>
                    <w:rPr>
                      <w:rFonts w:hint="eastAsia" w:ascii="黑体" w:eastAsia="黑体" w:cs="黑体"/>
                      <w:b/>
                      <w:bCs/>
                      <w:color w:val="993366"/>
                    </w:rPr>
                    <w:t>日</w:t>
                  </w:r>
                </w:p>
              </w:txbxContent>
            </v:textbox>
          </v:shape>
        </w:pict>
      </w:r>
      <w:r>
        <w:rPr>
          <w:rFonts w:cs="Times New Roman"/>
        </w:rPr>
        <w:tab/>
      </w:r>
    </w:p>
    <w:p>
      <w:pPr>
        <w:rPr>
          <w:rFonts w:cs="Times New Roman"/>
        </w:rPr>
      </w:pPr>
    </w:p>
    <w:p>
      <w:pPr>
        <w:rPr>
          <w:rFonts w:cs="Times New Roman"/>
        </w:rPr>
      </w:pPr>
    </w:p>
    <w:p>
      <w:pPr>
        <w:rPr>
          <w:rFonts w:cs="Times New Roman"/>
        </w:rPr>
      </w:pPr>
    </w:p>
    <w:p>
      <w:pPr>
        <w:rPr>
          <w:rFonts w:cs="Times New Roman"/>
        </w:rPr>
      </w:pPr>
      <w:r>
        <w:pict>
          <v:shape id="_x0000_s1031" o:spid="_x0000_s1031" o:spt="202" type="#_x0000_t202" style="position:absolute;left:0pt;margin-left:99pt;margin-top:7.8pt;height:39pt;width:306pt;z-index:251656192;mso-width-relative:page;mso-height-relative:page;" filled="f" stroked="f" coordsize="21600,21600">
            <v:path/>
            <v:fill on="f" focussize="0,0"/>
            <v:stroke on="f" joinstyle="miter"/>
            <v:imagedata o:title=""/>
            <o:lock v:ext="edit"/>
            <v:textbox>
              <w:txbxContent>
                <w:p>
                  <w:pPr>
                    <w:rPr>
                      <w:rFonts w:cs="Times New Roman"/>
                      <w:b/>
                      <w:bCs/>
                      <w:color w:val="993366"/>
                    </w:rPr>
                  </w:pPr>
                  <w:r>
                    <w:rPr>
                      <w:rFonts w:hint="eastAsia"/>
                      <w:b/>
                      <w:bCs/>
                      <w:color w:val="993366"/>
                    </w:rPr>
                    <w:t>主办单位：中华商务网石油产业频道</w:t>
                  </w:r>
                </w:p>
                <w:p>
                  <w:pPr>
                    <w:rPr>
                      <w:b/>
                      <w:bCs/>
                      <w:color w:val="993366"/>
                    </w:rPr>
                  </w:pPr>
                  <w:r>
                    <w:rPr>
                      <w:rFonts w:hint="eastAsia"/>
                      <w:b/>
                      <w:bCs/>
                      <w:color w:val="993366"/>
                    </w:rPr>
                    <w:t>石油产业：</w:t>
                  </w:r>
                  <w:r>
                    <w:rPr>
                      <w:b/>
                      <w:bCs/>
                      <w:color w:val="993366"/>
                    </w:rPr>
                    <w:t>http://www.chinaccm.com/shiyou.asp</w:t>
                  </w:r>
                </w:p>
              </w:txbxContent>
            </v:textbox>
          </v:shape>
        </w:pict>
      </w:r>
    </w:p>
    <w:p>
      <w:pPr>
        <w:rPr>
          <w:rFonts w:cs="Times New Roman"/>
        </w:rPr>
      </w:pPr>
    </w:p>
    <w:p>
      <w:pPr>
        <w:rPr>
          <w:rFonts w:cs="Times New Roman"/>
        </w:rPr>
      </w:pPr>
      <w:r>
        <w:pict>
          <v:shape id="图片 63" o:spid="_x0000_s1032" o:spt="75" alt="椹板-图2" type="#_x0000_t75" style="position:absolute;left:0pt;margin-left:-101.5pt;margin-top:6.1pt;height:577.2pt;width:369pt;mso-position-vertical-relative:line;z-index:-251655168;mso-width-relative:page;mso-height-relative:page;" filled="f" o:preferrelative="t" stroked="f" coordsize="21600,21600">
            <v:path/>
            <v:fill on="f" focussize="0,0"/>
            <v:stroke on="f" joinstyle="miter"/>
            <v:imagedata r:id="rId8" o:title=""/>
            <o:lock v:ext="edit" aspectratio="t"/>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r>
        <w:pict>
          <v:shape id="_x0000_s1033" o:spid="_x0000_s1033" o:spt="202" type="#_x0000_t202" style="position:absolute;left:0pt;margin-left:63pt;margin-top:7.8pt;height:317.75pt;width:76.8pt;mso-wrap-style:none;z-index:251654144;mso-width-relative:page;mso-height-relative:page;" filled="f" stroked="f" coordsize="21600,21600">
            <v:path/>
            <v:fill on="f" focussize="0,0"/>
            <v:stroke on="f" joinstyle="miter"/>
            <v:imagedata o:title=""/>
            <o:lock v:ext="edit"/>
            <v:textbox style="layout-flow:vertical-ideographic;mso-fit-shape-to-text:t;">
              <w:txbxContent>
                <w:p>
                  <w:pPr>
                    <w:rPr>
                      <w:rFonts w:cs="Times New Roman"/>
                    </w:rPr>
                  </w:pPr>
                  <w:r>
                    <w:rPr>
                      <w:rFonts w:cs="Times New Roman"/>
                      <w:b/>
                      <w:bCs/>
                      <w:color w:val="0000FF"/>
                      <w:sz w:val="72"/>
                      <w:szCs w:val="72"/>
                    </w:rPr>
                    <w:pict>
                      <v:shape id="_x0000_i1025" o:spt="136" type="#_x0000_t136" style="height:56.25pt;width:307.5pt;rotation:5898240f;" fillcolor="#800000" filled="t" stroked="t" coordsize="21600,21600">
                        <v:path/>
                        <v:fill on="t" focussize="0,0"/>
                        <v:stroke color="#800000"/>
                        <v:imagedata o:title=""/>
                        <o:lock v:ext="edit"/>
                        <v:textpath on="t" fitshape="t" fitpath="t" trim="t" xscale="f" string="燃料油市场日报" style="font-family:华文细黑;font-size:32pt;v-rotate-letters:t;v-text-align:center;"/>
                        <v:shadow on="t" color="#B2B2B2" opacity="52429f"/>
                        <w10:wrap type="none"/>
                        <w10:anchorlock/>
                      </v:shape>
                    </w:pict>
                  </w:r>
                </w:p>
              </w:txbxContent>
            </v:textbox>
          </v:shape>
        </w:pict>
      </w:r>
    </w:p>
    <w:p>
      <w:pPr>
        <w:rPr>
          <w:rFonts w:cs="Times New Roman"/>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r>
        <w:pict>
          <v:shape id="_x0000_s1034" o:spid="_x0000_s1034" o:spt="202" type="#_x0000_t202" style="position:absolute;left:0pt;margin-left:288pt;margin-top:0pt;height:319.8pt;width:198pt;z-index:251657216;mso-width-relative:page;mso-height-relative:page;" filled="f" stroked="f" coordsize="21600,21600">
            <v:path/>
            <v:fill on="f" focussize="0,0"/>
            <v:stroke on="f" joinstyle="miter"/>
            <v:imagedata o:title=""/>
            <o:lock v:ext="edit"/>
            <v:textbox>
              <w:txbxContent>
                <w:p>
                  <w:pPr>
                    <w:pStyle w:val="2"/>
                    <w:tabs>
                      <w:tab w:val="left" w:pos="2100"/>
                    </w:tabs>
                    <w:spacing w:before="120" w:after="0" w:line="240" w:lineRule="auto"/>
                    <w:rPr>
                      <w:rFonts w:ascii="黑体" w:hAnsi="黑体" w:eastAsia="黑体" w:cs="Times New Roman"/>
                      <w:color w:val="FF0000"/>
                      <w:sz w:val="28"/>
                      <w:szCs w:val="28"/>
                    </w:rPr>
                  </w:pPr>
                  <w:r>
                    <w:rPr>
                      <w:rFonts w:hint="eastAsia" w:ascii="黑体" w:hAnsi="黑体" w:eastAsia="黑体" w:cs="黑体"/>
                      <w:color w:val="FF0000"/>
                      <w:sz w:val="28"/>
                      <w:szCs w:val="28"/>
                    </w:rPr>
                    <w:t>声明</w:t>
                  </w:r>
                </w:p>
                <w:p>
                  <w:pPr>
                    <w:ind w:firstLine="31680" w:firstLineChars="196"/>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ind w:firstLine="31680" w:firstLineChars="196"/>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pPr>
                    <w:rPr>
                      <w:rFonts w:ascii="黑体" w:eastAsia="黑体" w:cs="Times New Roman"/>
                      <w:b/>
                      <w:bCs/>
                      <w:color w:val="993366"/>
                    </w:rPr>
                  </w:pPr>
                </w:p>
              </w:txbxContent>
            </v:textbox>
          </v:shape>
        </w:pict>
      </w: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rPr>
      </w:pPr>
    </w:p>
    <w:p>
      <w:pPr>
        <w:rPr>
          <w:rFonts w:cs="Times New Roman"/>
        </w:rPr>
      </w:pPr>
    </w:p>
    <w:p>
      <w:pPr>
        <w:rPr>
          <w:rFonts w:cs="Times New Roman"/>
        </w:rPr>
      </w:pPr>
    </w:p>
    <w:p>
      <w:pPr>
        <w:rPr>
          <w:rFonts w:cs="Times New Roman"/>
        </w:rPr>
      </w:pPr>
      <w:r>
        <w:pict>
          <v:shape id="_x0000_s1036" o:spid="_x0000_s1036" o:spt="202" type="#_x0000_t202" style="position:absolute;left:0pt;margin-left:-64.5pt;margin-top:1.6pt;height:101.4pt;width:315pt;z-index:251655168;mso-width-relative:page;mso-height-relative:page;" filled="f" stroked="f" coordsize="21600,21600">
            <v:path/>
            <v:fill on="f" focussize="0,0"/>
            <v:stroke on="f" joinstyle="miter"/>
            <v:imagedata o:title=""/>
            <o:lock v:ext="edit"/>
            <v:textbox>
              <w:txbxContent>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800080"/>
                    </w:rPr>
                  </w:pPr>
                  <w:r>
                    <w:rPr>
                      <w:rFonts w:hint="eastAsia" w:ascii="黑体" w:eastAsia="黑体" w:cs="黑体"/>
                      <w:b/>
                      <w:bCs/>
                      <w:color w:val="800080"/>
                    </w:rPr>
                    <w:t>燃料油频道：</w:t>
                  </w:r>
                  <w:r>
                    <w:fldChar w:fldCharType="begin"/>
                  </w:r>
                  <w:r>
                    <w:instrText xml:space="preserve"> HYPERLINK "http://www.chinaccm.com/20/default.asp" </w:instrText>
                  </w:r>
                  <w:r>
                    <w:fldChar w:fldCharType="separate"/>
                  </w:r>
                  <w:r>
                    <w:rPr>
                      <w:rStyle w:val="28"/>
                      <w:rFonts w:ascii="黑体" w:eastAsia="黑体" w:cs="黑体"/>
                      <w:b/>
                      <w:bCs/>
                      <w:color w:val="800080"/>
                    </w:rPr>
                    <w:t>http://www.chinaccm.com/20/default.asp</w:t>
                  </w:r>
                  <w:r>
                    <w:rPr>
                      <w:rStyle w:val="28"/>
                      <w:rFonts w:ascii="黑体" w:eastAsia="黑体" w:cs="黑体"/>
                      <w:b/>
                      <w:bCs/>
                      <w:color w:val="800080"/>
                    </w:rPr>
                    <w:fldChar w:fldCharType="end"/>
                  </w:r>
                </w:p>
                <w:p>
                  <w:pPr>
                    <w:rPr>
                      <w:rFonts w:ascii="黑体" w:eastAsia="黑体" w:cs="Times New Roman"/>
                      <w:b/>
                      <w:bCs/>
                      <w:color w:val="800080"/>
                    </w:rPr>
                  </w:pPr>
                  <w:r>
                    <w:rPr>
                      <w:rFonts w:hint="eastAsia" w:ascii="黑体" w:eastAsia="黑体" w:cs="黑体"/>
                      <w:b/>
                      <w:bCs/>
                      <w:color w:val="800080"/>
                    </w:rPr>
                    <w:t>栏目编辑：</w:t>
                  </w:r>
                  <w:r>
                    <w:rPr>
                      <w:rFonts w:hint="eastAsia" w:ascii="黑体" w:eastAsia="黑体" w:cs="黑体"/>
                      <w:b/>
                      <w:bCs/>
                      <w:color w:val="800080"/>
                      <w:lang w:eastAsia="zh-CN"/>
                    </w:rPr>
                    <w:t>邱超榜</w:t>
                  </w:r>
                </w:p>
                <w:p>
                  <w:pPr>
                    <w:rPr>
                      <w:rFonts w:ascii="黑体" w:eastAsia="黑体" w:cs="Times New Roman"/>
                      <w:b/>
                      <w:bCs/>
                      <w:color w:val="800080"/>
                    </w:rPr>
                  </w:pPr>
                  <w:r>
                    <w:rPr>
                      <w:rFonts w:hint="eastAsia" w:ascii="黑体" w:eastAsia="黑体" w:cs="黑体"/>
                      <w:b/>
                      <w:bCs/>
                      <w:color w:val="800080"/>
                    </w:rPr>
                    <w:t>邮箱：</w:t>
                  </w:r>
                  <w:r>
                    <w:rPr>
                      <w:rFonts w:hint="eastAsia" w:ascii="黑体" w:hAnsi="黑体" w:eastAsia="黑体" w:cs="黑体"/>
                      <w:b w:val="0"/>
                      <w:bCs w:val="0"/>
                      <w:i w:val="0"/>
                      <w:caps w:val="0"/>
                      <w:color w:val="000000"/>
                      <w:spacing w:val="0"/>
                      <w:sz w:val="24"/>
                      <w:szCs w:val="24"/>
                      <w:shd w:val="clear" w:fill="FFFFFF"/>
                    </w:rPr>
                    <w:t>qcb@chinaccm.com</w:t>
                  </w:r>
                  <w:r>
                    <w:rPr>
                      <w:rFonts w:ascii="微软雅黑" w:hAnsi="微软雅黑" w:eastAsia="微软雅黑" w:cs="微软雅黑"/>
                      <w:b w:val="0"/>
                      <w:i w:val="0"/>
                      <w:caps w:val="0"/>
                      <w:color w:val="000000"/>
                      <w:spacing w:val="0"/>
                      <w:sz w:val="24"/>
                      <w:szCs w:val="24"/>
                      <w:shd w:val="clear" w:fill="FFFFFF"/>
                    </w:rPr>
                    <w:t> </w:t>
                  </w:r>
                  <w:r>
                    <w:rPr>
                      <w:rFonts w:ascii="黑体" w:eastAsia="黑体" w:cs="Times New Roman"/>
                      <w:b/>
                      <w:bCs/>
                      <w:color w:val="800080"/>
                    </w:rPr>
                    <w:br w:type="textWrapping"/>
                  </w:r>
                </w:p>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993366"/>
                    </w:rPr>
                  </w:pPr>
                </w:p>
                <w:p>
                  <w:pPr>
                    <w:rPr>
                      <w:rFonts w:ascii="黑体" w:eastAsia="黑体" w:cs="Times New Roman"/>
                      <w:b/>
                      <w:bCs/>
                      <w:color w:val="993366"/>
                    </w:rPr>
                  </w:pPr>
                </w:p>
              </w:txbxContent>
            </v:textbox>
          </v:shape>
        </w:pict>
      </w:r>
      <w:r>
        <w:pict>
          <v:shape id="图片 69" o:spid="_x0000_s1035" o:spt="75" alt="椹板-图4" type="#_x0000_t75" style="position:absolute;left:0pt;margin-left:144pt;margin-top:7.8pt;height:194pt;width:362pt;mso-position-vertical-relative:line;mso-wrap-distance-left:9pt;mso-wrap-distance-right:9pt;z-index:-251657216;mso-width-relative:page;mso-height-relative:page;" filled="f" o:preferrelative="t" stroked="f" coordsize="21600,21600" wrapcoords="-45 0 -45 21517 21600 21517 21600 0 -45 0">
            <v:path/>
            <v:fill on="f" focussize="0,0"/>
            <v:stroke on="f" joinstyle="miter"/>
            <v:imagedata r:id="rId9" o:title=""/>
            <o:lock v:ext="edit" aspectratio="t"/>
            <w10:wrap type="through"/>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32"/>
          <w:szCs w:val="32"/>
        </w:rPr>
      </w:pPr>
      <w:r>
        <w:rPr>
          <w:rFonts w:hint="eastAsia"/>
          <w:b/>
          <w:bCs/>
          <w:sz w:val="32"/>
          <w:szCs w:val="32"/>
        </w:rPr>
        <w:t>目录</w:t>
      </w:r>
    </w:p>
    <w:p>
      <w:pPr>
        <w:pStyle w:val="16"/>
        <w:rPr>
          <w:rFonts w:ascii="Times New Roman" w:hAnsi="Times New Roman" w:cs="Times New Roman"/>
          <w:b w:val="0"/>
          <w:bCs w:val="0"/>
          <w:color w:val="auto"/>
          <w:kern w:val="2"/>
          <w:sz w:val="21"/>
          <w:szCs w:val="21"/>
        </w:rPr>
      </w:pPr>
      <w:bookmarkStart w:id="0" w:name="_Toc283387074"/>
      <w:r>
        <w:fldChar w:fldCharType="begin"/>
      </w:r>
      <w:r>
        <w:instrText xml:space="preserve"> TOC \o "1-3" \h \z \u </w:instrText>
      </w:r>
      <w:r>
        <w:fldChar w:fldCharType="separate"/>
      </w:r>
      <w:r>
        <w:fldChar w:fldCharType="begin"/>
      </w:r>
      <w:r>
        <w:instrText xml:space="preserve"> HYPERLINK \l "_Toc436380329" </w:instrText>
      </w:r>
      <w:r>
        <w:fldChar w:fldCharType="separate"/>
      </w:r>
      <w:r>
        <w:rPr>
          <w:rStyle w:val="28"/>
          <w:rFonts w:hint="eastAsia"/>
        </w:rPr>
        <w:t>一、国际燃料油市场行情</w:t>
      </w:r>
      <w:r>
        <w:rPr>
          <w:rFonts w:cs="Times New Roman"/>
        </w:rPr>
        <w:tab/>
      </w:r>
      <w:r>
        <w:fldChar w:fldCharType="begin"/>
      </w:r>
      <w:r>
        <w:instrText xml:space="preserve"> PAGEREF _Toc436380329 \h </w:instrText>
      </w:r>
      <w:r>
        <w:fldChar w:fldCharType="separate"/>
      </w:r>
      <w:r>
        <w:t>3</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"_Toc436380330" </w:instrText>
      </w:r>
      <w:r>
        <w:fldChar w:fldCharType="separate"/>
      </w:r>
      <w:r>
        <w:rPr>
          <w:rStyle w:val="28"/>
        </w:rPr>
        <w:t xml:space="preserve">1.1  </w:t>
      </w:r>
      <w:r>
        <w:rPr>
          <w:rStyle w:val="28"/>
          <w:rFonts w:hint="eastAsia"/>
        </w:rPr>
        <w:t>国际燃料油市场动态</w:t>
      </w:r>
      <w:r>
        <w:rPr>
          <w:rFonts w:cs="Times New Roman"/>
        </w:rPr>
        <w:tab/>
      </w:r>
      <w:r>
        <w:fldChar w:fldCharType="begin"/>
      </w:r>
      <w:r>
        <w:instrText xml:space="preserve"> PAGEREF _Toc436380330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"_Toc436380331" </w:instrText>
      </w:r>
      <w:r>
        <w:fldChar w:fldCharType="separate"/>
      </w:r>
      <w:r>
        <w:rPr>
          <w:rStyle w:val="28"/>
        </w:rPr>
        <w:t>1.2</w:t>
      </w:r>
      <w:r>
        <w:rPr>
          <w:rFonts w:ascii="Times New Roman" w:hAnsi="Times New Roman" w:cs="Times New Roman"/>
          <w:kern w:val="2"/>
          <w:sz w:val="21"/>
          <w:szCs w:val="21"/>
        </w:rPr>
        <w:tab/>
      </w:r>
      <w:r>
        <w:rPr>
          <w:rStyle w:val="28"/>
          <w:rFonts w:hint="eastAsia"/>
        </w:rPr>
        <w:t>新加坡燃料油市场价格</w:t>
      </w:r>
      <w:r>
        <w:rPr>
          <w:rFonts w:cs="Times New Roman"/>
        </w:rPr>
        <w:tab/>
      </w:r>
      <w:r>
        <w:fldChar w:fldCharType="begin"/>
      </w:r>
      <w:r>
        <w:instrText xml:space="preserve"> PAGEREF _Toc436380331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"_Toc436380332" </w:instrText>
      </w:r>
      <w:r>
        <w:fldChar w:fldCharType="separate"/>
      </w:r>
      <w:r>
        <w:rPr>
          <w:rStyle w:val="28"/>
        </w:rPr>
        <w:t>1.3</w:t>
      </w:r>
      <w:r>
        <w:rPr>
          <w:rFonts w:ascii="Times New Roman" w:hAnsi="Times New Roman" w:cs="Times New Roman"/>
          <w:kern w:val="2"/>
          <w:sz w:val="21"/>
          <w:szCs w:val="21"/>
        </w:rPr>
        <w:tab/>
      </w:r>
      <w:r>
        <w:rPr>
          <w:rStyle w:val="28"/>
          <w:rFonts w:hint="eastAsia"/>
        </w:rPr>
        <w:t>新加坡燃料油纸货价格</w:t>
      </w:r>
      <w:r>
        <w:rPr>
          <w:rFonts w:cs="Times New Roman"/>
        </w:rPr>
        <w:tab/>
      </w:r>
      <w:r>
        <w:fldChar w:fldCharType="begin"/>
      </w:r>
      <w:r>
        <w:instrText xml:space="preserve"> PAGEREF _Toc436380332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"_Toc436380333" </w:instrText>
      </w:r>
      <w:r>
        <w:fldChar w:fldCharType="separate"/>
      </w:r>
      <w:r>
        <w:rPr>
          <w:rStyle w:val="28"/>
        </w:rPr>
        <w:t>1.4</w:t>
      </w:r>
      <w:r>
        <w:rPr>
          <w:rFonts w:ascii="Times New Roman" w:hAnsi="Times New Roman" w:cs="Times New Roman"/>
          <w:kern w:val="2"/>
          <w:sz w:val="21"/>
          <w:szCs w:val="21"/>
        </w:rPr>
        <w:tab/>
      </w:r>
      <w:r>
        <w:rPr>
          <w:rStyle w:val="28"/>
          <w:rFonts w:hint="eastAsia"/>
        </w:rPr>
        <w:t>新加坡燃料油黄埔到岸价</w:t>
      </w:r>
      <w:r>
        <w:rPr>
          <w:rFonts w:cs="Times New Roman"/>
        </w:rPr>
        <w:tab/>
      </w:r>
      <w:r>
        <w:fldChar w:fldCharType="begin"/>
      </w:r>
      <w:r>
        <w:instrText xml:space="preserve"> PAGEREF _Toc436380333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"_Toc436380334" </w:instrText>
      </w:r>
      <w:r>
        <w:fldChar w:fldCharType="separate"/>
      </w:r>
      <w:r>
        <w:rPr>
          <w:rStyle w:val="28"/>
        </w:rPr>
        <w:t>1.5</w:t>
      </w:r>
      <w:r>
        <w:rPr>
          <w:rFonts w:ascii="Times New Roman" w:hAnsi="Times New Roman" w:cs="Times New Roman"/>
          <w:kern w:val="2"/>
          <w:sz w:val="21"/>
          <w:szCs w:val="21"/>
        </w:rPr>
        <w:tab/>
      </w:r>
      <w:r>
        <w:rPr>
          <w:rStyle w:val="28"/>
          <w:rFonts w:hint="eastAsia"/>
        </w:rPr>
        <w:t>韩国燃料油市场价格</w:t>
      </w:r>
      <w:r>
        <w:rPr>
          <w:rFonts w:cs="Times New Roman"/>
        </w:rPr>
        <w:tab/>
      </w:r>
      <w:r>
        <w:fldChar w:fldCharType="begin"/>
      </w:r>
      <w:r>
        <w:instrText xml:space="preserve"> PAGEREF _Toc436380334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"_Toc436380335" </w:instrText>
      </w:r>
      <w:r>
        <w:fldChar w:fldCharType="separate"/>
      </w:r>
      <w:r>
        <w:rPr>
          <w:rStyle w:val="28"/>
        </w:rPr>
        <w:t>1.6</w:t>
      </w:r>
      <w:r>
        <w:rPr>
          <w:rFonts w:ascii="Times New Roman" w:hAnsi="Times New Roman" w:cs="Times New Roman"/>
          <w:kern w:val="2"/>
          <w:sz w:val="21"/>
          <w:szCs w:val="21"/>
        </w:rPr>
        <w:tab/>
      </w:r>
      <w:r>
        <w:rPr>
          <w:rStyle w:val="28"/>
          <w:rFonts w:hint="eastAsia"/>
        </w:rPr>
        <w:t>阿拉伯湾燃料油市场价格</w:t>
      </w:r>
      <w:r>
        <w:rPr>
          <w:rFonts w:cs="Times New Roman"/>
        </w:rPr>
        <w:tab/>
      </w:r>
      <w:r>
        <w:fldChar w:fldCharType="begin"/>
      </w:r>
      <w:r>
        <w:instrText xml:space="preserve"> PAGEREF _Toc436380335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"_Toc436380336" </w:instrText>
      </w:r>
      <w:r>
        <w:fldChar w:fldCharType="separate"/>
      </w:r>
      <w:r>
        <w:rPr>
          <w:rStyle w:val="28"/>
        </w:rPr>
        <w:t>1.7</w:t>
      </w:r>
      <w:r>
        <w:rPr>
          <w:rFonts w:ascii="Times New Roman" w:hAnsi="Times New Roman" w:cs="Times New Roman"/>
          <w:kern w:val="2"/>
          <w:sz w:val="21"/>
          <w:szCs w:val="21"/>
        </w:rPr>
        <w:tab/>
      </w:r>
      <w:r>
        <w:rPr>
          <w:rStyle w:val="28"/>
          <w:rFonts w:hint="eastAsia"/>
        </w:rPr>
        <w:t>日本燃料油市场价格</w:t>
      </w:r>
      <w:r>
        <w:rPr>
          <w:rFonts w:cs="Times New Roman"/>
        </w:rPr>
        <w:tab/>
      </w:r>
      <w:r>
        <w:fldChar w:fldCharType="begin"/>
      </w:r>
      <w:r>
        <w:instrText xml:space="preserve"> PAGEREF _Toc436380336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"_Toc436380337" </w:instrText>
      </w:r>
      <w:r>
        <w:fldChar w:fldCharType="separate"/>
      </w:r>
      <w:r>
        <w:rPr>
          <w:rStyle w:val="28"/>
        </w:rPr>
        <w:t>1.8</w:t>
      </w:r>
      <w:r>
        <w:rPr>
          <w:rFonts w:ascii="Times New Roman" w:hAnsi="Times New Roman" w:cs="Times New Roman"/>
          <w:kern w:val="2"/>
          <w:sz w:val="21"/>
          <w:szCs w:val="21"/>
        </w:rPr>
        <w:tab/>
      </w:r>
      <w:r>
        <w:rPr>
          <w:rStyle w:val="28"/>
          <w:rFonts w:hint="eastAsia"/>
        </w:rPr>
        <w:t>地中海燃料油市场价格</w:t>
      </w:r>
      <w:r>
        <w:rPr>
          <w:rFonts w:cs="Times New Roman"/>
        </w:rPr>
        <w:tab/>
      </w:r>
      <w:r>
        <w:fldChar w:fldCharType="begin"/>
      </w:r>
      <w:r>
        <w:instrText xml:space="preserve"> PAGEREF _Toc436380337 \h </w:instrText>
      </w:r>
      <w:r>
        <w:fldChar w:fldCharType="separate"/>
      </w:r>
      <w:r>
        <w:t>4</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"_Toc436380338" </w:instrText>
      </w:r>
      <w:r>
        <w:fldChar w:fldCharType="separate"/>
      </w:r>
      <w:r>
        <w:rPr>
          <w:rStyle w:val="28"/>
          <w:rFonts w:hint="eastAsia"/>
        </w:rPr>
        <w:t>二、国内燃料油市场动态</w:t>
      </w:r>
      <w:r>
        <w:rPr>
          <w:rFonts w:cs="Times New Roman"/>
        </w:rPr>
        <w:tab/>
      </w:r>
      <w:r>
        <w:fldChar w:fldCharType="begin"/>
      </w:r>
      <w:r>
        <w:instrText xml:space="preserve"> PAGEREF _Toc436380338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"_Toc436380339" </w:instrText>
      </w:r>
      <w:r>
        <w:fldChar w:fldCharType="separate"/>
      </w:r>
      <w:r>
        <w:rPr>
          <w:rStyle w:val="28"/>
        </w:rPr>
        <w:t xml:space="preserve">2.1  </w:t>
      </w:r>
      <w:r>
        <w:rPr>
          <w:rStyle w:val="28"/>
          <w:rFonts w:hint="eastAsia"/>
        </w:rPr>
        <w:t>华南地区燃料油市场行情</w:t>
      </w:r>
      <w:r>
        <w:rPr>
          <w:rFonts w:cs="Times New Roman"/>
        </w:rPr>
        <w:tab/>
      </w:r>
      <w:r>
        <w:fldChar w:fldCharType="begin"/>
      </w:r>
      <w:r>
        <w:instrText xml:space="preserve"> PAGEREF _Toc436380339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"_Toc436380340" </w:instrText>
      </w:r>
      <w:r>
        <w:fldChar w:fldCharType="separate"/>
      </w:r>
      <w:r>
        <w:rPr>
          <w:rStyle w:val="28"/>
        </w:rPr>
        <w:t>2.2</w:t>
      </w:r>
      <w:r>
        <w:rPr>
          <w:rStyle w:val="28"/>
          <w:rFonts w:hint="eastAsia"/>
        </w:rPr>
        <w:t>华东地区燃料油市场行情</w:t>
      </w:r>
      <w:r>
        <w:rPr>
          <w:rFonts w:cs="Times New Roman"/>
        </w:rPr>
        <w:tab/>
      </w:r>
      <w:r>
        <w:fldChar w:fldCharType="begin"/>
      </w:r>
      <w:r>
        <w:instrText xml:space="preserve"> PAGEREF _Toc436380340 \h </w:instrText>
      </w:r>
      <w:r>
        <w:fldChar w:fldCharType="separate"/>
      </w:r>
      <w:r>
        <w:t>6</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"_Toc436380341" </w:instrText>
      </w:r>
      <w:r>
        <w:fldChar w:fldCharType="separate"/>
      </w:r>
      <w:r>
        <w:rPr>
          <w:rStyle w:val="28"/>
        </w:rPr>
        <w:t>2.3</w:t>
      </w:r>
      <w:r>
        <w:rPr>
          <w:rStyle w:val="28"/>
          <w:rFonts w:hint="eastAsia"/>
        </w:rPr>
        <w:t>山东地区燃料油市场行情</w:t>
      </w:r>
      <w:r>
        <w:rPr>
          <w:rFonts w:cs="Times New Roman"/>
        </w:rPr>
        <w:tab/>
      </w:r>
      <w:r>
        <w:fldChar w:fldCharType="begin"/>
      </w:r>
      <w:r>
        <w:instrText xml:space="preserve"> PAGEREF _Toc436380341 \h </w:instrText>
      </w:r>
      <w:r>
        <w:fldChar w:fldCharType="separate"/>
      </w:r>
      <w:r>
        <w:t>7</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"_Toc436380342" </w:instrText>
      </w:r>
      <w:r>
        <w:fldChar w:fldCharType="separate"/>
      </w:r>
      <w:r>
        <w:rPr>
          <w:rStyle w:val="28"/>
        </w:rPr>
        <w:t>2.4</w:t>
      </w:r>
      <w:r>
        <w:rPr>
          <w:rStyle w:val="28"/>
          <w:rFonts w:hint="eastAsia"/>
        </w:rPr>
        <w:t>国内各地区燃料油市场价格</w:t>
      </w:r>
      <w:r>
        <w:rPr>
          <w:rFonts w:cs="Times New Roman"/>
        </w:rPr>
        <w:tab/>
      </w:r>
      <w:r>
        <w:fldChar w:fldCharType="begin"/>
      </w:r>
      <w:r>
        <w:instrText xml:space="preserve"> PAGEREF _Toc436380342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"_Toc436380343" </w:instrText>
      </w:r>
      <w:r>
        <w:fldChar w:fldCharType="separate"/>
      </w:r>
      <w:r>
        <w:rPr>
          <w:rStyle w:val="28"/>
        </w:rPr>
        <w:t>2.5</w:t>
      </w:r>
      <w:r>
        <w:rPr>
          <w:rStyle w:val="28"/>
          <w:rFonts w:hint="eastAsia"/>
        </w:rPr>
        <w:t>上海期货交易所收盘数据</w:t>
      </w:r>
      <w:r>
        <w:rPr>
          <w:rFonts w:cs="Times New Roman"/>
        </w:rPr>
        <w:tab/>
      </w:r>
      <w:r>
        <w:fldChar w:fldCharType="begin"/>
      </w:r>
      <w:r>
        <w:instrText xml:space="preserve"> PAGEREF _Toc436380343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"_Toc436380344" </w:instrText>
      </w:r>
      <w:r>
        <w:fldChar w:fldCharType="separate"/>
      </w:r>
      <w:r>
        <w:rPr>
          <w:rStyle w:val="28"/>
        </w:rPr>
        <w:t>2.6</w:t>
      </w:r>
      <w:r>
        <w:rPr>
          <w:rStyle w:val="28"/>
          <w:rFonts w:hint="eastAsia"/>
        </w:rPr>
        <w:t>上海期货交易所收盘报告</w:t>
      </w:r>
      <w:r>
        <w:rPr>
          <w:rFonts w:cs="Times New Roman"/>
        </w:rPr>
        <w:tab/>
      </w:r>
      <w:r>
        <w:fldChar w:fldCharType="begin"/>
      </w:r>
      <w:r>
        <w:instrText xml:space="preserve"> PAGEREF _Toc436380344 \h </w:instrText>
      </w:r>
      <w:r>
        <w:fldChar w:fldCharType="separate"/>
      </w:r>
      <w:r>
        <w:t>9</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"_Toc436380345" </w:instrText>
      </w:r>
      <w:r>
        <w:fldChar w:fldCharType="separate"/>
      </w:r>
      <w:r>
        <w:rPr>
          <w:rStyle w:val="28"/>
          <w:rFonts w:hint="eastAsia"/>
        </w:rPr>
        <w:t>三、国内燃料油船期预报</w:t>
      </w:r>
      <w:r>
        <w:rPr>
          <w:rFonts w:cs="Times New Roman"/>
        </w:rPr>
        <w:tab/>
      </w:r>
      <w:r>
        <w:fldChar w:fldCharType="begin"/>
      </w:r>
      <w:r>
        <w:instrText xml:space="preserve"> PAGEREF _Toc436380345 \h </w:instrText>
      </w:r>
      <w:r>
        <w:fldChar w:fldCharType="separate"/>
      </w:r>
      <w:r>
        <w:t>9</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"_Toc436380346" </w:instrText>
      </w:r>
      <w:r>
        <w:fldChar w:fldCharType="separate"/>
      </w:r>
      <w:r>
        <w:rPr>
          <w:rStyle w:val="28"/>
        </w:rPr>
        <w:t xml:space="preserve">3.1 </w:t>
      </w:r>
      <w:r>
        <w:rPr>
          <w:rStyle w:val="28"/>
          <w:rFonts w:hint="eastAsia"/>
        </w:rPr>
        <w:t>华南燃料油船期预报</w:t>
      </w:r>
      <w:r>
        <w:rPr>
          <w:rFonts w:cs="Times New Roman"/>
        </w:rPr>
        <w:tab/>
      </w:r>
      <w:r>
        <w:fldChar w:fldCharType="begin"/>
      </w:r>
      <w:r>
        <w:instrText xml:space="preserve"> PAGEREF _Toc436380346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"_Toc436380347" </w:instrText>
      </w:r>
      <w:r>
        <w:fldChar w:fldCharType="separate"/>
      </w:r>
      <w:r>
        <w:rPr>
          <w:rStyle w:val="28"/>
        </w:rPr>
        <w:t>3.2</w:t>
      </w:r>
      <w:r>
        <w:rPr>
          <w:rFonts w:ascii="Times New Roman" w:hAnsi="Times New Roman" w:cs="Times New Roman"/>
          <w:kern w:val="2"/>
          <w:sz w:val="21"/>
          <w:szCs w:val="21"/>
        </w:rPr>
        <w:tab/>
      </w:r>
      <w:r>
        <w:rPr>
          <w:rStyle w:val="28"/>
          <w:rFonts w:hint="eastAsia"/>
        </w:rPr>
        <w:t>华东燃料油船期预报</w:t>
      </w:r>
      <w:r>
        <w:rPr>
          <w:rFonts w:cs="Times New Roman"/>
        </w:rPr>
        <w:tab/>
      </w:r>
      <w:r>
        <w:fldChar w:fldCharType="begin"/>
      </w:r>
      <w:r>
        <w:instrText xml:space="preserve"> PAGEREF _Toc436380347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"_Toc436380348" </w:instrText>
      </w:r>
      <w:r>
        <w:fldChar w:fldCharType="separate"/>
      </w:r>
      <w:r>
        <w:rPr>
          <w:rStyle w:val="28"/>
        </w:rPr>
        <w:t>3.3</w:t>
      </w:r>
      <w:r>
        <w:rPr>
          <w:rFonts w:ascii="Times New Roman" w:hAnsi="Times New Roman" w:cs="Times New Roman"/>
          <w:kern w:val="2"/>
          <w:sz w:val="21"/>
          <w:szCs w:val="21"/>
        </w:rPr>
        <w:tab/>
      </w:r>
      <w:r>
        <w:rPr>
          <w:rStyle w:val="28"/>
          <w:rFonts w:hint="eastAsia"/>
        </w:rPr>
        <w:t>山东燃料油船期预报</w:t>
      </w:r>
      <w:r>
        <w:rPr>
          <w:rFonts w:cs="Times New Roman"/>
        </w:rPr>
        <w:tab/>
      </w:r>
      <w:r>
        <w:fldChar w:fldCharType="begin"/>
      </w:r>
      <w:r>
        <w:instrText xml:space="preserve"> PAGEREF _Toc436380348 \h </w:instrText>
      </w:r>
      <w:r>
        <w:fldChar w:fldCharType="separate"/>
      </w:r>
      <w:r>
        <w:t>10</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"_Toc436380349" </w:instrText>
      </w:r>
      <w:r>
        <w:fldChar w:fldCharType="separate"/>
      </w:r>
      <w:r>
        <w:rPr>
          <w:rStyle w:val="28"/>
        </w:rPr>
        <w:t>3.4</w:t>
      </w:r>
      <w:r>
        <w:rPr>
          <w:rFonts w:ascii="Times New Roman" w:hAnsi="Times New Roman" w:cs="Times New Roman"/>
          <w:kern w:val="2"/>
          <w:sz w:val="21"/>
          <w:szCs w:val="21"/>
        </w:rPr>
        <w:tab/>
      </w:r>
      <w:r>
        <w:rPr>
          <w:rStyle w:val="28"/>
          <w:rFonts w:hint="eastAsia"/>
        </w:rPr>
        <w:t>山东原油船期预报</w:t>
      </w:r>
      <w:r>
        <w:rPr>
          <w:rFonts w:cs="Times New Roman"/>
        </w:rPr>
        <w:tab/>
      </w:r>
      <w:r>
        <w:fldChar w:fldCharType="begin"/>
      </w:r>
      <w:r>
        <w:instrText xml:space="preserve"> PAGEREF _Toc436380349 \h </w:instrText>
      </w:r>
      <w:r>
        <w:fldChar w:fldCharType="separate"/>
      </w:r>
      <w:r>
        <w:t>10</w:t>
      </w:r>
      <w:r>
        <w:fldChar w:fldCharType="end"/>
      </w:r>
      <w:r>
        <w:fldChar w:fldCharType="end"/>
      </w:r>
    </w:p>
    <w:p>
      <w:pPr>
        <w:pStyle w:val="2"/>
        <w:tabs>
          <w:tab w:val="left" w:pos="2100"/>
        </w:tabs>
        <w:spacing w:before="120" w:after="0" w:line="240" w:lineRule="auto"/>
        <w:rPr>
          <w:rFonts w:cs="Times New Roman"/>
        </w:rPr>
      </w:pPr>
      <w: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2"/>
        <w:tabs>
          <w:tab w:val="left" w:pos="2100"/>
        </w:tabs>
        <w:spacing w:before="120" w:after="0" w:line="240" w:lineRule="auto"/>
        <w:rPr>
          <w:rFonts w:cs="Times New Roman"/>
          <w:color w:val="FF0000"/>
          <w:sz w:val="28"/>
          <w:szCs w:val="28"/>
        </w:rPr>
      </w:pPr>
      <w:bookmarkStart w:id="1" w:name="_Toc436380329"/>
      <w:r>
        <w:rPr>
          <w:rFonts w:hint="eastAsia"/>
          <w:color w:val="FF0000"/>
          <w:sz w:val="28"/>
          <w:szCs w:val="28"/>
        </w:rPr>
        <w:t>一、</w:t>
      </w:r>
      <w:bookmarkEnd w:id="0"/>
      <w:r>
        <w:rPr>
          <w:rFonts w:hint="eastAsia"/>
          <w:color w:val="FF0000"/>
          <w:sz w:val="28"/>
          <w:szCs w:val="28"/>
        </w:rPr>
        <w:t>国际燃料油市场行情</w:t>
      </w:r>
      <w:bookmarkEnd w:id="1"/>
    </w:p>
    <w:p>
      <w:pPr>
        <w:pStyle w:val="3"/>
        <w:spacing w:before="120" w:after="120" w:line="240" w:lineRule="auto"/>
        <w:ind w:right="480"/>
        <w:rPr>
          <w:rFonts w:ascii="宋体" w:hAnsi="宋体" w:eastAsia="宋体" w:cs="Times New Roman"/>
          <w:sz w:val="24"/>
          <w:szCs w:val="24"/>
        </w:rPr>
      </w:pPr>
      <w:bookmarkStart w:id="2" w:name="_Toc111024839"/>
      <w:bookmarkStart w:id="3" w:name="_Toc122509008"/>
      <w:bookmarkStart w:id="4" w:name="_Toc152134469"/>
      <w:bookmarkStart w:id="5" w:name="_Toc283387075"/>
      <w:bookmarkStart w:id="6" w:name="_Toc436380330"/>
      <w:bookmarkStart w:id="7" w:name="_Toc120023864"/>
      <w:bookmarkStart w:id="8" w:name="_Toc164833123"/>
      <w:bookmarkStart w:id="9" w:name="_Toc123098827"/>
      <w:r>
        <w:rPr>
          <w:rFonts w:ascii="宋体" w:hAnsi="宋体" w:eastAsia="宋体" w:cs="宋体"/>
          <w:sz w:val="24"/>
          <w:szCs w:val="24"/>
        </w:rPr>
        <w:t xml:space="preserve">1.1  </w:t>
      </w:r>
      <w:r>
        <w:rPr>
          <w:rFonts w:hint="eastAsia" w:ascii="宋体" w:hAnsi="宋体" w:eastAsia="宋体" w:cs="宋体"/>
          <w:sz w:val="24"/>
          <w:szCs w:val="24"/>
        </w:rPr>
        <w:t>国际燃料油市场动态</w:t>
      </w:r>
      <w:bookmarkEnd w:id="2"/>
      <w:bookmarkEnd w:id="3"/>
      <w:bookmarkEnd w:id="4"/>
      <w:bookmarkEnd w:id="5"/>
      <w:bookmarkEnd w:id="6"/>
      <w:bookmarkEnd w:id="7"/>
      <w:bookmarkEnd w:id="8"/>
      <w:bookmarkEnd w:id="9"/>
    </w:p>
    <w:p>
      <w:pPr>
        <w:rPr>
          <w:rFonts w:hint="eastAsia"/>
          <w:sz w:val="21"/>
          <w:szCs w:val="21"/>
        </w:rPr>
      </w:pPr>
      <w:r>
        <w:rPr>
          <w:rFonts w:hint="eastAsia" w:cs="宋体"/>
          <w:kern w:val="0"/>
          <w:sz w:val="21"/>
          <w:szCs w:val="21"/>
          <w:lang w:val="en-US" w:eastAsia="zh-CN" w:bidi="ar"/>
        </w:rPr>
        <w:t xml:space="preserve">    </w:t>
      </w:r>
      <w:r>
        <w:rPr>
          <w:rFonts w:hint="eastAsia"/>
          <w:sz w:val="21"/>
          <w:szCs w:val="21"/>
        </w:rPr>
        <w:t xml:space="preserve">周二亚洲燃料油市场，燃料油裂解价差下滑，因在经历了近一周的上涨之后买兴减弱。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燃料油裂解价差从近期高位回落，跨月价差和180CST燃料油现货升水均收窄涨幅。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消息人士表示，周二新加坡380CST燃料油相比于伦敦洲际交易所（ICE）7月布伦特原油的裂解价差为-8.70美元/桶左右，而前一交易日为-7.91美元/桶左右。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JBC Energy在一份报告中称，燃料油裂解价差自4月中旬以来的坚挺态势，一定程度上是今年上半年全球供应季节性收紧的结果。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该公司表示，周度库存指标暗示，这种市场趋紧的影响正在显现，而且料将进一步收紧。不过，该公司预计未来几周全球市场季节性收紧趋势将发生逆转。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数据显示，6月180CST燃料油较迪拜原油裂解价差报-3.02美元/桶，为2月27日以来最窄贴水水平。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6月180CST燃料油较布伦特原油裂解价差也处在1月19日以来最窄水平，为-4.18美元/桶。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纸货市场上，近月燃料油跨月价差买兴消退。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6月/7月380CST燃料油跨月价差较前一日下跌20美分，至+0.30美元/吨，成交量约为48.5万吨。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现货市场，总共有四笔交易达成，其中包括三笔6万吨380CST燃料油交易，和一笔2万吨180CST燃料油交易。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摩科瑞再度成为现货燃料油的主要买家，该公司自5月初以来总计买入52万吨燃料油。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贡渥公司售出两船燃料油船货，另外两船燃料油卖家分别为维多和道达尔公司。 </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5月初以来总计有54万吨380CST燃料油和26万吨180CST燃料油现货船货成交。</w:t>
      </w:r>
    </w:p>
    <w:p>
      <w:pPr>
        <w:rPr>
          <w:rFonts w:hint="eastAsia"/>
          <w:sz w:val="21"/>
          <w:szCs w:val="21"/>
        </w:rPr>
      </w:pPr>
    </w:p>
    <w:p>
      <w:pPr>
        <w:rPr>
          <w:rFonts w:hint="eastAsia"/>
          <w:sz w:val="21"/>
          <w:szCs w:val="21"/>
        </w:rPr>
      </w:pP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pPr>
    </w:p>
    <w:p>
      <w:pPr>
        <w:spacing w:before="100" w:beforeAutospacing="1" w:after="100" w:afterAutospacing="1"/>
        <w:ind w:firstLine="420"/>
        <w:rPr>
          <w:rFonts w:hint="eastAsia"/>
          <w:sz w:val="21"/>
          <w:szCs w:val="21"/>
        </w:rPr>
      </w:pPr>
    </w:p>
    <w:p>
      <w:pPr>
        <w:spacing w:before="100" w:beforeAutospacing="1" w:after="100" w:afterAutospacing="1"/>
        <w:rPr>
          <w:rFonts w:cs="Times New Roman"/>
          <w:sz w:val="21"/>
          <w:szCs w:val="21"/>
        </w:rPr>
      </w:pPr>
    </w:p>
    <w:p>
      <w:pPr>
        <w:pStyle w:val="3"/>
        <w:numPr>
          <w:ilvl w:val="1"/>
          <w:numId w:val="1"/>
        </w:numPr>
        <w:spacing w:before="120" w:after="120" w:line="240" w:lineRule="auto"/>
        <w:rPr>
          <w:rFonts w:ascii="宋体" w:hAnsi="宋体" w:eastAsia="宋体" w:cs="Times New Roman"/>
          <w:sz w:val="24"/>
          <w:szCs w:val="24"/>
        </w:rPr>
      </w:pPr>
      <w:bookmarkStart w:id="10" w:name="_Toc283387076"/>
      <w:bookmarkStart w:id="11" w:name="_Toc164833124"/>
      <w:bookmarkStart w:id="12" w:name="_Toc436380331"/>
      <w:bookmarkStart w:id="13" w:name="_Toc152134470"/>
      <w:r>
        <w:rPr>
          <w:rFonts w:hint="eastAsia" w:ascii="宋体" w:hAnsi="宋体" w:eastAsia="宋体" w:cs="宋体"/>
          <w:sz w:val="24"/>
          <w:szCs w:val="24"/>
        </w:rPr>
        <w:t>新加坡燃料油市场价格</w:t>
      </w:r>
      <w:bookmarkEnd w:id="10"/>
      <w:bookmarkEnd w:id="11"/>
      <w:bookmarkEnd w:id="12"/>
      <w:bookmarkEnd w:id="13"/>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643"/>
        <w:gridCol w:w="1702"/>
        <w:gridCol w:w="1781"/>
        <w:gridCol w:w="1702"/>
        <w:gridCol w:w="1700"/>
      </w:tblGrid>
      <w:tr>
        <w:tblPrEx>
          <w:tblLayout w:type="fixed"/>
          <w:tblCellMar>
            <w:top w:w="0" w:type="dxa"/>
            <w:left w:w="108" w:type="dxa"/>
            <w:bottom w:w="0" w:type="dxa"/>
            <w:right w:w="108" w:type="dxa"/>
          </w:tblCellMar>
        </w:tblPrEx>
        <w:trPr>
          <w:trHeight w:val="285" w:hRule="atLeast"/>
        </w:trPr>
        <w:tc>
          <w:tcPr>
            <w:tcW w:w="164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170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178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c>
          <w:tcPr>
            <w:tcW w:w="170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中硫</w:t>
            </w:r>
            <w:r>
              <w:rPr>
                <w:b/>
                <w:bCs/>
                <w:color w:val="000000"/>
                <w:sz w:val="20"/>
                <w:szCs w:val="20"/>
              </w:rPr>
              <w:t>180cst</w:t>
            </w:r>
          </w:p>
        </w:tc>
        <w:tc>
          <w:tcPr>
            <w:tcW w:w="1700"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b/>
                <w:bCs/>
                <w:color w:val="000000"/>
                <w:sz w:val="20"/>
                <w:szCs w:val="20"/>
              </w:rPr>
              <w:t>lswr</w:t>
            </w:r>
            <w:r>
              <w:rPr>
                <w:rFonts w:hint="eastAsia"/>
                <w:b/>
                <w:bCs/>
                <w:color w:val="000000"/>
                <w:sz w:val="20"/>
                <w:szCs w:val="20"/>
              </w:rPr>
              <w:t>①</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color w:val="000000"/>
                <w:sz w:val="20"/>
                <w:szCs w:val="20"/>
              </w:rPr>
            </w:pPr>
            <w:r>
              <w:rPr>
                <w:rFonts w:hint="eastAsia"/>
                <w:color w:val="000000"/>
                <w:sz w:val="20"/>
                <w:szCs w:val="20"/>
              </w:rPr>
              <w:t>今日贴水</w:t>
            </w:r>
          </w:p>
        </w:tc>
        <w:tc>
          <w:tcPr>
            <w:tcW w:w="1702"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4.09/4.13</w:t>
            </w:r>
          </w:p>
        </w:tc>
        <w:tc>
          <w:tcPr>
            <w:tcW w:w="1781"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2.88/2.92</w:t>
            </w:r>
          </w:p>
        </w:tc>
        <w:tc>
          <w:tcPr>
            <w:tcW w:w="1702" w:type="dxa"/>
            <w:tcBorders>
              <w:top w:val="nil"/>
              <w:left w:val="nil"/>
              <w:bottom w:val="single" w:color="auto" w:sz="4" w:space="0"/>
              <w:right w:val="single" w:color="auto" w:sz="4" w:space="0"/>
            </w:tcBorders>
            <w:shd w:val="clear" w:color="auto" w:fill="99CCFF"/>
            <w:textDirection w:val="lrTb"/>
            <w:vAlign w:val="center"/>
          </w:tcPr>
          <w:p>
            <w:pPr>
              <w:jc w:val="center"/>
              <w:rPr>
                <w:rFonts w:cs="Times New Roman"/>
                <w:color w:val="000000"/>
                <w:sz w:val="20"/>
                <w:szCs w:val="20"/>
              </w:rPr>
            </w:pPr>
          </w:p>
        </w:tc>
        <w:tc>
          <w:tcPr>
            <w:tcW w:w="1700"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5.90/5.94</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295.050</w:t>
            </w:r>
          </w:p>
        </w:tc>
        <w:tc>
          <w:tcPr>
            <w:tcW w:w="178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286.040</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301.69 </w:t>
            </w:r>
          </w:p>
        </w:tc>
        <w:tc>
          <w:tcPr>
            <w:tcW w:w="170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48.710</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296.610</w:t>
            </w:r>
          </w:p>
        </w:tc>
        <w:tc>
          <w:tcPr>
            <w:tcW w:w="178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287.310</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303.28 </w:t>
            </w:r>
          </w:p>
        </w:tc>
        <w:tc>
          <w:tcPr>
            <w:tcW w:w="170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49.210</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290.920</w:t>
            </w:r>
          </w:p>
        </w:tc>
        <w:tc>
          <w:tcPr>
            <w:tcW w:w="178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282.780</w:t>
            </w:r>
          </w:p>
        </w:tc>
        <w:tc>
          <w:tcPr>
            <w:tcW w:w="1702"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297.47 </w:t>
            </w:r>
          </w:p>
        </w:tc>
        <w:tc>
          <w:tcPr>
            <w:tcW w:w="170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48.540</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300.090</w:t>
            </w:r>
          </w:p>
        </w:tc>
        <w:tc>
          <w:tcPr>
            <w:tcW w:w="1781"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290.320</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306.84</w:t>
            </w:r>
          </w:p>
        </w:tc>
        <w:tc>
          <w:tcPr>
            <w:tcW w:w="1700"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49.820</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301.33</w:t>
            </w:r>
          </w:p>
        </w:tc>
        <w:tc>
          <w:tcPr>
            <w:tcW w:w="1781"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292.24</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308.11</w:t>
            </w:r>
          </w:p>
        </w:tc>
        <w:tc>
          <w:tcPr>
            <w:tcW w:w="1700"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50.08</w:t>
            </w:r>
          </w:p>
        </w:tc>
      </w:tr>
    </w:tbl>
    <w:p>
      <w:pPr>
        <w:rPr>
          <w:rFonts w:cs="Times New Roman"/>
        </w:rPr>
      </w:pPr>
    </w:p>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4" w:name="_Toc436380332"/>
      <w:bookmarkStart w:id="15" w:name="_Toc164833125"/>
      <w:r>
        <w:rPr>
          <w:rFonts w:hint="eastAsia" w:ascii="宋体" w:hAnsi="宋体" w:eastAsia="宋体" w:cs="宋体"/>
          <w:sz w:val="24"/>
          <w:szCs w:val="24"/>
        </w:rPr>
        <w:t>新加坡燃料油纸货价格</w:t>
      </w:r>
      <w:bookmarkEnd w:id="14"/>
    </w:p>
    <w:p>
      <w:pPr>
        <w:rPr>
          <w:rFonts w:cs="Times New Roman"/>
          <w:b/>
          <w:bCs/>
        </w:rPr>
      </w:pP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524"/>
        <w:gridCol w:w="1687"/>
        <w:gridCol w:w="1706"/>
        <w:gridCol w:w="1941"/>
        <w:gridCol w:w="1670"/>
      </w:tblGrid>
      <w:tr>
        <w:tblPrEx>
          <w:tblLayout w:type="fixed"/>
          <w:tblCellMar>
            <w:top w:w="0" w:type="dxa"/>
            <w:left w:w="108" w:type="dxa"/>
            <w:bottom w:w="0" w:type="dxa"/>
            <w:right w:w="108" w:type="dxa"/>
          </w:tblCellMar>
        </w:tblPrEx>
        <w:trPr>
          <w:trHeight w:val="285" w:hRule="atLeast"/>
        </w:trPr>
        <w:tc>
          <w:tcPr>
            <w:tcW w:w="1524" w:type="dxa"/>
            <w:vMerge w:val="restart"/>
            <w:tcBorders>
              <w:top w:val="single" w:color="auto" w:sz="4" w:space="0"/>
              <w:left w:val="single" w:color="auto" w:sz="4" w:space="0"/>
              <w:bottom w:val="single" w:color="000000"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3393" w:type="dxa"/>
            <w:gridSpan w:val="2"/>
            <w:tcBorders>
              <w:top w:val="single" w:color="auto" w:sz="4" w:space="0"/>
              <w:left w:val="nil"/>
              <w:bottom w:val="single" w:color="auto" w:sz="4" w:space="0"/>
              <w:right w:val="single" w:color="000000"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3611" w:type="dxa"/>
            <w:gridSpan w:val="2"/>
            <w:tcBorders>
              <w:top w:val="single" w:color="auto" w:sz="4" w:space="0"/>
              <w:left w:val="nil"/>
              <w:bottom w:val="single" w:color="auto" w:sz="4" w:space="0"/>
              <w:right w:val="single" w:color="000000"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r>
      <w:tr>
        <w:tblPrEx>
          <w:tblLayout w:type="fixed"/>
          <w:tblCellMar>
            <w:top w:w="0" w:type="dxa"/>
            <w:left w:w="108" w:type="dxa"/>
            <w:bottom w:w="0" w:type="dxa"/>
            <w:right w:w="108" w:type="dxa"/>
          </w:tblCellMar>
        </w:tblPrEx>
        <w:trPr>
          <w:trHeight w:val="405" w:hRule="atLeast"/>
        </w:trPr>
        <w:tc>
          <w:tcPr>
            <w:tcW w:w="1524" w:type="dxa"/>
            <w:vMerge w:val="continue"/>
            <w:tcBorders>
              <w:top w:val="single" w:color="auto" w:sz="4" w:space="0"/>
              <w:left w:val="single" w:color="auto" w:sz="4" w:space="0"/>
              <w:bottom w:val="single" w:color="000000" w:sz="4" w:space="0"/>
              <w:right w:val="single" w:color="auto" w:sz="4" w:space="0"/>
            </w:tcBorders>
            <w:vAlign w:val="center"/>
          </w:tcPr>
          <w:p>
            <w:pPr>
              <w:rPr>
                <w:rFonts w:cs="Times New Roman"/>
                <w:b/>
                <w:bCs/>
                <w:color w:val="000000"/>
                <w:sz w:val="20"/>
                <w:szCs w:val="20"/>
              </w:rPr>
            </w:pPr>
          </w:p>
        </w:tc>
        <w:tc>
          <w:tcPr>
            <w:tcW w:w="1687"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6</w:t>
            </w:r>
            <w:r>
              <w:rPr>
                <w:rFonts w:hint="eastAsia"/>
                <w:b/>
                <w:bCs/>
                <w:color w:val="000000"/>
                <w:sz w:val="20"/>
                <w:szCs w:val="20"/>
              </w:rPr>
              <w:t>月纸货</w:t>
            </w:r>
          </w:p>
        </w:tc>
        <w:tc>
          <w:tcPr>
            <w:tcW w:w="1706"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7</w:t>
            </w:r>
            <w:r>
              <w:rPr>
                <w:rFonts w:hint="eastAsia"/>
                <w:b/>
                <w:bCs/>
                <w:color w:val="000000"/>
                <w:sz w:val="20"/>
                <w:szCs w:val="20"/>
              </w:rPr>
              <w:t>纸货</w:t>
            </w:r>
          </w:p>
        </w:tc>
        <w:tc>
          <w:tcPr>
            <w:tcW w:w="1941"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6</w:t>
            </w:r>
            <w:r>
              <w:rPr>
                <w:rFonts w:hint="eastAsia"/>
                <w:b/>
                <w:bCs/>
                <w:color w:val="000000"/>
                <w:sz w:val="20"/>
                <w:szCs w:val="20"/>
              </w:rPr>
              <w:t>月纸货</w:t>
            </w:r>
          </w:p>
        </w:tc>
        <w:tc>
          <w:tcPr>
            <w:tcW w:w="1670"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lang w:val="en-US" w:eastAsia="zh-CN"/>
              </w:rPr>
              <w:t>7</w:t>
            </w:r>
            <w:r>
              <w:rPr>
                <w:rFonts w:hint="eastAsia"/>
                <w:b/>
                <w:bCs/>
                <w:color w:val="000000"/>
                <w:sz w:val="20"/>
                <w:szCs w:val="20"/>
              </w:rPr>
              <w:t>月纸货</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1687"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289</w:t>
            </w:r>
          </w:p>
        </w:tc>
        <w:tc>
          <w:tcPr>
            <w:tcW w:w="1706"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288.1</w:t>
            </w:r>
          </w:p>
        </w:tc>
        <w:tc>
          <w:tcPr>
            <w:tcW w:w="194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282.05</w:t>
            </w:r>
          </w:p>
        </w:tc>
        <w:tc>
          <w:tcPr>
            <w:tcW w:w="167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281.75</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1687"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290.25</w:t>
            </w:r>
          </w:p>
        </w:tc>
        <w:tc>
          <w:tcPr>
            <w:tcW w:w="1706"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289.25</w:t>
            </w:r>
          </w:p>
        </w:tc>
        <w:tc>
          <w:tcPr>
            <w:tcW w:w="194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282.95</w:t>
            </w:r>
          </w:p>
        </w:tc>
        <w:tc>
          <w:tcPr>
            <w:tcW w:w="167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282.5</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1687"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285.6</w:t>
            </w:r>
          </w:p>
        </w:tc>
        <w:tc>
          <w:tcPr>
            <w:tcW w:w="1706"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284.1</w:t>
            </w:r>
          </w:p>
        </w:tc>
        <w:tc>
          <w:tcPr>
            <w:tcW w:w="1941"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277.7</w:t>
            </w:r>
          </w:p>
        </w:tc>
        <w:tc>
          <w:tcPr>
            <w:tcW w:w="1670"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277</w:t>
            </w:r>
          </w:p>
        </w:tc>
      </w:tr>
      <w:tr>
        <w:tblPrEx>
          <w:tblLayout w:type="fixed"/>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1687"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293.25</w:t>
            </w:r>
          </w:p>
        </w:tc>
        <w:tc>
          <w:tcPr>
            <w:tcW w:w="1706"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291.75</w:t>
            </w:r>
          </w:p>
        </w:tc>
        <w:tc>
          <w:tcPr>
            <w:tcW w:w="1941"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285.2</w:t>
            </w:r>
          </w:p>
        </w:tc>
        <w:tc>
          <w:tcPr>
            <w:tcW w:w="1670"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284.55</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1687"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color w:val="000000"/>
                <w:sz w:val="20"/>
                <w:szCs w:val="20"/>
              </w:rPr>
            </w:pPr>
            <w:r>
              <w:rPr>
                <w:rFonts w:hint="eastAsia" w:ascii="宋体" w:hAnsi="宋体" w:eastAsia="宋体" w:cs="宋体"/>
                <w:sz w:val="21"/>
                <w:szCs w:val="21"/>
              </w:rPr>
              <w:t>295.75</w:t>
            </w:r>
          </w:p>
        </w:tc>
        <w:tc>
          <w:tcPr>
            <w:tcW w:w="1706"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color w:val="000000"/>
                <w:sz w:val="20"/>
                <w:szCs w:val="20"/>
              </w:rPr>
            </w:pPr>
            <w:r>
              <w:rPr>
                <w:rFonts w:hint="eastAsia" w:ascii="宋体" w:hAnsi="宋体" w:eastAsia="宋体" w:cs="宋体"/>
                <w:sz w:val="21"/>
                <w:szCs w:val="21"/>
              </w:rPr>
              <w:t>294.75</w:t>
            </w:r>
          </w:p>
        </w:tc>
        <w:tc>
          <w:tcPr>
            <w:tcW w:w="1941"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288.2</w:t>
            </w:r>
          </w:p>
        </w:tc>
        <w:tc>
          <w:tcPr>
            <w:tcW w:w="1670"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287.75</w:t>
            </w:r>
          </w:p>
        </w:tc>
      </w:tr>
    </w:tbl>
    <w:p>
      <w:pPr>
        <w:rPr>
          <w:rFonts w:cs="Times New Roman"/>
        </w:rPr>
      </w:pPr>
    </w:p>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6" w:name="_Toc283387078"/>
      <w:bookmarkStart w:id="17" w:name="_Toc436380333"/>
      <w:r>
        <w:rPr>
          <w:rFonts w:hint="eastAsia" w:ascii="宋体" w:hAnsi="宋体" w:eastAsia="宋体" w:cs="宋体"/>
          <w:sz w:val="24"/>
          <w:szCs w:val="24"/>
        </w:rPr>
        <w:t>新加坡燃料油黄埔到岸价</w:t>
      </w:r>
      <w:bookmarkEnd w:id="16"/>
      <w:bookmarkEnd w:id="17"/>
      <w:r>
        <w:rPr>
          <w:rFonts w:hint="eastAsia" w:ascii="宋体" w:hAnsi="宋体" w:eastAsia="宋体" w:cs="宋体"/>
          <w:sz w:val="24"/>
          <w:szCs w:val="24"/>
        </w:rPr>
        <w:t>格</w:t>
      </w: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045"/>
        <w:gridCol w:w="1885"/>
        <w:gridCol w:w="1885"/>
        <w:gridCol w:w="1828"/>
        <w:gridCol w:w="1885"/>
      </w:tblGrid>
      <w:tr>
        <w:tblPrEx>
          <w:tblLayout w:type="fixed"/>
          <w:tblCellMar>
            <w:top w:w="0" w:type="dxa"/>
            <w:left w:w="108" w:type="dxa"/>
            <w:bottom w:w="0" w:type="dxa"/>
            <w:right w:w="108" w:type="dxa"/>
          </w:tblCellMar>
        </w:tblPrEx>
        <w:trPr>
          <w:trHeight w:val="525" w:hRule="atLeast"/>
        </w:trPr>
        <w:tc>
          <w:tcPr>
            <w:tcW w:w="1045"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180CST</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380CST</w:t>
            </w:r>
          </w:p>
        </w:tc>
        <w:tc>
          <w:tcPr>
            <w:tcW w:w="1828"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 xml:space="preserve">180CST </w:t>
            </w:r>
            <w:r>
              <w:rPr>
                <w:rFonts w:hint="eastAsia"/>
                <w:b/>
                <w:bCs/>
                <w:sz w:val="20"/>
                <w:szCs w:val="20"/>
                <w:lang w:val="en-US" w:eastAsia="zh-CN"/>
              </w:rPr>
              <w:t>6</w:t>
            </w:r>
            <w:r>
              <w:rPr>
                <w:rFonts w:hint="eastAsia"/>
                <w:b/>
                <w:bCs/>
                <w:sz w:val="20"/>
                <w:szCs w:val="20"/>
              </w:rPr>
              <w:t>月纸货</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 xml:space="preserve">180CST </w:t>
            </w:r>
            <w:r>
              <w:rPr>
                <w:rFonts w:hint="eastAsia"/>
                <w:b/>
                <w:bCs/>
                <w:sz w:val="20"/>
                <w:szCs w:val="20"/>
                <w:lang w:val="en-US" w:eastAsia="zh-CN"/>
              </w:rPr>
              <w:t>7</w:t>
            </w:r>
            <w:r>
              <w:rPr>
                <w:rFonts w:hint="eastAsia"/>
                <w:b/>
                <w:bCs/>
                <w:sz w:val="20"/>
                <w:szCs w:val="20"/>
              </w:rPr>
              <w:t>月纸货</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sz w:val="20"/>
                <w:szCs w:val="20"/>
              </w:rPr>
            </w:pPr>
            <w:r>
              <w:rPr>
                <w:rFonts w:hint="eastAsia"/>
                <w:sz w:val="20"/>
                <w:szCs w:val="20"/>
              </w:rPr>
              <w:t>贴水</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28"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305.25</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295.5</w:t>
            </w:r>
          </w:p>
        </w:tc>
        <w:tc>
          <w:tcPr>
            <w:tcW w:w="1828"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289</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296.25</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283</w:t>
            </w:r>
          </w:p>
        </w:tc>
        <w:tc>
          <w:tcPr>
            <w:tcW w:w="1828"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无成交</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无成交</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302.25</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290.25</w:t>
            </w:r>
          </w:p>
        </w:tc>
        <w:tc>
          <w:tcPr>
            <w:tcW w:w="1828"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285.5</w:t>
            </w:r>
          </w:p>
        </w:tc>
        <w:tc>
          <w:tcPr>
            <w:tcW w:w="1885" w:type="dxa"/>
            <w:tcBorders>
              <w:top w:val="nil"/>
              <w:left w:val="nil"/>
              <w:bottom w:val="single" w:color="auto" w:sz="4" w:space="0"/>
              <w:right w:val="single" w:color="auto" w:sz="4" w:space="0"/>
            </w:tcBorders>
            <w:shd w:val="clear" w:color="FFFFFF"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284</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309.5</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299</w:t>
            </w:r>
          </w:p>
        </w:tc>
        <w:tc>
          <w:tcPr>
            <w:tcW w:w="1828"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293.5</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color w:val="000000"/>
                <w:sz w:val="20"/>
                <w:szCs w:val="20"/>
                <w:lang w:val="en-US" w:eastAsia="zh-CN"/>
              </w:rPr>
            </w:pPr>
            <w:r>
              <w:rPr>
                <w:rFonts w:hint="eastAsia"/>
                <w:color w:val="000000"/>
                <w:sz w:val="20"/>
                <w:szCs w:val="20"/>
                <w:lang w:val="en-US" w:eastAsia="zh-CN"/>
              </w:rPr>
              <w:t>293.5</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313.75</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302.50</w:t>
            </w:r>
          </w:p>
        </w:tc>
        <w:tc>
          <w:tcPr>
            <w:tcW w:w="1828"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299.00</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289.50</w:t>
            </w:r>
          </w:p>
        </w:tc>
      </w:tr>
    </w:tbl>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8" w:name="_Toc436380334"/>
      <w:r>
        <w:rPr>
          <w:rFonts w:hint="eastAsia" w:ascii="宋体" w:hAnsi="宋体" w:eastAsia="宋体" w:cs="宋体"/>
          <w:sz w:val="24"/>
          <w:szCs w:val="24"/>
        </w:rPr>
        <w:t>韩国燃料油市场价格</w:t>
      </w:r>
      <w:bookmarkEnd w:id="18"/>
    </w:p>
    <w:tbl>
      <w:tblPr>
        <w:tblStyle w:val="29"/>
        <w:tblW w:w="8528" w:type="dxa"/>
        <w:tblInd w:w="-106" w:type="dxa"/>
        <w:tblLayout w:type="fixed"/>
        <w:tblCellMar>
          <w:top w:w="0" w:type="dxa"/>
          <w:left w:w="108" w:type="dxa"/>
          <w:bottom w:w="0" w:type="dxa"/>
          <w:right w:w="108" w:type="dxa"/>
        </w:tblCellMar>
      </w:tblPr>
      <w:tblGrid>
        <w:gridCol w:w="2826"/>
        <w:gridCol w:w="2901"/>
        <w:gridCol w:w="2801"/>
      </w:tblGrid>
      <w:tr>
        <w:tblPrEx>
          <w:tblLayout w:type="fixed"/>
          <w:tblCellMar>
            <w:top w:w="0" w:type="dxa"/>
            <w:left w:w="108" w:type="dxa"/>
            <w:bottom w:w="0" w:type="dxa"/>
            <w:right w:w="108" w:type="dxa"/>
          </w:tblCellMar>
        </w:tblPrEx>
        <w:trPr>
          <w:trHeight w:val="285" w:hRule="atLeast"/>
        </w:trPr>
        <w:tc>
          <w:tcPr>
            <w:tcW w:w="2826"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290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180cst</w:t>
            </w:r>
          </w:p>
        </w:tc>
        <w:tc>
          <w:tcPr>
            <w:tcW w:w="280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380cst</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今日贴水</w:t>
            </w:r>
          </w:p>
        </w:tc>
        <w:tc>
          <w:tcPr>
            <w:tcW w:w="2901" w:type="dxa"/>
            <w:tcBorders>
              <w:top w:val="nil"/>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b/>
                <w:bCs/>
                <w:sz w:val="20"/>
                <w:szCs w:val="20"/>
              </w:rPr>
              <w:t xml:space="preserve"> 7.25/7.75 </w:t>
            </w:r>
          </w:p>
        </w:tc>
        <w:tc>
          <w:tcPr>
            <w:tcW w:w="2801" w:type="dxa"/>
            <w:tcBorders>
              <w:top w:val="nil"/>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b/>
                <w:bCs/>
                <w:sz w:val="20"/>
                <w:szCs w:val="20"/>
              </w:rPr>
              <w:t xml:space="preserve"> 7.25/7.75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sz w:val="20"/>
                <w:szCs w:val="20"/>
                <w:lang w:val="en-US" w:eastAsia="zh-CN"/>
              </w:rPr>
              <w:t>5月9日</w:t>
            </w:r>
          </w:p>
        </w:tc>
        <w:tc>
          <w:tcPr>
            <w:tcW w:w="29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298.44 </w:t>
            </w:r>
          </w:p>
        </w:tc>
        <w:tc>
          <w:tcPr>
            <w:tcW w:w="28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289.43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sz w:val="20"/>
                <w:szCs w:val="20"/>
                <w:lang w:val="en-US" w:eastAsia="zh-CN"/>
              </w:rPr>
              <w:t>5月8日</w:t>
            </w:r>
          </w:p>
        </w:tc>
        <w:tc>
          <w:tcPr>
            <w:tcW w:w="29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299.76 </w:t>
            </w:r>
          </w:p>
        </w:tc>
        <w:tc>
          <w:tcPr>
            <w:tcW w:w="28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290.46 </w:t>
            </w:r>
          </w:p>
        </w:tc>
      </w:tr>
      <w:tr>
        <w:tblPrEx>
          <w:tblLayout w:type="fixed"/>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29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295.37 </w:t>
            </w:r>
          </w:p>
        </w:tc>
        <w:tc>
          <w:tcPr>
            <w:tcW w:w="2801"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287.23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2901"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303.78</w:t>
            </w:r>
          </w:p>
        </w:tc>
        <w:tc>
          <w:tcPr>
            <w:tcW w:w="2801"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294.01</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2901"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305.51</w:t>
            </w:r>
          </w:p>
        </w:tc>
        <w:tc>
          <w:tcPr>
            <w:tcW w:w="2801"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296.62</w:t>
            </w:r>
          </w:p>
        </w:tc>
      </w:tr>
    </w:tbl>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9" w:name="_Toc436380335"/>
      <w:r>
        <w:rPr>
          <w:rFonts w:hint="eastAsia" w:ascii="宋体" w:hAnsi="宋体" w:eastAsia="宋体" w:cs="宋体"/>
          <w:sz w:val="24"/>
          <w:szCs w:val="24"/>
        </w:rPr>
        <w:t>阿拉伯湾燃料油市场价格</w:t>
      </w:r>
      <w:bookmarkEnd w:id="19"/>
    </w:p>
    <w:tbl>
      <w:tblPr>
        <w:tblStyle w:val="29"/>
        <w:tblW w:w="8528" w:type="dxa"/>
        <w:tblInd w:w="-106" w:type="dxa"/>
        <w:tblLayout w:type="fixed"/>
        <w:tblCellMar>
          <w:top w:w="0" w:type="dxa"/>
          <w:left w:w="108" w:type="dxa"/>
          <w:bottom w:w="0" w:type="dxa"/>
          <w:right w:w="108" w:type="dxa"/>
        </w:tblCellMar>
      </w:tblPr>
      <w:tblGrid>
        <w:gridCol w:w="2963"/>
        <w:gridCol w:w="2756"/>
        <w:gridCol w:w="2809"/>
      </w:tblGrid>
      <w:tr>
        <w:tblPrEx>
          <w:tblLayout w:type="fixed"/>
          <w:tblCellMar>
            <w:top w:w="0" w:type="dxa"/>
            <w:left w:w="108" w:type="dxa"/>
            <w:bottom w:w="0" w:type="dxa"/>
            <w:right w:w="108" w:type="dxa"/>
          </w:tblCellMar>
        </w:tblPrEx>
        <w:trPr>
          <w:trHeight w:val="282" w:hRule="atLeast"/>
        </w:trPr>
        <w:tc>
          <w:tcPr>
            <w:tcW w:w="296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275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280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color w:val="000000"/>
                <w:sz w:val="20"/>
                <w:szCs w:val="20"/>
              </w:rPr>
            </w:pPr>
            <w:r>
              <w:rPr>
                <w:rFonts w:hint="eastAsia"/>
                <w:color w:val="000000"/>
                <w:sz w:val="20"/>
                <w:szCs w:val="20"/>
              </w:rPr>
              <w:t>今日贴水</w:t>
            </w:r>
          </w:p>
        </w:tc>
        <w:tc>
          <w:tcPr>
            <w:tcW w:w="2756"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 xml:space="preserve">  8.75/9.25</w:t>
            </w:r>
          </w:p>
        </w:tc>
        <w:tc>
          <w:tcPr>
            <w:tcW w:w="2809" w:type="dxa"/>
            <w:tcBorders>
              <w:top w:val="nil"/>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color w:val="000000"/>
                <w:sz w:val="20"/>
                <w:szCs w:val="20"/>
              </w:rPr>
            </w:pPr>
            <w:r>
              <w:rPr>
                <w:rFonts w:hint="eastAsia" w:ascii="宋体" w:hAnsi="宋体" w:eastAsia="宋体" w:cs="宋体"/>
                <w:i w:val="0"/>
                <w:color w:val="000000"/>
                <w:kern w:val="0"/>
                <w:sz w:val="20"/>
                <w:szCs w:val="20"/>
                <w:u w:val="none"/>
                <w:lang w:val="en-US" w:eastAsia="zh-CN" w:bidi="ar"/>
              </w:rPr>
              <w:t>8.75/9.25</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2756"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284.79</w:t>
            </w:r>
          </w:p>
        </w:tc>
        <w:tc>
          <w:tcPr>
            <w:tcW w:w="280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275.78</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2756"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286.35</w:t>
            </w:r>
          </w:p>
        </w:tc>
        <w:tc>
          <w:tcPr>
            <w:tcW w:w="280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277.05</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2756"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280.66</w:t>
            </w:r>
          </w:p>
        </w:tc>
        <w:tc>
          <w:tcPr>
            <w:tcW w:w="280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272.52</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2756"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289.83</w:t>
            </w:r>
          </w:p>
        </w:tc>
        <w:tc>
          <w:tcPr>
            <w:tcW w:w="2809" w:type="dxa"/>
            <w:tcBorders>
              <w:top w:val="nil"/>
              <w:left w:val="nil"/>
              <w:bottom w:val="single" w:color="auto" w:sz="4" w:space="0"/>
              <w:right w:val="single" w:color="auto" w:sz="4" w:space="0"/>
            </w:tcBorders>
            <w:shd w:val="clear" w:color="auto" w:fill="FFFFFF"/>
            <w:vAlign w:val="center"/>
          </w:tcPr>
          <w:p>
            <w:pPr>
              <w:jc w:val="center"/>
              <w:rPr>
                <w:rFonts w:hint="eastAsia"/>
                <w:color w:val="000000"/>
                <w:sz w:val="20"/>
                <w:szCs w:val="20"/>
                <w:lang w:val="en-US" w:eastAsia="zh-CN"/>
              </w:rPr>
            </w:pPr>
            <w:r>
              <w:rPr>
                <w:rFonts w:hint="eastAsia"/>
                <w:color w:val="000000"/>
                <w:sz w:val="20"/>
                <w:szCs w:val="20"/>
                <w:lang w:val="en-US" w:eastAsia="zh-CN"/>
              </w:rPr>
              <w:t>280.06</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2756"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291.07</w:t>
            </w:r>
          </w:p>
        </w:tc>
        <w:tc>
          <w:tcPr>
            <w:tcW w:w="2809"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281.98</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0" w:name="_Toc436380336"/>
      <w:r>
        <w:rPr>
          <w:rFonts w:hint="eastAsia" w:ascii="宋体" w:hAnsi="宋体" w:eastAsia="宋体" w:cs="宋体"/>
          <w:sz w:val="24"/>
          <w:szCs w:val="24"/>
        </w:rPr>
        <w:t>日本燃料油市场价格</w:t>
      </w:r>
      <w:bookmarkEnd w:id="20"/>
    </w:p>
    <w:tbl>
      <w:tblPr>
        <w:tblStyle w:val="29"/>
        <w:tblW w:w="8528" w:type="dxa"/>
        <w:tblInd w:w="-106" w:type="dxa"/>
        <w:tblLayout w:type="fixed"/>
        <w:tblCellMar>
          <w:top w:w="0" w:type="dxa"/>
          <w:left w:w="108" w:type="dxa"/>
          <w:bottom w:w="0" w:type="dxa"/>
          <w:right w:w="108" w:type="dxa"/>
        </w:tblCellMar>
      </w:tblPr>
      <w:tblGrid>
        <w:gridCol w:w="4349"/>
        <w:gridCol w:w="4179"/>
      </w:tblGrid>
      <w:tr>
        <w:tblPrEx>
          <w:tblLayout w:type="fixed"/>
          <w:tblCellMar>
            <w:top w:w="0" w:type="dxa"/>
            <w:left w:w="108" w:type="dxa"/>
            <w:bottom w:w="0" w:type="dxa"/>
            <w:right w:w="108" w:type="dxa"/>
          </w:tblCellMar>
        </w:tblPrEx>
        <w:trPr>
          <w:trHeight w:val="300" w:hRule="atLeast"/>
        </w:trPr>
        <w:tc>
          <w:tcPr>
            <w:tcW w:w="4349"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417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180cst</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304.12</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305.86</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300.22</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309.39</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310.63</w:t>
            </w:r>
          </w:p>
        </w:tc>
      </w:tr>
    </w:tbl>
    <w:p>
      <w:pPr>
        <w:rPr>
          <w:rFonts w:cs="Times New Roman"/>
        </w:rPr>
      </w:pPr>
    </w:p>
    <w:p>
      <w:pPr>
        <w:rPr>
          <w:rFonts w:cs="Times New Roman"/>
        </w:rPr>
      </w:pPr>
    </w:p>
    <w:p>
      <w:pPr>
        <w:rPr>
          <w:rFonts w:cs="Times New Roman"/>
        </w:rPr>
      </w:pPr>
    </w:p>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1" w:name="_Toc436380337"/>
      <w:r>
        <w:rPr>
          <w:rFonts w:hint="eastAsia" w:ascii="宋体" w:hAnsi="宋体" w:eastAsia="宋体" w:cs="宋体"/>
          <w:sz w:val="24"/>
          <w:szCs w:val="24"/>
        </w:rPr>
        <w:t>地中海燃料油市场价格</w:t>
      </w:r>
      <w:bookmarkEnd w:id="21"/>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2021"/>
        <w:gridCol w:w="3048"/>
        <w:gridCol w:w="3459"/>
      </w:tblGrid>
      <w:tr>
        <w:tblPrEx>
          <w:tblLayout w:type="fixed"/>
        </w:tblPrEx>
        <w:trPr>
          <w:trHeight w:val="285" w:hRule="atLeast"/>
        </w:trPr>
        <w:tc>
          <w:tcPr>
            <w:tcW w:w="2021"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3048"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r>
              <w:rPr>
                <w:b/>
                <w:bCs/>
                <w:sz w:val="20"/>
                <w:szCs w:val="20"/>
              </w:rPr>
              <w:t>1PCT</w:t>
            </w:r>
            <w:r>
              <w:rPr>
                <w:rFonts w:hint="eastAsia"/>
                <w:b/>
                <w:bCs/>
                <w:sz w:val="20"/>
                <w:szCs w:val="20"/>
              </w:rPr>
              <w:t>）</w:t>
            </w:r>
          </w:p>
        </w:tc>
        <w:tc>
          <w:tcPr>
            <w:tcW w:w="345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r>
              <w:rPr>
                <w:b/>
                <w:bCs/>
                <w:sz w:val="20"/>
                <w:szCs w:val="20"/>
              </w:rPr>
              <w:t>3.5PCT</w:t>
            </w:r>
            <w:r>
              <w:rPr>
                <w:rFonts w:hint="eastAsia"/>
                <w:b/>
                <w:bCs/>
                <w:sz w:val="20"/>
                <w:szCs w:val="20"/>
              </w:rPr>
              <w:t>）</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5月9日</w:t>
            </w:r>
          </w:p>
        </w:tc>
        <w:tc>
          <w:tcPr>
            <w:tcW w:w="3048"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284.50 </w:t>
            </w:r>
          </w:p>
        </w:tc>
        <w:tc>
          <w:tcPr>
            <w:tcW w:w="345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263.00 </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5月8日</w:t>
            </w:r>
          </w:p>
        </w:tc>
        <w:tc>
          <w:tcPr>
            <w:tcW w:w="3048"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284.50 </w:t>
            </w:r>
          </w:p>
        </w:tc>
        <w:tc>
          <w:tcPr>
            <w:tcW w:w="345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262.00 </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5月5日</w:t>
            </w:r>
          </w:p>
        </w:tc>
        <w:tc>
          <w:tcPr>
            <w:tcW w:w="3048"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289.00 </w:t>
            </w:r>
          </w:p>
        </w:tc>
        <w:tc>
          <w:tcPr>
            <w:tcW w:w="3459"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sz w:val="20"/>
                <w:szCs w:val="20"/>
                <w:lang w:val="en-US" w:eastAsia="zh-CN"/>
              </w:rPr>
            </w:pPr>
            <w:r>
              <w:rPr>
                <w:rFonts w:hint="eastAsia" w:ascii="宋体" w:hAnsi="宋体" w:eastAsia="宋体" w:cs="宋体"/>
                <w:i w:val="0"/>
                <w:color w:val="000000"/>
                <w:kern w:val="0"/>
                <w:sz w:val="20"/>
                <w:szCs w:val="20"/>
                <w:u w:val="none"/>
                <w:lang w:val="en-US" w:eastAsia="zh-CN" w:bidi="ar"/>
              </w:rPr>
              <w:t xml:space="preserve">265.25 </w:t>
            </w:r>
          </w:p>
        </w:tc>
      </w:tr>
      <w:tr>
        <w:tblPrEx>
          <w:tblLayout w:type="fixed"/>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5月4日</w:t>
            </w:r>
          </w:p>
        </w:tc>
        <w:tc>
          <w:tcPr>
            <w:tcW w:w="3048"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288.75</w:t>
            </w:r>
          </w:p>
        </w:tc>
        <w:tc>
          <w:tcPr>
            <w:tcW w:w="3459" w:type="dxa"/>
            <w:tcBorders>
              <w:top w:val="nil"/>
              <w:left w:val="nil"/>
              <w:bottom w:val="single" w:color="auto" w:sz="4" w:space="0"/>
              <w:right w:val="single" w:color="auto" w:sz="4" w:space="0"/>
            </w:tcBorders>
            <w:shd w:val="clear" w:color="auto" w:fill="FFFFFF"/>
            <w:vAlign w:val="center"/>
          </w:tcPr>
          <w:p>
            <w:pPr>
              <w:jc w:val="center"/>
              <w:rPr>
                <w:rFonts w:hint="eastAsia"/>
                <w:sz w:val="20"/>
                <w:szCs w:val="20"/>
                <w:lang w:val="en-US" w:eastAsia="zh-CN"/>
              </w:rPr>
            </w:pPr>
            <w:r>
              <w:rPr>
                <w:rFonts w:hint="eastAsia"/>
                <w:sz w:val="20"/>
                <w:szCs w:val="20"/>
                <w:lang w:val="en-US" w:eastAsia="zh-CN"/>
              </w:rPr>
              <w:t>262.75</w:t>
            </w:r>
          </w:p>
        </w:tc>
      </w:tr>
      <w:tr>
        <w:tblPrEx>
          <w:tblLayout w:type="fixed"/>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3048"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292.75</w:t>
            </w:r>
          </w:p>
        </w:tc>
        <w:tc>
          <w:tcPr>
            <w:tcW w:w="3459"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267.00</w:t>
            </w:r>
          </w:p>
        </w:tc>
      </w:tr>
    </w:tbl>
    <w:p>
      <w:pPr>
        <w:rPr>
          <w:rFonts w:cs="Times New Roman"/>
        </w:rPr>
      </w:pPr>
    </w:p>
    <w:p>
      <w:pPr>
        <w:rPr>
          <w:rFonts w:cs="Times New Roman"/>
        </w:rPr>
      </w:pPr>
    </w:p>
    <w:p>
      <w:pPr>
        <w:rPr>
          <w:rFonts w:cs="Times New Roman"/>
        </w:rPr>
      </w:pPr>
    </w:p>
    <w:bookmarkEnd w:id="15"/>
    <w:p>
      <w:pPr>
        <w:pStyle w:val="2"/>
        <w:spacing w:before="120" w:after="0" w:line="240" w:lineRule="auto"/>
        <w:rPr>
          <w:rFonts w:cs="Times New Roman"/>
          <w:color w:val="FF0000"/>
          <w:sz w:val="28"/>
          <w:szCs w:val="28"/>
        </w:rPr>
      </w:pPr>
      <w:bookmarkStart w:id="22" w:name="_Toc283387079"/>
      <w:bookmarkStart w:id="23" w:name="_Toc164759956"/>
      <w:bookmarkStart w:id="24" w:name="_Toc152134473"/>
      <w:bookmarkStart w:id="25" w:name="_Toc436380338"/>
      <w:r>
        <w:rPr>
          <w:rFonts w:hint="eastAsia"/>
          <w:color w:val="FF0000"/>
          <w:sz w:val="28"/>
          <w:szCs w:val="28"/>
        </w:rPr>
        <w:t>二、</w:t>
      </w:r>
      <w:bookmarkEnd w:id="22"/>
      <w:bookmarkEnd w:id="23"/>
      <w:bookmarkEnd w:id="24"/>
      <w:r>
        <w:rPr>
          <w:rFonts w:hint="eastAsia"/>
          <w:color w:val="FF0000"/>
          <w:sz w:val="28"/>
          <w:szCs w:val="28"/>
        </w:rPr>
        <w:t>国内燃料油市场动态</w:t>
      </w:r>
      <w:bookmarkEnd w:id="25"/>
    </w:p>
    <w:p>
      <w:pPr>
        <w:pStyle w:val="3"/>
        <w:spacing w:before="240" w:after="240" w:line="240" w:lineRule="auto"/>
        <w:rPr>
          <w:rFonts w:ascii="宋体" w:hAnsi="宋体" w:eastAsia="宋体" w:cs="Times New Roman"/>
          <w:sz w:val="24"/>
          <w:szCs w:val="24"/>
        </w:rPr>
      </w:pPr>
      <w:bookmarkStart w:id="26" w:name="_Toc283387080"/>
      <w:bookmarkStart w:id="27" w:name="_Toc164759957"/>
      <w:bookmarkStart w:id="28" w:name="_Toc152134474"/>
      <w:bookmarkStart w:id="29" w:name="_Toc436380339"/>
      <w:r>
        <w:rPr>
          <w:rFonts w:ascii="宋体" w:hAnsi="宋体" w:eastAsia="宋体" w:cs="宋体"/>
          <w:sz w:val="24"/>
          <w:szCs w:val="24"/>
        </w:rPr>
        <w:t xml:space="preserve">2.1  </w:t>
      </w:r>
      <w:bookmarkEnd w:id="26"/>
      <w:bookmarkEnd w:id="27"/>
      <w:bookmarkEnd w:id="28"/>
      <w:r>
        <w:rPr>
          <w:rFonts w:hint="eastAsia" w:ascii="宋体" w:hAnsi="宋体" w:eastAsia="宋体" w:cs="宋体"/>
          <w:sz w:val="24"/>
          <w:szCs w:val="24"/>
        </w:rPr>
        <w:t>华南地区燃料油市场行情</w:t>
      </w:r>
      <w:bookmarkEnd w:id="29"/>
    </w:p>
    <w:p>
      <w:pPr>
        <w:rPr>
          <w:rFonts w:hint="eastAsia"/>
          <w:sz w:val="21"/>
          <w:szCs w:val="21"/>
        </w:rPr>
      </w:pPr>
      <w:bookmarkStart w:id="30" w:name="_Toc436380341"/>
      <w:r>
        <w:rPr>
          <w:rFonts w:hint="eastAsia"/>
          <w:sz w:val="21"/>
          <w:szCs w:val="21"/>
        </w:rPr>
        <w:t>　　周二（5月9日）商家报价守稳为主，市场下行趋势暂缓。</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受主要产油国将延长减产时间以降低全球高企的原油库存的预期提振，周一国际原油期货市场价格收盘小幅上涨，两次窄幅上涨，使得一些投资者认为抛售正临近结束。周二国内市场华南船用油市场（以广州、深圳和福建为基准）国产混调180CST库提估价为3220-3370元/吨（详见船用油日评）。</w:t>
      </w:r>
    </w:p>
    <w:p>
      <w:pPr>
        <w:rPr>
          <w:rFonts w:hint="eastAsia"/>
          <w:sz w:val="21"/>
          <w:szCs w:val="21"/>
        </w:rPr>
      </w:pPr>
    </w:p>
    <w:p>
      <w:pPr>
        <w:rPr>
          <w:rFonts w:hint="eastAsia"/>
          <w:sz w:val="21"/>
          <w:szCs w:val="21"/>
        </w:rPr>
      </w:pPr>
      <w:r>
        <w:rPr>
          <w:rFonts w:hint="eastAsia"/>
          <w:sz w:val="21"/>
          <w:szCs w:val="21"/>
        </w:rPr>
        <w:t xml:space="preserve">    区内燃料油市场近期走势平平，因市场需求无明显增加，业者待市情绪一般，商家备货积极性不高，加之南方多雨天气影响，沥青料市场需求更加清淡，市场行情居稳疲软为主，预计未来短期内华南燃料油市场走势依旧持稳为主。截止目前，区内国产油浆市场估价2200-2300元/吨，沥青料市场估价2400-2500元/吨，均较前一工作日持平。</w:t>
      </w:r>
    </w:p>
    <w:p>
      <w:pPr>
        <w:rPr>
          <w:rFonts w:hint="eastAsia"/>
          <w:sz w:val="21"/>
          <w:szCs w:val="21"/>
        </w:rPr>
      </w:pPr>
    </w:p>
    <w:p>
      <w:pPr>
        <w:rPr>
          <w:rFonts w:hint="eastAsia"/>
          <w:sz w:val="21"/>
          <w:szCs w:val="21"/>
        </w:rPr>
      </w:pPr>
      <w:r>
        <w:rPr>
          <w:rFonts w:hint="eastAsia"/>
          <w:sz w:val="21"/>
          <w:szCs w:val="21"/>
        </w:rPr>
        <w:t xml:space="preserve">    非标油市场，原油价格近两日窄幅上涨利好因素暂缓了区内非标油市场价格下跌走势，商家多持谨慎观望态度，报价守稳为主，业者待市情绪不高，市场走势偏弱，原油价格走势不明朗，预计未来短期内华南非标油市场行情或持续偏弱。</w:t>
      </w:r>
    </w:p>
    <w:p>
      <w:pPr>
        <w:rPr>
          <w:rFonts w:hint="eastAsia"/>
          <w:sz w:val="21"/>
          <w:szCs w:val="21"/>
        </w:rPr>
      </w:pPr>
    </w:p>
    <w:p>
      <w:pPr>
        <w:rPr>
          <w:rFonts w:hint="eastAsia"/>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pStyle w:val="3"/>
        <w:spacing w:before="240" w:after="240" w:line="240" w:lineRule="auto"/>
        <w:rPr>
          <w:rFonts w:ascii="宋体" w:hAnsi="宋体" w:eastAsia="宋体" w:cs="Times New Roman"/>
          <w:sz w:val="24"/>
          <w:szCs w:val="24"/>
        </w:rPr>
      </w:pPr>
      <w:bookmarkStart w:id="31" w:name="_Toc436380340"/>
      <w:r>
        <w:rPr>
          <w:rFonts w:ascii="宋体" w:hAnsi="宋体" w:eastAsia="宋体" w:cs="宋体"/>
          <w:sz w:val="24"/>
          <w:szCs w:val="24"/>
        </w:rPr>
        <w:t>2.2</w:t>
      </w:r>
      <w:r>
        <w:rPr>
          <w:rFonts w:hint="eastAsia" w:ascii="宋体" w:hAnsi="宋体" w:eastAsia="宋体" w:cs="宋体"/>
          <w:sz w:val="24"/>
          <w:szCs w:val="24"/>
        </w:rPr>
        <w:t>华东地区燃料油市场行情</w:t>
      </w:r>
      <w:bookmarkEnd w:id="31"/>
    </w:p>
    <w:p>
      <w:pPr>
        <w:rPr>
          <w:rFonts w:hint="eastAsia"/>
          <w:sz w:val="21"/>
          <w:szCs w:val="21"/>
        </w:rPr>
      </w:pPr>
      <w:r>
        <w:rPr>
          <w:rFonts w:hint="eastAsia"/>
          <w:sz w:val="21"/>
          <w:szCs w:val="21"/>
        </w:rPr>
        <w:t>　　周二（5月9日），燃料油市场艰难守稳，短期行情压力渐小。</w:t>
      </w:r>
    </w:p>
    <w:p>
      <w:pPr>
        <w:rPr>
          <w:rFonts w:hint="eastAsia"/>
          <w:sz w:val="21"/>
          <w:szCs w:val="21"/>
        </w:rPr>
      </w:pPr>
    </w:p>
    <w:p>
      <w:pPr>
        <w:rPr>
          <w:rFonts w:hint="eastAsia"/>
          <w:sz w:val="21"/>
          <w:szCs w:val="21"/>
        </w:rPr>
      </w:pPr>
      <w:r>
        <w:rPr>
          <w:rFonts w:hint="eastAsia"/>
          <w:sz w:val="21"/>
          <w:szCs w:val="21"/>
        </w:rPr>
        <w:t xml:space="preserve">    经过几番深跌后，外盘原油接连两日小幅走高，但预计对修复市场信心还需时日。船供油市场在多重利空下展开深跌，短期内出货压力也会比较大，此时地炼尚处于检修高峰期，库存低位的优势有助于其稳定资源价格，日前沥青料、油浆等价格已经趋稳。</w:t>
      </w:r>
    </w:p>
    <w:p>
      <w:pPr>
        <w:rPr>
          <w:rFonts w:hint="eastAsia"/>
          <w:sz w:val="21"/>
          <w:szCs w:val="21"/>
        </w:rPr>
      </w:pPr>
    </w:p>
    <w:p>
      <w:pPr>
        <w:rPr>
          <w:rFonts w:hint="eastAsia"/>
          <w:sz w:val="21"/>
          <w:szCs w:val="21"/>
        </w:rPr>
      </w:pPr>
      <w:r>
        <w:rPr>
          <w:rFonts w:hint="eastAsia"/>
          <w:sz w:val="21"/>
          <w:szCs w:val="21"/>
        </w:rPr>
        <w:t xml:space="preserve">    沥青料市场，华东主流沥青料的成交价在2600-2700元/吨，价格较昨日持平，炼厂出货有较大压力。自沥青料价格大跌后，外盘原油也停止了下行，主流行情有趋稳的倾向，下游寻货热情也有所增加。重交沥青方面，道路施工需求尚可，地炼出货压力不大。</w:t>
      </w:r>
    </w:p>
    <w:p>
      <w:pPr>
        <w:rPr>
          <w:rFonts w:hint="eastAsia"/>
          <w:sz w:val="21"/>
          <w:szCs w:val="21"/>
        </w:rPr>
      </w:pPr>
    </w:p>
    <w:p>
      <w:pPr>
        <w:rPr>
          <w:rFonts w:hint="eastAsia"/>
          <w:sz w:val="21"/>
          <w:szCs w:val="21"/>
        </w:rPr>
      </w:pPr>
      <w:r>
        <w:rPr>
          <w:rFonts w:hint="eastAsia"/>
          <w:sz w:val="21"/>
          <w:szCs w:val="21"/>
        </w:rPr>
        <w:t xml:space="preserve">    油浆市场，华东油浆（密度1.1左右）的主流成交价在2270-2370元/吨，价格较昨日持平，炼厂出货压力不大。日前多雨季节到来，做防水沥青需求较好，加之有资源外销的地炼偏少，出货炼厂的走量较为稳定。后市随着调和油市场需求的增多，油浆的行情也或将打破沉静。</w:t>
      </w:r>
    </w:p>
    <w:p>
      <w:pPr>
        <w:rPr>
          <w:rFonts w:hint="eastAsia"/>
          <w:sz w:val="21"/>
          <w:szCs w:val="21"/>
        </w:rPr>
      </w:pPr>
    </w:p>
    <w:p>
      <w:pPr>
        <w:rPr>
          <w:rFonts w:hint="eastAsia"/>
          <w:sz w:val="21"/>
          <w:szCs w:val="21"/>
        </w:rPr>
      </w:pPr>
      <w:r>
        <w:rPr>
          <w:rFonts w:hint="eastAsia"/>
          <w:sz w:val="21"/>
          <w:szCs w:val="21"/>
        </w:rPr>
        <w:t xml:space="preserve">    上海市场，低金属船用180CST（密度0.98左右，硫含量1.0以内）自提成交估价在3260-3360元/吨；宁波市场，低金属船用180CST（密度0.98左右，硫含量1.0以内）自提成交估价在3260-3350元/吨；南通市场，低金属船用180CST（密度0.98左右，硫含量1.0以内）自提成交估价在3250-3340元/吨，均较昨日走跌50元。</w:t>
      </w:r>
    </w:p>
    <w:p>
      <w:pPr>
        <w:rPr>
          <w:rFonts w:hint="eastAsia"/>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pStyle w:val="23"/>
        <w:rPr>
          <w:rFonts w:cs="Times New Roman"/>
          <w:b/>
          <w:bCs/>
        </w:rPr>
      </w:pPr>
      <w:r>
        <w:rPr>
          <w:b/>
          <w:bCs/>
        </w:rPr>
        <w:t>2.3</w:t>
      </w:r>
      <w:r>
        <w:rPr>
          <w:rFonts w:hint="eastAsia"/>
          <w:b/>
          <w:bCs/>
        </w:rPr>
        <w:t>山东地区燃料油市场行情</w:t>
      </w:r>
      <w:bookmarkEnd w:id="30"/>
      <w:bookmarkStart w:id="32" w:name="_Toc164759962"/>
      <w:bookmarkStart w:id="33" w:name="_Toc152134478"/>
    </w:p>
    <w:p>
      <w:pPr>
        <w:rPr>
          <w:rFonts w:hint="eastAsia"/>
          <w:sz w:val="21"/>
          <w:szCs w:val="21"/>
        </w:rPr>
      </w:pPr>
      <w:r>
        <w:rPr>
          <w:rFonts w:hint="eastAsia"/>
          <w:sz w:val="21"/>
          <w:szCs w:val="21"/>
        </w:rPr>
        <w:t>　</w:t>
      </w:r>
      <w:bookmarkStart w:id="34" w:name="_Toc436380342"/>
      <w:r>
        <w:rPr>
          <w:rFonts w:hint="eastAsia"/>
          <w:sz w:val="21"/>
          <w:szCs w:val="21"/>
        </w:rPr>
        <w:t>　周二（5月9日），焦化料承压走低，市场气氛平平。</w:t>
      </w:r>
    </w:p>
    <w:p>
      <w:pPr>
        <w:rPr>
          <w:rFonts w:hint="eastAsia"/>
          <w:sz w:val="21"/>
          <w:szCs w:val="21"/>
        </w:rPr>
      </w:pPr>
    </w:p>
    <w:p>
      <w:pPr>
        <w:rPr>
          <w:rFonts w:hint="eastAsia"/>
          <w:sz w:val="21"/>
          <w:szCs w:val="21"/>
        </w:rPr>
      </w:pPr>
      <w:r>
        <w:rPr>
          <w:rFonts w:hint="eastAsia"/>
          <w:sz w:val="21"/>
          <w:szCs w:val="21"/>
        </w:rPr>
        <w:t xml:space="preserve">    进口燃料油市场，受主要产油国将延长减产时间以降低全球高企的原油库存的预期提振，周一国际原油期货价收涨，伦敦洲际交易所7月布伦特原油期货结算价至每桶49.34美元，纽交所6月WTI轻质低硫原油期货结算价至每桶46.43美元。俄罗斯M100成交估价3760-3860元/吨，贴水34-36美元/吨，马瑞原油（含重质油票）成交估价2700-2760元/吨，稀释沥青（沥青票 密度0.98）主流成交价2620-2680元/吨。</w:t>
      </w:r>
    </w:p>
    <w:p>
      <w:pPr>
        <w:rPr>
          <w:rFonts w:hint="eastAsia"/>
          <w:sz w:val="21"/>
          <w:szCs w:val="21"/>
        </w:rPr>
      </w:pPr>
    </w:p>
    <w:p>
      <w:pPr>
        <w:rPr>
          <w:rFonts w:hint="eastAsia"/>
          <w:sz w:val="21"/>
          <w:szCs w:val="21"/>
        </w:rPr>
      </w:pPr>
      <w:r>
        <w:rPr>
          <w:rFonts w:hint="eastAsia"/>
          <w:sz w:val="21"/>
          <w:szCs w:val="21"/>
        </w:rPr>
        <w:t xml:space="preserve">    焦化料市场，周二山东地区优质焦化料（沥青票，密度1.0左右，硫含量1.0左右）市场估价在2550-2650元/吨，渣油票市场估价为2650-2750元/吨，较前一工作日跌50元，中海沥青滨州110#合同执行2600元/吨，较上周跌50元，200#暂无量外放，区内其他炼厂减渣价格零星波动，市场购销气氛一般短期难有实质性改观。</w:t>
      </w:r>
    </w:p>
    <w:p>
      <w:pPr>
        <w:rPr>
          <w:rFonts w:hint="eastAsia"/>
          <w:sz w:val="21"/>
          <w:szCs w:val="21"/>
        </w:rPr>
      </w:pPr>
    </w:p>
    <w:p>
      <w:pPr>
        <w:rPr>
          <w:rFonts w:hint="eastAsia"/>
          <w:sz w:val="21"/>
          <w:szCs w:val="21"/>
        </w:rPr>
      </w:pPr>
      <w:r>
        <w:rPr>
          <w:rFonts w:hint="eastAsia"/>
          <w:sz w:val="21"/>
          <w:szCs w:val="21"/>
        </w:rPr>
        <w:t xml:space="preserve">    油浆市场，周二山东地区高密油浆市场成交估价2150-2250元/吨，较前一工作日跌20元，低密油浆成交估价2250-2350元/吨，较前一工作日持平，虽然外盘周一国际原油窄幅回涨，但对山东油浆拉动力有限，区内油浆购销仍显僵持，下游需求一般，业者保守谨慎观望为主。</w:t>
      </w:r>
    </w:p>
    <w:p>
      <w:pPr>
        <w:rPr>
          <w:rFonts w:hint="eastAsia"/>
          <w:sz w:val="21"/>
          <w:szCs w:val="21"/>
        </w:rPr>
      </w:pPr>
    </w:p>
    <w:p>
      <w:pPr>
        <w:rPr>
          <w:rFonts w:hint="eastAsia"/>
          <w:sz w:val="21"/>
          <w:szCs w:val="21"/>
        </w:rPr>
      </w:pPr>
      <w:r>
        <w:rPr>
          <w:rFonts w:hint="eastAsia"/>
          <w:sz w:val="21"/>
          <w:szCs w:val="21"/>
        </w:rPr>
        <w:t xml:space="preserve">    山东地炼单套催化装置炼油盈亏：截至5月9日，山东地炼单套催化装置理论炼油盈利307元/吨，较上次测算的盈利幅度减少23元。本周，税金、加工费用和固定费用不变，炼油原料价格下降、炼厂销售收入跌势明显，故本周山东地炼单套催化装置理论炼油盈利环比下降。炼厂炼油成本方面，截止本周二，山东地区减压蜡油（含燃料油票）成交价格在3550-3650元/吨。炼厂销售收入方面，据金凯讯数据显示，较上次统计数据相比，汽油、催柴价格均跌100元，液化气价格跌225元，油浆价格跌80元，以此计算山东地炼整体销售收入3376元/吨，较上次统计数据减少88元。</w:t>
      </w:r>
    </w:p>
    <w:p>
      <w:pPr>
        <w:rPr>
          <w:rFonts w:hint="eastAsia"/>
          <w:sz w:val="21"/>
          <w:szCs w:val="21"/>
        </w:rPr>
      </w:pPr>
    </w:p>
    <w:p>
      <w:pPr>
        <w:rPr>
          <w:rFonts w:hint="eastAsia"/>
          <w:sz w:val="21"/>
          <w:szCs w:val="21"/>
        </w:rPr>
      </w:pPr>
      <w:r>
        <w:rPr>
          <w:rFonts w:hint="eastAsia"/>
          <w:sz w:val="21"/>
          <w:szCs w:val="21"/>
        </w:rPr>
        <w:t xml:space="preserve">    山东地炼单套焦化装置炼油盈亏：截至5月9日，山东地炼单套焦化装置理论炼油盈利740元/吨，较上次统计的盈利增加87元。本周，税金、加工费用和固定费用不变，炼油原料价格下降、炼厂销售收入整体小跌，综合来看本周地炼单套焦化装置理论炼油盈利幅度增加。炼厂炼油成本方面，截止本周二，山东地区优质焦化料（燃料油票）成交价格在2650-2750元/吨。炼厂销售收入方面，据金凯讯数据显示，较上次统计数据相比，汽柴油价格均跌100元，石油焦价格涨50元，焦化蜡油价格跌50元，焦化液化气价格跌25元，以此计算山东地炼整体销售收入3305元/吨，较上次统计减少42元。</w:t>
      </w:r>
    </w:p>
    <w:p>
      <w:pPr>
        <w:rPr>
          <w:rFonts w:hint="eastAsia"/>
          <w:sz w:val="21"/>
          <w:szCs w:val="21"/>
        </w:rPr>
      </w:pPr>
    </w:p>
    <w:p>
      <w:pPr>
        <w:rPr>
          <w:rFonts w:hint="eastAsia"/>
          <w:sz w:val="21"/>
          <w:szCs w:val="21"/>
        </w:rPr>
      </w:pPr>
      <w:r>
        <w:rPr>
          <w:rFonts w:hint="eastAsia"/>
          <w:sz w:val="21"/>
          <w:szCs w:val="21"/>
        </w:rPr>
        <w:t xml:space="preserve">    山东地炼加工阿曼原油理论炼油盈亏：截至5月9日，山东地炼一次加工阿曼原油理论炼油盈利205元/吨，较上次统计的盈利幅度减少25元。近日国际原油低位下行跌势不减阿曼原油到岸价跟跌，近期山东地炼汽柴油承压走低渣油补跌，炼油销售收入下降，综合来看本周山东地炼加工阿曼原油理论盈利程度收缩。炼厂炼油成本方面，金凯讯数据显示，截至目前山东地区阿曼原油理论到岸价为3262元/吨，较上周二跌51元，以此为成本计算。炼厂销售收入方面，监测数据显示，较上次统计数据相比，汽柴油价格均跌100元，蜡油价格持平，渣油价格跌150元，以此计算山东地炼整体销售收入3468元/吨，较上周统计数据减少75元。</w:t>
      </w:r>
    </w:p>
    <w:p>
      <w:pPr>
        <w:rPr>
          <w:rFonts w:hint="eastAsia"/>
          <w:sz w:val="21"/>
          <w:szCs w:val="21"/>
        </w:rPr>
      </w:pPr>
    </w:p>
    <w:p>
      <w:pPr>
        <w:rPr>
          <w:rFonts w:hint="eastAsia"/>
          <w:sz w:val="21"/>
          <w:szCs w:val="21"/>
        </w:rPr>
      </w:pPr>
      <w:r>
        <w:rPr>
          <w:rFonts w:hint="eastAsia"/>
          <w:sz w:val="21"/>
          <w:szCs w:val="21"/>
        </w:rPr>
        <w:t xml:space="preserve">    山东地炼加工胜利原油炼油盈亏：截至5月9日，山东地炼加工胜利原油亏损1009元/吨，较上次统计的亏损幅度增加72元。本周税金、加工费用和固定费用不变，炼油原料价格不变、炼厂炼油销售收入下降，综合来看本周山东地炼加工胜利原油理论亏损幅度增加。炼厂炼油成本方面，2017年4月胜利原油结算价为3014元/吨，以此为成本计算。炼厂销售收入方面，监测数据显示，较上次统计数据相比，汽油、柴油价格均跌100元，蜡油价格持平，渣油价格跌150元，以此计算山东地炼整体销售收入3144元/吨，较上次统计数据减少72元。</w:t>
      </w:r>
    </w:p>
    <w:p>
      <w:pPr>
        <w:rPr>
          <w:rFonts w:hint="eastAsia"/>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bookmarkStart w:id="42" w:name="_GoBack"/>
      <w:bookmarkEnd w:id="42"/>
    </w:p>
    <w:p>
      <w:pPr>
        <w:pStyle w:val="23"/>
        <w:rPr>
          <w:rFonts w:cs="Times New Roman"/>
          <w:b/>
          <w:bCs/>
        </w:rPr>
      </w:pPr>
      <w:r>
        <w:rPr>
          <w:b/>
          <w:bCs/>
        </w:rPr>
        <w:t>2.4</w:t>
      </w:r>
      <w:r>
        <w:rPr>
          <w:rFonts w:hint="eastAsia"/>
          <w:b/>
          <w:bCs/>
        </w:rPr>
        <w:t>国内各地区燃料油市场价格</w:t>
      </w:r>
      <w:bookmarkEnd w:id="34"/>
    </w:p>
    <w:p>
      <w:pPr>
        <w:rPr>
          <w:rFonts w:cs="Times New Roman"/>
        </w:rPr>
      </w:pPr>
      <w:r>
        <w:rPr>
          <w:rFonts w:hint="eastAsia"/>
        </w:rPr>
        <w:t>单位：元</w:t>
      </w:r>
      <w:r>
        <w:t>/</w:t>
      </w:r>
      <w:r>
        <w:rPr>
          <w:rFonts w:hint="eastAsia"/>
        </w:rPr>
        <w:t>吨</w:t>
      </w:r>
      <w:bookmarkStart w:id="35" w:name="_Toc436380343"/>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963"/>
        <w:gridCol w:w="2533"/>
        <w:gridCol w:w="820"/>
        <w:gridCol w:w="964"/>
        <w:gridCol w:w="964"/>
        <w:gridCol w:w="2284"/>
      </w:tblGrid>
      <w:tr>
        <w:tblPrEx>
          <w:tblLayout w:type="fixed"/>
          <w:tblCellMar>
            <w:top w:w="0" w:type="dxa"/>
            <w:left w:w="108" w:type="dxa"/>
            <w:bottom w:w="0" w:type="dxa"/>
            <w:right w:w="108" w:type="dxa"/>
          </w:tblCellMar>
        </w:tblPrEx>
        <w:trPr>
          <w:trHeight w:val="285" w:hRule="atLeast"/>
        </w:trPr>
        <w:tc>
          <w:tcPr>
            <w:tcW w:w="96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地区</w:t>
            </w:r>
          </w:p>
        </w:tc>
        <w:tc>
          <w:tcPr>
            <w:tcW w:w="2533"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型号</w:t>
            </w:r>
          </w:p>
        </w:tc>
        <w:tc>
          <w:tcPr>
            <w:tcW w:w="820" w:type="dxa"/>
            <w:tcBorders>
              <w:top w:val="single" w:color="auto" w:sz="4" w:space="0"/>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cs="Times New Roman"/>
                <w:b/>
                <w:bCs/>
                <w:sz w:val="20"/>
                <w:szCs w:val="20"/>
              </w:rPr>
            </w:pPr>
            <w:r>
              <w:rPr>
                <w:rFonts w:hint="eastAsia" w:ascii="宋体" w:hAnsi="宋体" w:eastAsia="宋体" w:cs="宋体"/>
                <w:b/>
                <w:i w:val="0"/>
                <w:color w:val="000000"/>
                <w:kern w:val="0"/>
                <w:sz w:val="20"/>
                <w:szCs w:val="20"/>
                <w:u w:val="none"/>
                <w:lang w:val="en-US" w:eastAsia="zh-CN" w:bidi="ar"/>
              </w:rPr>
              <w:t>涨跌</w:t>
            </w:r>
          </w:p>
        </w:tc>
        <w:tc>
          <w:tcPr>
            <w:tcW w:w="964" w:type="dxa"/>
            <w:tcBorders>
              <w:top w:val="single" w:color="auto" w:sz="4" w:space="0"/>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i w:val="0"/>
                <w:color w:val="000000"/>
                <w:kern w:val="0"/>
                <w:sz w:val="20"/>
                <w:szCs w:val="20"/>
                <w:u w:val="none"/>
                <w:lang w:val="en-US" w:eastAsia="zh-CN" w:bidi="ar"/>
              </w:rPr>
              <w:t>5月9日</w:t>
            </w:r>
          </w:p>
        </w:tc>
        <w:tc>
          <w:tcPr>
            <w:tcW w:w="964" w:type="dxa"/>
            <w:tcBorders>
              <w:top w:val="single" w:color="auto" w:sz="4" w:space="0"/>
              <w:left w:val="nil"/>
              <w:bottom w:val="single" w:color="auto" w:sz="4" w:space="0"/>
              <w:right w:val="single" w:color="auto" w:sz="4" w:space="0"/>
            </w:tcBorders>
            <w:shd w:val="clear" w:color="auto" w:fill="99CCFF"/>
            <w:textDirection w:val="lrTb"/>
            <w:vAlign w:val="center"/>
          </w:tcPr>
          <w:p>
            <w:pPr>
              <w:keepNext w:val="0"/>
              <w:keepLines w:val="0"/>
              <w:widowControl/>
              <w:suppressLineNumbers w:val="0"/>
              <w:jc w:val="center"/>
              <w:textAlignment w:val="center"/>
              <w:rPr>
                <w:rFonts w:hint="eastAsia" w:ascii="宋体" w:hAnsi="宋体" w:eastAsia="宋体" w:cs="宋体"/>
                <w:b/>
                <w:bCs/>
                <w:sz w:val="20"/>
                <w:szCs w:val="20"/>
                <w:lang w:val="en-US" w:eastAsia="zh-CN"/>
              </w:rPr>
            </w:pPr>
            <w:r>
              <w:rPr>
                <w:rFonts w:hint="eastAsia" w:ascii="宋体" w:hAnsi="宋体" w:eastAsia="宋体" w:cs="宋体"/>
                <w:b/>
                <w:i w:val="0"/>
                <w:color w:val="000000"/>
                <w:kern w:val="0"/>
                <w:sz w:val="20"/>
                <w:szCs w:val="20"/>
                <w:u w:val="none"/>
                <w:lang w:val="en-US" w:eastAsia="zh-CN" w:bidi="ar"/>
              </w:rPr>
              <w:t>5月8日</w:t>
            </w:r>
          </w:p>
        </w:tc>
        <w:tc>
          <w:tcPr>
            <w:tcW w:w="2284"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提货方式</w:t>
            </w:r>
          </w:p>
        </w:tc>
      </w:tr>
      <w:tr>
        <w:tblPrEx>
          <w:tblLayout w:type="fixed"/>
          <w:tblCellMar>
            <w:top w:w="0" w:type="dxa"/>
            <w:left w:w="108" w:type="dxa"/>
            <w:bottom w:w="0" w:type="dxa"/>
            <w:right w:w="108" w:type="dxa"/>
          </w:tblCellMar>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黄埔市场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上期所规格</w:t>
            </w:r>
            <w:r>
              <w:rPr>
                <w:sz w:val="20"/>
                <w:szCs w:val="20"/>
              </w:rPr>
              <w:t>180CST </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3595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3645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库提价（即期）</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船用标准</w:t>
            </w:r>
            <w:r>
              <w:rPr>
                <w:sz w:val="20"/>
                <w:szCs w:val="20"/>
              </w:rPr>
              <w:t>180CST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auto"/>
                <w:sz w:val="20"/>
                <w:szCs w:val="20"/>
                <w:lang w:val="en-US" w:eastAsia="zh-CN"/>
              </w:rPr>
            </w:pPr>
            <w:r>
              <w:rPr>
                <w:rFonts w:hint="eastAsia" w:ascii="宋体" w:hAnsi="宋体" w:eastAsia="宋体" w:cs="宋体"/>
                <w:i w:val="0"/>
                <w:color w:val="auto"/>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3370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auto"/>
                <w:kern w:val="0"/>
                <w:sz w:val="20"/>
                <w:szCs w:val="20"/>
                <w:u w:val="none"/>
                <w:lang w:val="en-US" w:eastAsia="zh-CN" w:bidi="ar"/>
              </w:rPr>
              <w:t>3370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库提价（广州</w:t>
            </w:r>
            <w:r>
              <w:rPr>
                <w:sz w:val="20"/>
                <w:szCs w:val="20"/>
              </w:rPr>
              <w:t>-</w:t>
            </w:r>
            <w:r>
              <w:rPr>
                <w:rFonts w:hint="eastAsia"/>
                <w:sz w:val="20"/>
                <w:szCs w:val="20"/>
              </w:rPr>
              <w:t>海口）</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沥青料</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0746B9"/>
                <w:sz w:val="20"/>
                <w:szCs w:val="20"/>
                <w:lang w:val="en-US" w:eastAsia="zh-CN"/>
              </w:rPr>
            </w:pPr>
            <w:r>
              <w:rPr>
                <w:rFonts w:hint="eastAsia" w:ascii="宋体" w:hAnsi="宋体" w:eastAsia="宋体" w:cs="宋体"/>
                <w:i w:val="0"/>
                <w:color w:val="0746B9"/>
                <w:kern w:val="0"/>
                <w:sz w:val="20"/>
                <w:szCs w:val="20"/>
                <w:u w:val="none"/>
                <w:lang w:val="en-US" w:eastAsia="zh-CN" w:bidi="ar"/>
              </w:rPr>
              <w:t>-50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0746B9"/>
                <w:sz w:val="20"/>
                <w:szCs w:val="20"/>
                <w:lang w:val="en-US" w:eastAsia="zh-CN"/>
              </w:rPr>
            </w:pPr>
            <w:r>
              <w:rPr>
                <w:rFonts w:hint="eastAsia" w:ascii="宋体" w:hAnsi="宋体" w:eastAsia="宋体" w:cs="宋体"/>
                <w:i w:val="0"/>
                <w:color w:val="0746B9"/>
                <w:kern w:val="0"/>
                <w:sz w:val="20"/>
                <w:szCs w:val="20"/>
                <w:u w:val="none"/>
                <w:lang w:val="en-US" w:eastAsia="zh-CN" w:bidi="ar"/>
              </w:rPr>
              <w:t>2685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0746B9"/>
                <w:sz w:val="20"/>
                <w:szCs w:val="20"/>
                <w:lang w:val="en-US" w:eastAsia="zh-CN"/>
              </w:rPr>
            </w:pPr>
            <w:r>
              <w:rPr>
                <w:rFonts w:hint="eastAsia" w:ascii="宋体" w:hAnsi="宋体" w:eastAsia="宋体" w:cs="宋体"/>
                <w:i w:val="0"/>
                <w:color w:val="0746B9"/>
                <w:kern w:val="0"/>
                <w:sz w:val="20"/>
                <w:szCs w:val="20"/>
                <w:u w:val="none"/>
                <w:lang w:val="en-US" w:eastAsia="zh-CN" w:bidi="ar"/>
              </w:rPr>
              <w:t>2735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新加坡混调高硫</w:t>
            </w:r>
            <w:r>
              <w:rPr>
                <w:sz w:val="20"/>
                <w:szCs w:val="20"/>
              </w:rPr>
              <w:t>180CST</w:t>
            </w:r>
            <w:r>
              <w:rPr>
                <w:rFonts w:hint="eastAsia"/>
                <w:sz w:val="20"/>
                <w:szCs w:val="20"/>
              </w:rPr>
              <w:t>贴水</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rPr>
            </w:pPr>
            <w:r>
              <w:rPr>
                <w:rFonts w:hint="eastAsia" w:ascii="宋体" w:hAnsi="宋体" w:eastAsia="宋体" w:cs="宋体"/>
                <w:i w:val="0"/>
                <w:color w:val="000000"/>
                <w:kern w:val="0"/>
                <w:sz w:val="20"/>
                <w:szCs w:val="20"/>
                <w:u w:val="none"/>
                <w:lang w:val="en-US" w:eastAsia="zh-CN" w:bidi="ar"/>
              </w:rPr>
              <w:t>8</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0"/>
                <w:szCs w:val="20"/>
                <w:u w:val="none"/>
                <w:lang w:val="en-US" w:eastAsia="zh-CN" w:bidi="ar"/>
              </w:rPr>
              <w:t>6-8</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新加坡高硫</w:t>
            </w:r>
            <w:r>
              <w:rPr>
                <w:sz w:val="20"/>
                <w:szCs w:val="20"/>
              </w:rPr>
              <w:t>180CST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3</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305.25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302.25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黄埔（美元</w:t>
            </w:r>
            <w:r>
              <w:rPr>
                <w:sz w:val="20"/>
                <w:szCs w:val="20"/>
              </w:rPr>
              <w:t>/</w:t>
            </w:r>
            <w:r>
              <w:rPr>
                <w:rFonts w:hint="eastAsia"/>
                <w:sz w:val="20"/>
                <w:szCs w:val="20"/>
              </w:rPr>
              <w:t>吨）</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新加坡高硫</w:t>
            </w:r>
            <w:r>
              <w:rPr>
                <w:sz w:val="20"/>
                <w:szCs w:val="20"/>
              </w:rPr>
              <w:t>380CST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4743E5"/>
                <w:sz w:val="20"/>
                <w:szCs w:val="20"/>
                <w:lang w:val="en-US" w:eastAsia="zh-CN"/>
              </w:rPr>
            </w:pPr>
            <w:r>
              <w:rPr>
                <w:rFonts w:hint="eastAsia" w:ascii="宋体" w:hAnsi="宋体" w:eastAsia="宋体" w:cs="宋体"/>
                <w:i w:val="0"/>
                <w:color w:val="0000FF"/>
                <w:kern w:val="0"/>
                <w:sz w:val="20"/>
                <w:szCs w:val="20"/>
                <w:u w:val="none"/>
                <w:lang w:val="en-US" w:eastAsia="zh-CN" w:bidi="ar"/>
              </w:rPr>
              <w:t>-0.75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4743E5"/>
                <w:sz w:val="20"/>
                <w:szCs w:val="20"/>
                <w:lang w:val="en-US" w:eastAsia="zh-CN"/>
              </w:rPr>
            </w:pPr>
            <w:r>
              <w:rPr>
                <w:rFonts w:hint="eastAsia" w:ascii="宋体" w:hAnsi="宋体" w:eastAsia="宋体" w:cs="宋体"/>
                <w:i w:val="0"/>
                <w:color w:val="0000FF"/>
                <w:kern w:val="0"/>
                <w:sz w:val="20"/>
                <w:szCs w:val="20"/>
                <w:u w:val="none"/>
                <w:lang w:val="en-US" w:eastAsia="zh-CN" w:bidi="ar"/>
              </w:rPr>
              <w:t>295.50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4743E5"/>
                <w:sz w:val="20"/>
                <w:szCs w:val="20"/>
                <w:lang w:val="en-US" w:eastAsia="zh-CN"/>
              </w:rPr>
            </w:pPr>
            <w:r>
              <w:rPr>
                <w:rFonts w:hint="eastAsia" w:ascii="宋体" w:hAnsi="宋体" w:eastAsia="宋体" w:cs="宋体"/>
                <w:i w:val="0"/>
                <w:color w:val="0000FF"/>
                <w:kern w:val="0"/>
                <w:sz w:val="20"/>
                <w:szCs w:val="20"/>
                <w:u w:val="none"/>
                <w:lang w:val="en-US" w:eastAsia="zh-CN" w:bidi="ar"/>
              </w:rPr>
              <w:t xml:space="preserve"> 296.25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黄埔（美元</w:t>
            </w:r>
            <w:r>
              <w:rPr>
                <w:sz w:val="20"/>
                <w:szCs w:val="20"/>
              </w:rPr>
              <w:t>/</w:t>
            </w:r>
            <w:r>
              <w:rPr>
                <w:rFonts w:hint="eastAsia"/>
                <w:sz w:val="20"/>
                <w:szCs w:val="20"/>
              </w:rPr>
              <w:t>吨）</w:t>
            </w:r>
          </w:p>
        </w:tc>
      </w:tr>
      <w:tr>
        <w:tblPrEx>
          <w:tblLayout w:type="fixed"/>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华东市场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华东国产混调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color w:val="0746B9"/>
                <w:sz w:val="20"/>
                <w:szCs w:val="20"/>
              </w:rPr>
            </w:pPr>
            <w:r>
              <w:rPr>
                <w:rFonts w:hint="eastAsia" w:ascii="宋体" w:hAnsi="宋体" w:eastAsia="宋体" w:cs="宋体"/>
                <w:i w:val="0"/>
                <w:color w:val="0746B9"/>
                <w:kern w:val="0"/>
                <w:sz w:val="20"/>
                <w:szCs w:val="20"/>
                <w:u w:val="none"/>
                <w:lang w:val="en-US" w:eastAsia="zh-CN" w:bidi="ar"/>
              </w:rPr>
              <w:t>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0746B9"/>
                <w:sz w:val="20"/>
                <w:szCs w:val="20"/>
              </w:rPr>
            </w:pPr>
            <w:r>
              <w:rPr>
                <w:rFonts w:hint="eastAsia" w:ascii="宋体" w:hAnsi="宋体" w:eastAsia="宋体" w:cs="宋体"/>
                <w:i w:val="0"/>
                <w:color w:val="0746B9"/>
                <w:kern w:val="0"/>
                <w:sz w:val="20"/>
                <w:szCs w:val="20"/>
                <w:u w:val="none"/>
                <w:lang w:val="en-US" w:eastAsia="zh-CN" w:bidi="ar"/>
              </w:rPr>
              <w:t>3465</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0746B9"/>
                <w:sz w:val="20"/>
                <w:szCs w:val="20"/>
                <w:lang w:val="en-US" w:eastAsia="zh-CN"/>
              </w:rPr>
            </w:pPr>
            <w:r>
              <w:rPr>
                <w:rFonts w:hint="eastAsia" w:ascii="宋体" w:hAnsi="宋体" w:eastAsia="宋体" w:cs="宋体"/>
                <w:i w:val="0"/>
                <w:color w:val="0746B9"/>
                <w:kern w:val="0"/>
                <w:sz w:val="20"/>
                <w:szCs w:val="20"/>
                <w:u w:val="none"/>
                <w:lang w:val="en-US" w:eastAsia="zh-CN" w:bidi="ar"/>
              </w:rPr>
              <w:t>3415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上海国产混调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3570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3570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宁波国产混调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3550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3550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南通国产混调</w:t>
            </w:r>
            <w:r>
              <w:rPr>
                <w:sz w:val="20"/>
                <w:szCs w:val="20"/>
              </w:rPr>
              <w:t>180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3450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000000"/>
                <w:kern w:val="0"/>
                <w:sz w:val="20"/>
                <w:szCs w:val="20"/>
                <w:u w:val="none"/>
                <w:lang w:val="en-US" w:eastAsia="zh-CN" w:bidi="ar"/>
              </w:rPr>
              <w:t>3450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342"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nil"/>
              <w:right w:val="nil"/>
            </w:tcBorders>
            <w:vAlign w:val="center"/>
          </w:tcPr>
          <w:p>
            <w:pPr>
              <w:jc w:val="center"/>
              <w:rPr>
                <w:rFonts w:cs="Times New Roman"/>
                <w:sz w:val="20"/>
                <w:szCs w:val="20"/>
              </w:rPr>
            </w:pPr>
            <w:r>
              <w:rPr>
                <w:rFonts w:hint="eastAsia"/>
                <w:sz w:val="20"/>
                <w:szCs w:val="20"/>
              </w:rPr>
              <w:t>俄罗斯</w:t>
            </w:r>
            <w:r>
              <w:rPr>
                <w:sz w:val="20"/>
                <w:szCs w:val="20"/>
              </w:rPr>
              <w:t>M100</w:t>
            </w:r>
          </w:p>
        </w:tc>
        <w:tc>
          <w:tcPr>
            <w:tcW w:w="820" w:type="dxa"/>
            <w:tcBorders>
              <w:top w:val="nil"/>
              <w:left w:val="single" w:color="auto" w:sz="4" w:space="0"/>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color w:val="0746B9"/>
                <w:sz w:val="20"/>
                <w:szCs w:val="20"/>
              </w:rPr>
            </w:pPr>
            <w:r>
              <w:rPr>
                <w:rFonts w:hint="eastAsia" w:ascii="宋体" w:hAnsi="宋体" w:eastAsia="宋体" w:cs="宋体"/>
                <w:i w:val="0"/>
                <w:color w:val="0746B9"/>
                <w:kern w:val="0"/>
                <w:sz w:val="20"/>
                <w:szCs w:val="20"/>
                <w:u w:val="none"/>
                <w:lang w:val="en-US" w:eastAsia="zh-CN" w:bidi="ar"/>
              </w:rPr>
              <w:t>-50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0746B9"/>
                <w:sz w:val="20"/>
                <w:szCs w:val="20"/>
              </w:rPr>
            </w:pPr>
            <w:r>
              <w:rPr>
                <w:rFonts w:hint="eastAsia" w:ascii="宋体" w:hAnsi="宋体" w:eastAsia="宋体" w:cs="宋体"/>
                <w:i w:val="0"/>
                <w:color w:val="0746B9"/>
                <w:kern w:val="0"/>
                <w:sz w:val="20"/>
                <w:szCs w:val="20"/>
                <w:u w:val="none"/>
                <w:lang w:val="en-US" w:eastAsia="zh-CN" w:bidi="ar"/>
              </w:rPr>
              <w:t>3890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0746B9"/>
                <w:sz w:val="20"/>
                <w:szCs w:val="20"/>
                <w:lang w:val="en-US" w:eastAsia="zh-CN"/>
              </w:rPr>
            </w:pPr>
            <w:r>
              <w:rPr>
                <w:rFonts w:hint="eastAsia" w:ascii="宋体" w:hAnsi="宋体" w:eastAsia="宋体" w:cs="宋体"/>
                <w:i w:val="0"/>
                <w:color w:val="0746B9"/>
                <w:kern w:val="0"/>
                <w:sz w:val="20"/>
                <w:szCs w:val="20"/>
                <w:u w:val="none"/>
                <w:lang w:val="en-US" w:eastAsia="zh-CN" w:bidi="ar"/>
              </w:rPr>
              <w:t>3940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single" w:color="auto" w:sz="4" w:space="0"/>
              <w:left w:val="nil"/>
              <w:bottom w:val="single" w:color="auto" w:sz="4" w:space="0"/>
              <w:right w:val="single" w:color="auto" w:sz="4" w:space="0"/>
            </w:tcBorders>
            <w:shd w:val="clear" w:color="auto" w:fill="FFFFFF"/>
            <w:vAlign w:val="center"/>
          </w:tcPr>
          <w:p>
            <w:pPr>
              <w:jc w:val="center"/>
              <w:rPr>
                <w:rFonts w:cs="Times New Roman"/>
                <w:sz w:val="20"/>
                <w:szCs w:val="20"/>
              </w:rPr>
            </w:pPr>
            <w:r>
              <w:rPr>
                <w:rFonts w:hint="eastAsia"/>
                <w:sz w:val="20"/>
                <w:szCs w:val="20"/>
              </w:rPr>
              <w:t>俄罗斯</w:t>
            </w:r>
            <w:r>
              <w:rPr>
                <w:sz w:val="20"/>
                <w:szCs w:val="20"/>
              </w:rPr>
              <w:t>M100</w:t>
            </w:r>
            <w:r>
              <w:rPr>
                <w:rFonts w:hint="eastAsia"/>
                <w:sz w:val="20"/>
                <w:szCs w:val="20"/>
              </w:rPr>
              <w:t>贴水（美元）</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35-39</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sz w:val="20"/>
                <w:szCs w:val="20"/>
                <w:lang w:val="en-US" w:eastAsia="zh-CN"/>
              </w:rPr>
            </w:pPr>
            <w:r>
              <w:rPr>
                <w:rFonts w:hint="eastAsia" w:ascii="宋体" w:hAnsi="宋体" w:eastAsia="宋体" w:cs="宋体"/>
                <w:i w:val="0"/>
                <w:color w:val="000000"/>
                <w:kern w:val="0"/>
                <w:sz w:val="20"/>
                <w:szCs w:val="20"/>
                <w:u w:val="none"/>
                <w:lang w:val="en-US" w:eastAsia="zh-CN" w:bidi="ar"/>
              </w:rPr>
              <w:t>35-39</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华东（</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国产调和</w:t>
            </w:r>
            <w:r>
              <w:rPr>
                <w:sz w:val="20"/>
                <w:szCs w:val="20"/>
              </w:rPr>
              <w:t>250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2850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sz w:val="20"/>
                <w:szCs w:val="20"/>
                <w:lang w:val="en-US" w:eastAsia="zh-CN"/>
              </w:rPr>
            </w:pPr>
            <w:r>
              <w:rPr>
                <w:rFonts w:hint="eastAsia" w:ascii="宋体" w:hAnsi="宋体" w:eastAsia="宋体" w:cs="宋体"/>
                <w:i w:val="0"/>
                <w:color w:val="000000"/>
                <w:kern w:val="0"/>
                <w:sz w:val="20"/>
                <w:szCs w:val="20"/>
                <w:u w:val="none"/>
                <w:lang w:val="en-US" w:eastAsia="zh-CN" w:bidi="ar"/>
              </w:rPr>
              <w:t>2850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华东油浆</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2370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sz w:val="20"/>
                <w:szCs w:val="20"/>
                <w:lang w:val="en-US" w:eastAsia="zh-CN"/>
              </w:rPr>
            </w:pPr>
            <w:r>
              <w:rPr>
                <w:rFonts w:hint="eastAsia" w:ascii="宋体" w:hAnsi="宋体" w:eastAsia="宋体" w:cs="宋体"/>
                <w:i w:val="0"/>
                <w:color w:val="000000"/>
                <w:kern w:val="0"/>
                <w:sz w:val="20"/>
                <w:szCs w:val="20"/>
                <w:u w:val="none"/>
                <w:lang w:val="en-US" w:eastAsia="zh-CN" w:bidi="ar"/>
              </w:rPr>
              <w:t>2370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山东市场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直馏高硫</w:t>
            </w:r>
            <w:r>
              <w:rPr>
                <w:sz w:val="20"/>
                <w:szCs w:val="20"/>
              </w:rPr>
              <w:t>180CST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FF0000"/>
                <w:sz w:val="20"/>
                <w:szCs w:val="20"/>
              </w:rPr>
            </w:pPr>
            <w:r>
              <w:rPr>
                <w:rFonts w:hint="eastAsia" w:ascii="宋体" w:hAnsi="宋体" w:eastAsia="宋体" w:cs="宋体"/>
                <w:i w:val="0"/>
                <w:color w:val="FF0000"/>
                <w:kern w:val="0"/>
                <w:sz w:val="20"/>
                <w:szCs w:val="20"/>
                <w:u w:val="none"/>
                <w:lang w:val="en-US" w:eastAsia="zh-CN" w:bidi="ar"/>
              </w:rPr>
              <w:t>3660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3710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俄罗斯</w:t>
            </w:r>
            <w:r>
              <w:rPr>
                <w:sz w:val="20"/>
                <w:szCs w:val="20"/>
              </w:rPr>
              <w:t>M100</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color w:val="FF0000"/>
                <w:sz w:val="20"/>
                <w:szCs w:val="20"/>
              </w:rPr>
            </w:pPr>
            <w:r>
              <w:rPr>
                <w:rFonts w:hint="eastAsia" w:ascii="宋体" w:hAnsi="宋体" w:eastAsia="宋体" w:cs="宋体"/>
                <w:i w:val="0"/>
                <w:color w:val="FF0000"/>
                <w:kern w:val="0"/>
                <w:sz w:val="20"/>
                <w:szCs w:val="20"/>
                <w:u w:val="none"/>
                <w:lang w:val="en-US" w:eastAsia="zh-CN" w:bidi="ar"/>
              </w:rPr>
              <w:t>-50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FF0000"/>
                <w:sz w:val="20"/>
                <w:szCs w:val="20"/>
              </w:rPr>
            </w:pPr>
            <w:r>
              <w:rPr>
                <w:rFonts w:hint="eastAsia" w:ascii="宋体" w:hAnsi="宋体" w:eastAsia="宋体" w:cs="宋体"/>
                <w:i w:val="0"/>
                <w:color w:val="FF0000"/>
                <w:kern w:val="0"/>
                <w:sz w:val="20"/>
                <w:szCs w:val="20"/>
                <w:u w:val="none"/>
                <w:lang w:val="en-US" w:eastAsia="zh-CN" w:bidi="ar"/>
              </w:rPr>
              <w:t>3860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FF0000"/>
                <w:sz w:val="20"/>
                <w:szCs w:val="20"/>
                <w:lang w:val="en-US" w:eastAsia="zh-CN"/>
              </w:rPr>
            </w:pPr>
            <w:r>
              <w:rPr>
                <w:rFonts w:hint="eastAsia" w:ascii="宋体" w:hAnsi="宋体" w:eastAsia="宋体" w:cs="宋体"/>
                <w:i w:val="0"/>
                <w:color w:val="FF0000"/>
                <w:kern w:val="0"/>
                <w:sz w:val="20"/>
                <w:szCs w:val="20"/>
                <w:u w:val="none"/>
                <w:lang w:val="en-US" w:eastAsia="zh-CN" w:bidi="ar"/>
              </w:rPr>
              <w:t>3910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俄罗斯</w:t>
            </w:r>
            <w:r>
              <w:rPr>
                <w:sz w:val="20"/>
                <w:szCs w:val="20"/>
              </w:rPr>
              <w:t>M100</w:t>
            </w:r>
            <w:r>
              <w:rPr>
                <w:rFonts w:hint="eastAsia"/>
                <w:sz w:val="20"/>
                <w:szCs w:val="20"/>
              </w:rPr>
              <w:t>贴水（美元）</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34-36</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sz w:val="20"/>
                <w:szCs w:val="20"/>
                <w:lang w:val="en-US" w:eastAsia="zh-CN"/>
              </w:rPr>
            </w:pPr>
            <w:r>
              <w:rPr>
                <w:rFonts w:hint="eastAsia" w:ascii="宋体" w:hAnsi="宋体" w:eastAsia="宋体" w:cs="宋体"/>
                <w:i w:val="0"/>
                <w:color w:val="000000"/>
                <w:kern w:val="0"/>
                <w:sz w:val="20"/>
                <w:szCs w:val="20"/>
                <w:u w:val="none"/>
                <w:lang w:val="en-US" w:eastAsia="zh-CN" w:bidi="ar"/>
              </w:rPr>
              <w:t>34-36</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山东（</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焦化原料（带沥青票）</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color w:val="0746B9"/>
                <w:sz w:val="20"/>
                <w:szCs w:val="20"/>
              </w:rPr>
            </w:pPr>
            <w:r>
              <w:rPr>
                <w:rFonts w:hint="eastAsia" w:ascii="宋体" w:hAnsi="宋体" w:eastAsia="宋体" w:cs="宋体"/>
                <w:i w:val="0"/>
                <w:color w:val="0746B9"/>
                <w:kern w:val="0"/>
                <w:sz w:val="20"/>
                <w:szCs w:val="20"/>
                <w:u w:val="none"/>
                <w:lang w:val="en-US" w:eastAsia="zh-CN" w:bidi="ar"/>
              </w:rPr>
              <w:t>-40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0746B9"/>
                <w:sz w:val="20"/>
                <w:szCs w:val="20"/>
              </w:rPr>
            </w:pPr>
            <w:r>
              <w:rPr>
                <w:rFonts w:hint="eastAsia" w:ascii="宋体" w:hAnsi="宋体" w:eastAsia="宋体" w:cs="宋体"/>
                <w:i w:val="0"/>
                <w:color w:val="0746B9"/>
                <w:kern w:val="0"/>
                <w:sz w:val="20"/>
                <w:szCs w:val="20"/>
                <w:u w:val="none"/>
                <w:lang w:val="en-US" w:eastAsia="zh-CN" w:bidi="ar"/>
              </w:rPr>
              <w:t>2760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0746B9"/>
                <w:sz w:val="20"/>
                <w:szCs w:val="20"/>
                <w:lang w:val="en-US" w:eastAsia="zh-CN"/>
              </w:rPr>
            </w:pPr>
            <w:r>
              <w:rPr>
                <w:rFonts w:hint="eastAsia" w:ascii="宋体" w:hAnsi="宋体" w:eastAsia="宋体" w:cs="宋体"/>
                <w:i w:val="0"/>
                <w:color w:val="0746B9"/>
                <w:kern w:val="0"/>
                <w:sz w:val="20"/>
                <w:szCs w:val="20"/>
                <w:u w:val="none"/>
                <w:lang w:val="en-US" w:eastAsia="zh-CN" w:bidi="ar"/>
              </w:rPr>
              <w:t>2800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油浆（密度密度</w:t>
            </w:r>
            <w:r>
              <w:rPr>
                <w:sz w:val="20"/>
                <w:szCs w:val="20"/>
              </w:rPr>
              <w:t>1.03-1.06</w:t>
            </w:r>
            <w:r>
              <w:rPr>
                <w:rFonts w:hint="eastAsia"/>
                <w:sz w:val="20"/>
                <w:szCs w:val="20"/>
              </w:rPr>
              <w:t>沥青票）</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0000FF"/>
                <w:sz w:val="20"/>
                <w:szCs w:val="20"/>
                <w:lang w:val="en-US" w:eastAsia="zh-CN"/>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4743E5"/>
                <w:sz w:val="20"/>
                <w:szCs w:val="20"/>
                <w:lang w:val="en-US" w:eastAsia="zh-CN"/>
              </w:rPr>
            </w:pPr>
            <w:r>
              <w:rPr>
                <w:rFonts w:hint="eastAsia" w:ascii="宋体" w:hAnsi="宋体" w:eastAsia="宋体" w:cs="宋体"/>
                <w:i w:val="0"/>
                <w:color w:val="000000"/>
                <w:kern w:val="0"/>
                <w:sz w:val="20"/>
                <w:szCs w:val="20"/>
                <w:u w:val="none"/>
                <w:lang w:val="en-US" w:eastAsia="zh-CN" w:bidi="ar"/>
              </w:rPr>
              <w:t>2350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auto"/>
                <w:sz w:val="20"/>
                <w:szCs w:val="20"/>
                <w:lang w:val="en-US" w:eastAsia="zh-CN"/>
              </w:rPr>
            </w:pPr>
            <w:r>
              <w:rPr>
                <w:rFonts w:hint="eastAsia" w:ascii="宋体" w:hAnsi="宋体" w:eastAsia="宋体" w:cs="宋体"/>
                <w:i w:val="0"/>
                <w:color w:val="000000"/>
                <w:kern w:val="0"/>
                <w:sz w:val="20"/>
                <w:szCs w:val="20"/>
                <w:u w:val="none"/>
                <w:lang w:val="en-US" w:eastAsia="zh-CN" w:bidi="ar"/>
              </w:rPr>
              <w:t>2350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油浆（密度</w:t>
            </w:r>
            <w:r>
              <w:rPr>
                <w:sz w:val="20"/>
                <w:szCs w:val="20"/>
              </w:rPr>
              <w:t>1.1</w:t>
            </w:r>
            <w:r>
              <w:rPr>
                <w:rFonts w:hint="eastAsia"/>
                <w:sz w:val="20"/>
                <w:szCs w:val="20"/>
              </w:rPr>
              <w:t>左右沥青票</w:t>
            </w:r>
            <w:r>
              <w:rPr>
                <w:rFonts w:hint="eastAsia"/>
                <w:sz w:val="21"/>
                <w:szCs w:val="21"/>
              </w:rPr>
              <w:t>）</w:t>
            </w:r>
          </w:p>
        </w:tc>
        <w:tc>
          <w:tcPr>
            <w:tcW w:w="820"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eastAsia="宋体" w:cs="Times New Roman"/>
                <w:color w:val="0746B9"/>
                <w:sz w:val="20"/>
                <w:szCs w:val="20"/>
                <w:lang w:val="en-US" w:eastAsia="zh-CN"/>
              </w:rPr>
            </w:pPr>
            <w:r>
              <w:rPr>
                <w:rFonts w:hint="eastAsia" w:ascii="宋体" w:hAnsi="宋体" w:eastAsia="宋体" w:cs="宋体"/>
                <w:i w:val="0"/>
                <w:color w:val="0746B9"/>
                <w:kern w:val="0"/>
                <w:sz w:val="20"/>
                <w:szCs w:val="20"/>
                <w:u w:val="none"/>
                <w:lang w:val="en-US" w:eastAsia="zh-CN" w:bidi="ar"/>
              </w:rPr>
              <w:t>-20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color w:val="0746B9"/>
                <w:sz w:val="20"/>
                <w:szCs w:val="20"/>
                <w:lang w:val="en-US" w:eastAsia="zh-CN"/>
              </w:rPr>
            </w:pPr>
            <w:r>
              <w:rPr>
                <w:rFonts w:hint="eastAsia" w:ascii="宋体" w:hAnsi="宋体" w:eastAsia="宋体" w:cs="宋体"/>
                <w:i w:val="0"/>
                <w:color w:val="0746B9"/>
                <w:kern w:val="0"/>
                <w:sz w:val="20"/>
                <w:szCs w:val="20"/>
                <w:u w:val="none"/>
                <w:lang w:val="en-US" w:eastAsia="zh-CN" w:bidi="ar"/>
              </w:rPr>
              <w:t>2250</w:t>
            </w:r>
          </w:p>
        </w:tc>
        <w:tc>
          <w:tcPr>
            <w:tcW w:w="964" w:type="dxa"/>
            <w:tcBorders>
              <w:top w:val="nil"/>
              <w:left w:val="nil"/>
              <w:bottom w:val="single" w:color="auto" w:sz="4" w:space="0"/>
              <w:right w:val="single" w:color="auto" w:sz="4" w:space="0"/>
            </w:tcBorders>
            <w:shd w:val="clear" w:color="auto" w:fill="FFFFFF"/>
            <w:textDirection w:val="lrTb"/>
            <w:vAlign w:val="center"/>
          </w:tcPr>
          <w:p>
            <w:pPr>
              <w:keepNext w:val="0"/>
              <w:keepLines w:val="0"/>
              <w:widowControl/>
              <w:suppressLineNumbers w:val="0"/>
              <w:jc w:val="right"/>
              <w:textAlignment w:val="center"/>
              <w:rPr>
                <w:rFonts w:hint="eastAsia" w:ascii="宋体" w:hAnsi="宋体" w:eastAsia="宋体" w:cs="宋体"/>
                <w:b w:val="0"/>
                <w:bCs w:val="0"/>
                <w:color w:val="0746B9"/>
                <w:sz w:val="20"/>
                <w:szCs w:val="20"/>
                <w:lang w:val="en-US" w:eastAsia="zh-CN"/>
              </w:rPr>
            </w:pPr>
            <w:r>
              <w:rPr>
                <w:rFonts w:hint="eastAsia" w:ascii="宋体" w:hAnsi="宋体" w:eastAsia="宋体" w:cs="宋体"/>
                <w:i w:val="0"/>
                <w:color w:val="0746B9"/>
                <w:kern w:val="0"/>
                <w:sz w:val="20"/>
                <w:szCs w:val="20"/>
                <w:u w:val="none"/>
                <w:lang w:val="en-US" w:eastAsia="zh-CN" w:bidi="ar"/>
              </w:rPr>
              <w:t>2270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nil"/>
              <w:right w:val="single" w:color="auto" w:sz="4" w:space="0"/>
            </w:tcBorders>
            <w:vAlign w:val="center"/>
          </w:tcPr>
          <w:p>
            <w:pPr>
              <w:rPr>
                <w:rFonts w:cs="Times New Roman"/>
                <w:b/>
                <w:bCs/>
                <w:sz w:val="20"/>
                <w:szCs w:val="20"/>
              </w:rPr>
            </w:pPr>
          </w:p>
        </w:tc>
        <w:tc>
          <w:tcPr>
            <w:tcW w:w="2533" w:type="dxa"/>
            <w:tcBorders>
              <w:top w:val="nil"/>
              <w:left w:val="nil"/>
              <w:bottom w:val="nil"/>
              <w:right w:val="single" w:color="auto" w:sz="4" w:space="0"/>
            </w:tcBorders>
            <w:vAlign w:val="center"/>
          </w:tcPr>
          <w:p>
            <w:pPr>
              <w:jc w:val="center"/>
              <w:rPr>
                <w:rFonts w:cs="Times New Roman"/>
                <w:sz w:val="20"/>
                <w:szCs w:val="20"/>
              </w:rPr>
            </w:pPr>
            <w:r>
              <w:rPr>
                <w:rFonts w:hint="eastAsia"/>
                <w:sz w:val="20"/>
                <w:szCs w:val="20"/>
              </w:rPr>
              <w:t>常渣（密度</w:t>
            </w:r>
            <w:r>
              <w:rPr>
                <w:sz w:val="20"/>
                <w:szCs w:val="20"/>
              </w:rPr>
              <w:t>0.95</w:t>
            </w:r>
            <w:r>
              <w:rPr>
                <w:rFonts w:hint="eastAsia"/>
                <w:sz w:val="20"/>
                <w:szCs w:val="20"/>
              </w:rPr>
              <w:t>左右）</w:t>
            </w:r>
          </w:p>
        </w:tc>
        <w:tc>
          <w:tcPr>
            <w:tcW w:w="820" w:type="dxa"/>
            <w:tcBorders>
              <w:top w:val="nil"/>
              <w:left w:val="nil"/>
              <w:bottom w:val="nil"/>
              <w:right w:val="single" w:color="auto" w:sz="4" w:space="0"/>
            </w:tcBorders>
            <w:shd w:val="clear" w:color="auto" w:fill="FFFFFF"/>
            <w:textDirection w:val="lrTb"/>
            <w:vAlign w:val="center"/>
          </w:tcPr>
          <w:p>
            <w:pPr>
              <w:keepNext w:val="0"/>
              <w:keepLines w:val="0"/>
              <w:widowControl/>
              <w:suppressLineNumbers w:val="0"/>
              <w:jc w:val="center"/>
              <w:textAlignment w:val="center"/>
              <w:rPr>
                <w:rFonts w:cs="Times New Roman"/>
                <w:sz w:val="20"/>
                <w:szCs w:val="20"/>
              </w:rPr>
            </w:pPr>
            <w:r>
              <w:rPr>
                <w:rFonts w:hint="eastAsia" w:ascii="宋体" w:hAnsi="宋体" w:eastAsia="宋体" w:cs="宋体"/>
                <w:i w:val="0"/>
                <w:color w:val="000000"/>
                <w:kern w:val="0"/>
                <w:sz w:val="20"/>
                <w:szCs w:val="20"/>
                <w:u w:val="none"/>
                <w:lang w:val="en-US" w:eastAsia="zh-CN" w:bidi="ar"/>
              </w:rPr>
              <w:t>0</w:t>
            </w:r>
          </w:p>
        </w:tc>
        <w:tc>
          <w:tcPr>
            <w:tcW w:w="964" w:type="dxa"/>
            <w:tcBorders>
              <w:top w:val="nil"/>
              <w:left w:val="nil"/>
              <w:bottom w:val="nil"/>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N/A</w:t>
            </w:r>
          </w:p>
        </w:tc>
        <w:tc>
          <w:tcPr>
            <w:tcW w:w="964" w:type="dxa"/>
            <w:tcBorders>
              <w:top w:val="nil"/>
              <w:left w:val="nil"/>
              <w:bottom w:val="nil"/>
              <w:right w:val="single" w:color="auto"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N/A</w:t>
            </w:r>
          </w:p>
        </w:tc>
        <w:tc>
          <w:tcPr>
            <w:tcW w:w="2284" w:type="dxa"/>
            <w:tcBorders>
              <w:top w:val="nil"/>
              <w:left w:val="nil"/>
              <w:bottom w:val="nil"/>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1658" w:hRule="atLeast"/>
        </w:trPr>
        <w:tc>
          <w:tcPr>
            <w:tcW w:w="963" w:type="dxa"/>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7565" w:type="dxa"/>
            <w:gridSpan w:val="5"/>
            <w:tcBorders>
              <w:top w:val="nil"/>
              <w:left w:val="nil"/>
              <w:bottom w:val="single" w:color="auto" w:sz="4" w:space="0"/>
              <w:right w:val="single" w:color="auto" w:sz="4" w:space="0"/>
            </w:tcBorders>
            <w:vAlign w:val="center"/>
          </w:tcPr>
          <w:p>
            <w:pPr>
              <w:jc w:val="center"/>
              <w:rPr>
                <w:rFonts w:hint="eastAsia"/>
                <w:sz w:val="20"/>
                <w:szCs w:val="20"/>
              </w:rPr>
            </w:pPr>
            <w:r>
              <w:rPr>
                <w:rFonts w:hint="eastAsia"/>
                <w:sz w:val="21"/>
                <w:szCs w:val="21"/>
              </w:rPr>
              <w:t>备注：</w:t>
            </w:r>
            <w:r>
              <w:rPr>
                <w:sz w:val="21"/>
                <w:szCs w:val="21"/>
              </w:rPr>
              <w:t>1</w:t>
            </w:r>
            <w:r>
              <w:rPr>
                <w:rFonts w:hint="eastAsia"/>
                <w:sz w:val="21"/>
                <w:szCs w:val="21"/>
              </w:rPr>
              <w:t>自</w:t>
            </w:r>
            <w:r>
              <w:rPr>
                <w:sz w:val="21"/>
                <w:szCs w:val="21"/>
              </w:rPr>
              <w:t>2015</w:t>
            </w:r>
            <w:r>
              <w:rPr>
                <w:rFonts w:hint="eastAsia"/>
                <w:sz w:val="21"/>
                <w:szCs w:val="21"/>
              </w:rPr>
              <w:t>年</w:t>
            </w:r>
            <w:r>
              <w:rPr>
                <w:sz w:val="21"/>
                <w:szCs w:val="21"/>
              </w:rPr>
              <w:t>6</w:t>
            </w:r>
            <w:r>
              <w:rPr>
                <w:rFonts w:hint="eastAsia"/>
                <w:sz w:val="21"/>
                <w:szCs w:val="21"/>
              </w:rPr>
              <w:t>月</w:t>
            </w:r>
            <w:r>
              <w:rPr>
                <w:sz w:val="21"/>
                <w:szCs w:val="21"/>
              </w:rPr>
              <w:t>10</w:t>
            </w:r>
            <w:r>
              <w:rPr>
                <w:rFonts w:hint="eastAsia"/>
                <w:sz w:val="21"/>
                <w:szCs w:val="21"/>
              </w:rPr>
              <w:t>日起，新增进口稀释沥青估价，该估价含沥青票，为港口库船提价格。</w:t>
            </w:r>
            <w:r>
              <w:rPr>
                <w:rFonts w:cs="Times New Roman"/>
                <w:sz w:val="21"/>
                <w:szCs w:val="21"/>
              </w:rPr>
              <w:br w:type="textWrapping"/>
            </w:r>
            <w:r>
              <w:rPr>
                <w:sz w:val="21"/>
                <w:szCs w:val="21"/>
              </w:rPr>
              <w:t xml:space="preserve">      2</w:t>
            </w:r>
            <w:r>
              <w:rPr>
                <w:rFonts w:hint="eastAsia"/>
                <w:sz w:val="21"/>
                <w:szCs w:val="21"/>
              </w:rPr>
              <w:t>、近期山东地区常渣外销量稀少，于</w:t>
            </w:r>
            <w:r>
              <w:rPr>
                <w:sz w:val="21"/>
                <w:szCs w:val="21"/>
              </w:rPr>
              <w:t>2016</w:t>
            </w:r>
            <w:r>
              <w:rPr>
                <w:rFonts w:hint="eastAsia"/>
                <w:sz w:val="21"/>
                <w:szCs w:val="21"/>
              </w:rPr>
              <w:t>年</w:t>
            </w:r>
            <w:r>
              <w:rPr>
                <w:sz w:val="21"/>
                <w:szCs w:val="21"/>
              </w:rPr>
              <w:t>3</w:t>
            </w:r>
            <w:r>
              <w:rPr>
                <w:rFonts w:hint="eastAsia"/>
                <w:sz w:val="21"/>
                <w:szCs w:val="21"/>
              </w:rPr>
              <w:t>月</w:t>
            </w:r>
            <w:r>
              <w:rPr>
                <w:sz w:val="21"/>
                <w:szCs w:val="21"/>
              </w:rPr>
              <w:t>22</w:t>
            </w:r>
            <w:r>
              <w:rPr>
                <w:rFonts w:hint="eastAsia"/>
                <w:sz w:val="21"/>
                <w:szCs w:val="21"/>
              </w:rPr>
              <w:t>日起暂停常渣成交估价。</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spacing w:before="240" w:after="240" w:line="240" w:lineRule="auto"/>
        <w:rPr>
          <w:rFonts w:ascii="宋体" w:hAnsi="宋体" w:eastAsia="宋体" w:cs="Times New Roman"/>
          <w:sz w:val="24"/>
          <w:szCs w:val="24"/>
        </w:rPr>
      </w:pPr>
      <w:r>
        <w:rPr>
          <w:rFonts w:ascii="宋体" w:hAnsi="宋体" w:eastAsia="宋体" w:cs="宋体"/>
          <w:sz w:val="24"/>
          <w:szCs w:val="24"/>
        </w:rPr>
        <w:t>2.5</w:t>
      </w:r>
      <w:r>
        <w:rPr>
          <w:rFonts w:hint="eastAsia" w:ascii="宋体" w:hAnsi="宋体" w:eastAsia="宋体" w:cs="宋体"/>
          <w:sz w:val="24"/>
          <w:szCs w:val="24"/>
        </w:rPr>
        <w:t>上海期货交易所收盘数据</w:t>
      </w:r>
      <w:bookmarkEnd w:id="35"/>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3"/>
        <w:gridCol w:w="733"/>
        <w:gridCol w:w="732"/>
        <w:gridCol w:w="732"/>
        <w:gridCol w:w="732"/>
        <w:gridCol w:w="732"/>
        <w:gridCol w:w="560"/>
        <w:gridCol w:w="732"/>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8" w:type="dxa"/>
            <w:gridSpan w:val="11"/>
            <w:vAlign w:val="center"/>
          </w:tcPr>
          <w:p>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shd w:val="clear" w:color="auto" w:fill="99CCFF"/>
          </w:tcPr>
          <w:p>
            <w:pPr>
              <w:jc w:val="center"/>
              <w:rPr>
                <w:rFonts w:ascii="Arial" w:hAnsi="Arial" w:cs="Arial"/>
                <w:color w:val="000000"/>
                <w:sz w:val="20"/>
                <w:szCs w:val="20"/>
              </w:rPr>
            </w:pPr>
            <w:r>
              <w:rPr>
                <w:rFonts w:hint="eastAsia" w:ascii="Arial" w:hAnsi="Arial"/>
                <w:color w:val="000000"/>
                <w:sz w:val="20"/>
                <w:szCs w:val="20"/>
              </w:rPr>
              <w:t>品种名</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昨结算</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今开盘</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最低价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收盘价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结算价</w:t>
            </w:r>
          </w:p>
        </w:tc>
        <w:tc>
          <w:tcPr>
            <w:tcW w:w="560" w:type="dxa"/>
            <w:shd w:val="clear" w:color="auto" w:fill="99CCFF"/>
          </w:tcPr>
          <w:p>
            <w:pPr>
              <w:jc w:val="center"/>
              <w:rPr>
                <w:rFonts w:cs="Times New Roman"/>
                <w:color w:val="000000"/>
                <w:sz w:val="20"/>
                <w:szCs w:val="20"/>
              </w:rPr>
            </w:pPr>
            <w:r>
              <w:rPr>
                <w:rFonts w:hint="eastAsia"/>
                <w:color w:val="000000"/>
                <w:sz w:val="20"/>
                <w:szCs w:val="20"/>
              </w:rPr>
              <w:t>升跌</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成交量</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持仓量</w:t>
            </w:r>
          </w:p>
        </w:tc>
        <w:tc>
          <w:tcPr>
            <w:tcW w:w="990" w:type="dxa"/>
            <w:shd w:val="clear" w:color="auto" w:fill="99CCFF"/>
          </w:tcPr>
          <w:p>
            <w:pPr>
              <w:jc w:val="center"/>
              <w:rPr>
                <w:rFonts w:ascii="Arial" w:hAnsi="Arial" w:cs="Arial"/>
                <w:color w:val="000000"/>
                <w:sz w:val="20"/>
                <w:szCs w:val="20"/>
              </w:rPr>
            </w:pPr>
            <w:r>
              <w:rPr>
                <w:rFonts w:hint="eastAsia" w:ascii="Arial" w:hAnsi="Arial"/>
                <w:color w:val="000000"/>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vAlign w:val="center"/>
          </w:tcPr>
          <w:p>
            <w:pPr>
              <w:jc w:val="right"/>
              <w:rPr>
                <w:rFonts w:cs="Times New Roman"/>
                <w:sz w:val="20"/>
                <w:szCs w:val="20"/>
              </w:rPr>
            </w:pPr>
            <w:r>
              <w:rPr>
                <w:rFonts w:hint="eastAsia"/>
                <w:sz w:val="20"/>
                <w:szCs w:val="20"/>
              </w:rPr>
              <w:t>燃料油</w:t>
            </w:r>
            <w:r>
              <w:rPr>
                <w:sz w:val="20"/>
                <w:szCs w:val="20"/>
              </w:rPr>
              <w:t>1711</w:t>
            </w:r>
          </w:p>
        </w:tc>
        <w:tc>
          <w:tcPr>
            <w:tcW w:w="733" w:type="dxa"/>
            <w:vAlign w:val="center"/>
          </w:tcPr>
          <w:p>
            <w:pPr>
              <w:jc w:val="right"/>
              <w:rPr>
                <w:rFonts w:cs="Times New Roman"/>
                <w:sz w:val="20"/>
                <w:szCs w:val="20"/>
              </w:rPr>
            </w:pPr>
            <w:r>
              <w:rPr>
                <w:sz w:val="20"/>
                <w:szCs w:val="20"/>
              </w:rPr>
              <w:t>3</w:t>
            </w:r>
            <w:r>
              <w:rPr>
                <w:rFonts w:hint="eastAsia"/>
                <w:sz w:val="20"/>
                <w:szCs w:val="20"/>
                <w:lang w:val="en-US" w:eastAsia="zh-CN"/>
              </w:rPr>
              <w:t>823</w:t>
            </w:r>
          </w:p>
        </w:tc>
        <w:tc>
          <w:tcPr>
            <w:tcW w:w="733" w:type="dxa"/>
            <w:vAlign w:val="center"/>
          </w:tcPr>
          <w:p>
            <w:pPr>
              <w:jc w:val="right"/>
              <w:rPr>
                <w:rFonts w:cs="Times New Roman"/>
                <w:sz w:val="20"/>
                <w:szCs w:val="20"/>
              </w:rPr>
            </w:pPr>
            <w:r>
              <w:rPr>
                <w:sz w:val="20"/>
                <w:szCs w:val="20"/>
              </w:rPr>
              <w:t>38</w:t>
            </w:r>
            <w:r>
              <w:rPr>
                <w:rFonts w:hint="eastAsia"/>
                <w:sz w:val="20"/>
                <w:szCs w:val="20"/>
                <w:lang w:val="en-US" w:eastAsia="zh-CN"/>
              </w:rPr>
              <w:t>35</w:t>
            </w:r>
          </w:p>
        </w:tc>
        <w:tc>
          <w:tcPr>
            <w:tcW w:w="732" w:type="dxa"/>
          </w:tcPr>
          <w:p>
            <w:pPr>
              <w:rPr>
                <w:rFonts w:cs="Times New Roman"/>
              </w:rPr>
            </w:pPr>
            <w:r>
              <w:rPr>
                <w:sz w:val="20"/>
                <w:szCs w:val="20"/>
              </w:rPr>
              <w:t>38</w:t>
            </w:r>
            <w:r>
              <w:rPr>
                <w:rFonts w:hint="eastAsia"/>
                <w:sz w:val="20"/>
                <w:szCs w:val="20"/>
                <w:lang w:val="en-US" w:eastAsia="zh-CN"/>
              </w:rPr>
              <w:t>35</w:t>
            </w:r>
          </w:p>
        </w:tc>
        <w:tc>
          <w:tcPr>
            <w:tcW w:w="732" w:type="dxa"/>
          </w:tcPr>
          <w:p>
            <w:pPr>
              <w:rPr>
                <w:rFonts w:cs="Times New Roman"/>
              </w:rPr>
            </w:pPr>
            <w:r>
              <w:rPr>
                <w:sz w:val="20"/>
                <w:szCs w:val="20"/>
              </w:rPr>
              <w:t>37</w:t>
            </w:r>
            <w:r>
              <w:rPr>
                <w:rFonts w:hint="eastAsia"/>
                <w:sz w:val="20"/>
                <w:szCs w:val="20"/>
                <w:lang w:val="en-US" w:eastAsia="zh-CN"/>
              </w:rPr>
              <w:t>86</w:t>
            </w:r>
          </w:p>
        </w:tc>
        <w:tc>
          <w:tcPr>
            <w:tcW w:w="732" w:type="dxa"/>
          </w:tcPr>
          <w:p>
            <w:pPr>
              <w:rPr>
                <w:rFonts w:cs="Times New Roman"/>
              </w:rPr>
            </w:pPr>
            <w:r>
              <w:rPr>
                <w:sz w:val="20"/>
                <w:szCs w:val="20"/>
              </w:rPr>
              <w:t>37</w:t>
            </w:r>
            <w:r>
              <w:rPr>
                <w:rFonts w:hint="eastAsia"/>
                <w:sz w:val="20"/>
                <w:szCs w:val="20"/>
                <w:lang w:val="en-US" w:eastAsia="zh-CN"/>
              </w:rPr>
              <w:t>86</w:t>
            </w:r>
          </w:p>
        </w:tc>
        <w:tc>
          <w:tcPr>
            <w:tcW w:w="732" w:type="dxa"/>
          </w:tcPr>
          <w:p>
            <w:pPr>
              <w:rPr>
                <w:rFonts w:cs="Times New Roman"/>
              </w:rPr>
            </w:pPr>
            <w:r>
              <w:rPr>
                <w:sz w:val="20"/>
                <w:szCs w:val="20"/>
              </w:rPr>
              <w:t>38</w:t>
            </w:r>
            <w:r>
              <w:rPr>
                <w:rFonts w:hint="eastAsia"/>
                <w:sz w:val="20"/>
                <w:szCs w:val="20"/>
                <w:lang w:val="en-US" w:eastAsia="zh-CN"/>
              </w:rPr>
              <w:t>16</w:t>
            </w:r>
          </w:p>
        </w:tc>
        <w:tc>
          <w:tcPr>
            <w:tcW w:w="560"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-37</w:t>
            </w:r>
          </w:p>
        </w:tc>
        <w:tc>
          <w:tcPr>
            <w:tcW w:w="732" w:type="dxa"/>
            <w:vAlign w:val="center"/>
          </w:tcPr>
          <w:p>
            <w:pPr>
              <w:jc w:val="right"/>
              <w:rPr>
                <w:rFonts w:cs="Times New Roman"/>
                <w:sz w:val="20"/>
                <w:szCs w:val="20"/>
              </w:rPr>
            </w:pPr>
            <w:r>
              <w:rPr>
                <w:sz w:val="20"/>
                <w:szCs w:val="20"/>
              </w:rPr>
              <w:t>10</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2</w:t>
            </w:r>
          </w:p>
        </w:tc>
        <w:tc>
          <w:tcPr>
            <w:tcW w:w="990" w:type="dxa"/>
            <w:vAlign w:val="center"/>
          </w:tcPr>
          <w:p>
            <w:pPr>
              <w:jc w:val="right"/>
              <w:rPr>
                <w:rFonts w:cs="Times New Roman"/>
                <w:sz w:val="20"/>
                <w:szCs w:val="20"/>
              </w:rPr>
            </w:pPr>
            <w:r>
              <w:rPr>
                <w:rFonts w:hint="eastAsia"/>
                <w:sz w:val="20"/>
                <w:szCs w:val="20"/>
                <w:lang w:val="en-US" w:eastAsia="zh-CN"/>
              </w:rPr>
              <w:t>5</w:t>
            </w:r>
            <w:r>
              <w:rPr>
                <w:sz w:val="20"/>
                <w:szCs w:val="20"/>
              </w:rPr>
              <w:t>May17</w:t>
            </w:r>
          </w:p>
        </w:tc>
      </w:tr>
    </w:tbl>
    <w:p>
      <w:pPr>
        <w:rPr>
          <w:rFonts w:ascii="Arial" w:hAnsi="Arial" w:cs="Arial"/>
          <w:sz w:val="21"/>
          <w:szCs w:val="21"/>
        </w:rPr>
      </w:pPr>
    </w:p>
    <w:p>
      <w:pPr>
        <w:rPr>
          <w:rFonts w:hint="eastAsia" w:ascii="Arial" w:hAnsi="Arial"/>
          <w:sz w:val="21"/>
          <w:szCs w:val="21"/>
        </w:rPr>
      </w:pPr>
    </w:p>
    <w:p>
      <w:pPr>
        <w:rPr>
          <w:rFonts w:hint="eastAsia" w:ascii="Arial" w:hAnsi="Arial"/>
          <w:sz w:val="21"/>
          <w:szCs w:val="21"/>
        </w:rPr>
      </w:pPr>
    </w:p>
    <w:p>
      <w:pPr>
        <w:pStyle w:val="3"/>
        <w:spacing w:before="240" w:after="240" w:line="240" w:lineRule="auto"/>
        <w:rPr>
          <w:rFonts w:ascii="宋体" w:hAnsi="宋体" w:eastAsia="宋体" w:cs="Times New Roman"/>
          <w:sz w:val="24"/>
          <w:szCs w:val="24"/>
        </w:rPr>
      </w:pPr>
      <w:bookmarkStart w:id="36" w:name="_Toc436380344"/>
      <w:r>
        <w:rPr>
          <w:rFonts w:ascii="宋体" w:hAnsi="宋体" w:eastAsia="宋体" w:cs="宋体"/>
          <w:sz w:val="24"/>
          <w:szCs w:val="24"/>
        </w:rPr>
        <w:t>2. 6</w:t>
      </w:r>
      <w:r>
        <w:rPr>
          <w:rFonts w:hint="eastAsia" w:ascii="宋体" w:hAnsi="宋体" w:eastAsia="宋体" w:cs="宋体"/>
          <w:sz w:val="24"/>
          <w:szCs w:val="24"/>
        </w:rPr>
        <w:t>上海期货交易所收盘报告</w:t>
      </w:r>
    </w:p>
    <w:bookmarkEnd w:id="32"/>
    <w:bookmarkEnd w:id="33"/>
    <w:bookmarkEnd w:id="36"/>
    <w:p>
      <w:pPr>
        <w:wordWrap w:val="0"/>
        <w:spacing w:after="90" w:line="288" w:lineRule="auto"/>
        <w:ind w:firstLine="480"/>
        <w:rPr>
          <w:rFonts w:cs="Times New Roman"/>
        </w:rPr>
      </w:pPr>
      <w:bookmarkStart w:id="37" w:name="_Toc436380345"/>
      <w:r>
        <w:rPr>
          <w:rFonts w:hint="eastAsia" w:ascii="Arial" w:hAnsi="Arial"/>
          <w:sz w:val="21"/>
          <w:szCs w:val="21"/>
        </w:rPr>
        <w:t>周</w:t>
      </w:r>
      <w:r>
        <w:rPr>
          <w:rFonts w:hint="eastAsia" w:ascii="Arial" w:hAnsi="Arial"/>
          <w:sz w:val="21"/>
          <w:szCs w:val="21"/>
          <w:lang w:eastAsia="zh-CN"/>
        </w:rPr>
        <w:t>二</w:t>
      </w:r>
      <w:r>
        <w:rPr>
          <w:rFonts w:hint="eastAsia" w:ascii="Arial" w:hAnsi="Arial"/>
          <w:sz w:val="21"/>
          <w:szCs w:val="21"/>
        </w:rPr>
        <w:t>上期所燃料油期货无成交</w:t>
      </w:r>
    </w:p>
    <w:p>
      <w:pPr>
        <w:wordWrap w:val="0"/>
        <w:spacing w:after="90" w:line="288" w:lineRule="auto"/>
        <w:ind w:firstLine="480"/>
        <w:rPr>
          <w:rFonts w:cs="Times New Roman"/>
          <w:sz w:val="21"/>
          <w:szCs w:val="21"/>
        </w:rPr>
      </w:pPr>
    </w:p>
    <w:p>
      <w:pPr>
        <w:pStyle w:val="23"/>
        <w:rPr>
          <w:rFonts w:cs="Times New Roman"/>
          <w:sz w:val="20"/>
          <w:szCs w:val="20"/>
        </w:rPr>
      </w:pPr>
    </w:p>
    <w:p>
      <w:pPr>
        <w:pStyle w:val="23"/>
        <w:rPr>
          <w:rFonts w:cs="Times New Roman"/>
          <w:sz w:val="20"/>
          <w:szCs w:val="20"/>
        </w:rPr>
      </w:pPr>
    </w:p>
    <w:p>
      <w:pPr>
        <w:pStyle w:val="23"/>
        <w:rPr>
          <w:rFonts w:cs="Times New Roman"/>
          <w:sz w:val="20"/>
          <w:szCs w:val="20"/>
        </w:rPr>
      </w:pPr>
    </w:p>
    <w:p>
      <w:pPr>
        <w:pStyle w:val="2"/>
        <w:spacing w:before="120" w:after="0" w:line="240" w:lineRule="auto"/>
        <w:rPr>
          <w:rFonts w:cs="Times New Roman"/>
          <w:color w:val="FF0000"/>
          <w:sz w:val="28"/>
          <w:szCs w:val="28"/>
        </w:rPr>
      </w:pPr>
      <w:r>
        <w:rPr>
          <w:rFonts w:hint="eastAsia"/>
          <w:color w:val="FF0000"/>
          <w:sz w:val="28"/>
          <w:szCs w:val="28"/>
        </w:rPr>
        <w:t>三、国内燃料油船期预报</w:t>
      </w:r>
      <w:bookmarkEnd w:id="37"/>
    </w:p>
    <w:p>
      <w:pPr>
        <w:pStyle w:val="3"/>
        <w:numPr>
          <w:ilvl w:val="1"/>
          <w:numId w:val="3"/>
        </w:numPr>
        <w:spacing w:before="240" w:after="240" w:line="240" w:lineRule="auto"/>
        <w:rPr>
          <w:rFonts w:ascii="宋体" w:hAnsi="宋体" w:eastAsia="宋体" w:cs="Times New Roman"/>
          <w:sz w:val="24"/>
          <w:szCs w:val="24"/>
        </w:rPr>
      </w:pPr>
      <w:r>
        <w:rPr>
          <w:rFonts w:hint="eastAsia" w:ascii="宋体" w:hAnsi="宋体" w:eastAsia="宋体" w:cs="宋体"/>
          <w:sz w:val="24"/>
          <w:szCs w:val="24"/>
        </w:rPr>
        <w:t>华南燃料油船期预报</w:t>
      </w: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618"/>
        <w:gridCol w:w="1421"/>
        <w:gridCol w:w="1406"/>
        <w:gridCol w:w="1406"/>
        <w:gridCol w:w="1476"/>
        <w:gridCol w:w="1066"/>
        <w:gridCol w:w="1135"/>
      </w:tblGrid>
      <w:tr>
        <w:tblPrEx>
          <w:tblLayout w:type="fixed"/>
          <w:tblCellMar>
            <w:top w:w="0" w:type="dxa"/>
            <w:left w:w="108" w:type="dxa"/>
            <w:bottom w:w="0" w:type="dxa"/>
            <w:right w:w="108" w:type="dxa"/>
          </w:tblCellMar>
        </w:tblPrEx>
        <w:trPr>
          <w:trHeight w:val="360" w:hRule="atLeast"/>
        </w:trPr>
        <w:tc>
          <w:tcPr>
            <w:tcW w:w="618"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47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06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CellMar>
            <w:top w:w="0" w:type="dxa"/>
            <w:left w:w="108" w:type="dxa"/>
            <w:bottom w:w="0" w:type="dxa"/>
            <w:right w:w="108" w:type="dxa"/>
          </w:tblCellMar>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sz w:val="20"/>
                <w:szCs w:val="20"/>
              </w:rPr>
            </w:pPr>
            <w:r>
              <w:rPr>
                <w:sz w:val="20"/>
                <w:szCs w:val="20"/>
              </w:rPr>
              <w:t>1</w:t>
            </w:r>
          </w:p>
        </w:tc>
        <w:tc>
          <w:tcPr>
            <w:tcW w:w="1421"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5</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4,500.00</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泓富</w:t>
            </w:r>
            <w:r>
              <w:rPr>
                <w:rFonts w:ascii="Calibri" w:hAnsi="Calibri" w:cs="Calibri"/>
                <w:sz w:val="20"/>
                <w:szCs w:val="20"/>
              </w:rPr>
              <w:t>6</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2</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6</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2,500.00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龙光</w:t>
            </w:r>
            <w:r>
              <w:rPr>
                <w:rFonts w:ascii="Calibri" w:hAnsi="Calibri" w:cs="Calibri"/>
                <w:sz w:val="20"/>
                <w:szCs w:val="20"/>
              </w:rPr>
              <w:t>688</w:t>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3</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7</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2,978.00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大富</w:t>
            </w:r>
            <w:r>
              <w:rPr>
                <w:rFonts w:ascii="Calibri" w:hAnsi="Calibri" w:cs="Calibri"/>
                <w:sz w:val="20"/>
                <w:szCs w:val="20"/>
              </w:rPr>
              <w:t>1</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4</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7</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500.00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珠海</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湛海供</w:t>
            </w:r>
            <w:r>
              <w:rPr>
                <w:rFonts w:ascii="Calibri" w:hAnsi="Calibri" w:cs="Calibri"/>
                <w:sz w:val="20"/>
                <w:szCs w:val="20"/>
              </w:rPr>
              <w:t>166</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rFonts w:hint="eastAsia"/>
                <w:b/>
                <w:bCs/>
                <w:sz w:val="20"/>
                <w:szCs w:val="20"/>
              </w:rPr>
              <w:t>合计</w:t>
            </w:r>
          </w:p>
        </w:tc>
        <w:tc>
          <w:tcPr>
            <w:tcW w:w="1406"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b/>
                <w:bCs/>
                <w:sz w:val="20"/>
                <w:szCs w:val="20"/>
              </w:rPr>
              <w:t>10</w:t>
            </w:r>
            <w:r>
              <w:rPr>
                <w:rFonts w:hint="eastAsia"/>
                <w:b/>
                <w:bCs/>
                <w:sz w:val="20"/>
                <w:szCs w:val="20"/>
              </w:rPr>
              <w:t>，</w:t>
            </w:r>
            <w:r>
              <w:rPr>
                <w:b/>
                <w:bCs/>
                <w:sz w:val="20"/>
                <w:szCs w:val="20"/>
              </w:rPr>
              <w:t>478.00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7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r>
    </w:tbl>
    <w:p>
      <w:pPr>
        <w:rPr>
          <w:rFonts w:cs="Times New Roman"/>
        </w:rPr>
      </w:pPr>
    </w:p>
    <w:p>
      <w:pPr>
        <w:rPr>
          <w:rFonts w:cs="Times New Roman"/>
        </w:rPr>
      </w:pPr>
    </w:p>
    <w:p>
      <w:pPr>
        <w:rPr>
          <w:rFonts w:cs="Times New Roman"/>
        </w:rPr>
      </w:pPr>
    </w:p>
    <w:p>
      <w:pPr>
        <w:pStyle w:val="3"/>
        <w:numPr>
          <w:ilvl w:val="1"/>
          <w:numId w:val="3"/>
        </w:numPr>
        <w:spacing w:before="240" w:after="240" w:line="240" w:lineRule="auto"/>
        <w:rPr>
          <w:rFonts w:ascii="宋体" w:hAnsi="宋体" w:eastAsia="宋体" w:cs="Times New Roman"/>
          <w:sz w:val="24"/>
          <w:szCs w:val="24"/>
        </w:rPr>
      </w:pPr>
      <w:bookmarkStart w:id="38" w:name="_Toc436380347"/>
      <w:r>
        <w:rPr>
          <w:rFonts w:hint="eastAsia" w:ascii="宋体" w:hAnsi="宋体" w:eastAsia="宋体" w:cs="宋体"/>
          <w:sz w:val="24"/>
          <w:szCs w:val="24"/>
        </w:rPr>
        <w:t>华东燃料油船期预报</w:t>
      </w:r>
      <w:bookmarkEnd w:id="38"/>
    </w:p>
    <w:tbl>
      <w:tblPr>
        <w:tblStyle w:val="29"/>
        <w:tblW w:w="8528" w:type="dxa"/>
        <w:tblInd w:w="-106" w:type="dxa"/>
        <w:tblLayout w:type="fixed"/>
        <w:tblCellMar>
          <w:top w:w="0" w:type="dxa"/>
          <w:left w:w="108" w:type="dxa"/>
          <w:bottom w:w="0" w:type="dxa"/>
          <w:right w:w="108" w:type="dxa"/>
        </w:tblCellMar>
      </w:tblPr>
      <w:tblGrid>
        <w:gridCol w:w="618"/>
        <w:gridCol w:w="1421"/>
        <w:gridCol w:w="1406"/>
        <w:gridCol w:w="1406"/>
        <w:gridCol w:w="1462"/>
        <w:gridCol w:w="1080"/>
        <w:gridCol w:w="1135"/>
      </w:tblGrid>
      <w:tr>
        <w:tblPrEx>
          <w:tblLayout w:type="fixed"/>
          <w:tblCellMar>
            <w:top w:w="0" w:type="dxa"/>
            <w:left w:w="108" w:type="dxa"/>
            <w:bottom w:w="0" w:type="dxa"/>
            <w:right w:w="108" w:type="dxa"/>
          </w:tblCellMar>
        </w:tblPrEx>
        <w:trPr>
          <w:trHeight w:val="360" w:hRule="atLeast"/>
        </w:trPr>
        <w:tc>
          <w:tcPr>
            <w:tcW w:w="618"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46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080"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sz w:val="20"/>
                <w:szCs w:val="20"/>
              </w:rPr>
            </w:pPr>
            <w:r>
              <w:rPr>
                <w:sz w:val="20"/>
                <w:szCs w:val="20"/>
              </w:rPr>
              <w:t>1</w:t>
            </w:r>
          </w:p>
        </w:tc>
        <w:tc>
          <w:tcPr>
            <w:tcW w:w="1421"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12</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40,000.00</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462"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安定号</w:t>
            </w:r>
          </w:p>
        </w:tc>
        <w:tc>
          <w:tcPr>
            <w:tcW w:w="1080"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混调</w:t>
            </w:r>
          </w:p>
        </w:tc>
      </w:tr>
      <w:tr>
        <w:tblPrEx>
          <w:tblLayout w:type="fixed"/>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rFonts w:hint="eastAsia"/>
                <w:b/>
                <w:bCs/>
                <w:sz w:val="20"/>
                <w:szCs w:val="20"/>
              </w:rPr>
              <w:t>合计</w:t>
            </w:r>
          </w:p>
        </w:tc>
        <w:tc>
          <w:tcPr>
            <w:tcW w:w="1406"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b/>
                <w:bCs/>
                <w:sz w:val="20"/>
                <w:szCs w:val="20"/>
              </w:rPr>
              <w:t>40</w:t>
            </w:r>
            <w:r>
              <w:rPr>
                <w:rFonts w:hint="eastAsia"/>
                <w:b/>
                <w:bCs/>
                <w:sz w:val="20"/>
                <w:szCs w:val="20"/>
              </w:rPr>
              <w:t>，</w:t>
            </w:r>
            <w:r>
              <w:rPr>
                <w:b/>
                <w:bCs/>
                <w:sz w:val="20"/>
                <w:szCs w:val="20"/>
              </w:rPr>
              <w:t>000.00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62"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080"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r>
    </w:tbl>
    <w:p>
      <w:pPr>
        <w:rPr>
          <w:rFonts w:cs="Times New Roman"/>
        </w:rPr>
      </w:pPr>
    </w:p>
    <w:p>
      <w:pPr>
        <w:rPr>
          <w:rFonts w:cs="Times New Roman"/>
        </w:rPr>
      </w:pPr>
    </w:p>
    <w:p>
      <w:pPr>
        <w:rPr>
          <w:rFonts w:cs="Times New Roman"/>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39" w:name="_Toc436380348"/>
      <w:r>
        <w:rPr>
          <w:rFonts w:hint="eastAsia" w:ascii="宋体" w:hAnsi="宋体" w:eastAsia="宋体" w:cs="宋体"/>
          <w:sz w:val="24"/>
          <w:szCs w:val="24"/>
        </w:rPr>
        <w:t>山东燃料油船期预报</w:t>
      </w:r>
      <w:bookmarkEnd w:id="39"/>
    </w:p>
    <w:p>
      <w:pPr>
        <w:rPr>
          <w:rFonts w:cs="Times New Roman"/>
          <w:sz w:val="21"/>
          <w:szCs w:val="21"/>
        </w:rPr>
      </w:pPr>
    </w:p>
    <w:tbl>
      <w:tblPr>
        <w:tblStyle w:val="29"/>
        <w:tblW w:w="8528" w:type="dxa"/>
        <w:tblInd w:w="-106" w:type="dxa"/>
        <w:tblLayout w:type="fixed"/>
        <w:tblCellMar>
          <w:top w:w="0" w:type="dxa"/>
          <w:left w:w="108" w:type="dxa"/>
          <w:bottom w:w="0" w:type="dxa"/>
          <w:right w:w="108" w:type="dxa"/>
        </w:tblCellMar>
      </w:tblPr>
      <w:tblGrid>
        <w:gridCol w:w="785"/>
        <w:gridCol w:w="1421"/>
        <w:gridCol w:w="1220"/>
        <w:gridCol w:w="1216"/>
        <w:gridCol w:w="1605"/>
        <w:gridCol w:w="1172"/>
        <w:gridCol w:w="1109"/>
      </w:tblGrid>
      <w:tr>
        <w:tblPrEx>
          <w:tblLayout w:type="fixed"/>
          <w:tblCellMar>
            <w:top w:w="0" w:type="dxa"/>
            <w:left w:w="108" w:type="dxa"/>
            <w:bottom w:w="0" w:type="dxa"/>
            <w:right w:w="108" w:type="dxa"/>
          </w:tblCellMar>
        </w:tblPrEx>
        <w:trPr>
          <w:trHeight w:val="300" w:hRule="atLeast"/>
        </w:trPr>
        <w:tc>
          <w:tcPr>
            <w:tcW w:w="785" w:type="dxa"/>
            <w:tcBorders>
              <w:top w:val="single" w:color="auto" w:sz="8" w:space="0"/>
              <w:left w:val="single" w:color="auto" w:sz="8" w:space="0"/>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220"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216"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605"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172"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09"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sz w:val="20"/>
                <w:szCs w:val="20"/>
              </w:rPr>
              <w:t>1</w:t>
            </w:r>
          </w:p>
        </w:tc>
        <w:tc>
          <w:tcPr>
            <w:tcW w:w="1421"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4</w:t>
            </w:r>
            <w:r>
              <w:rPr>
                <w:rFonts w:hint="eastAsia"/>
                <w:sz w:val="20"/>
                <w:szCs w:val="20"/>
              </w:rPr>
              <w:t>月</w:t>
            </w:r>
            <w:r>
              <w:rPr>
                <w:sz w:val="20"/>
                <w:szCs w:val="20"/>
              </w:rPr>
              <w:t>4</w:t>
            </w:r>
            <w:r>
              <w:rPr>
                <w:rFonts w:hint="eastAsia"/>
                <w:sz w:val="20"/>
                <w:szCs w:val="20"/>
              </w:rPr>
              <w:t>日</w:t>
            </w:r>
          </w:p>
        </w:tc>
        <w:tc>
          <w:tcPr>
            <w:tcW w:w="1220"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12,000.00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r>
              <w:rPr>
                <w:rFonts w:hint="eastAsia"/>
                <w:sz w:val="20"/>
                <w:szCs w:val="20"/>
              </w:rPr>
              <w:t>青岛港</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直馏油</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sz w:val="20"/>
                <w:szCs w:val="20"/>
              </w:rPr>
              <w:t>2</w:t>
            </w:r>
          </w:p>
        </w:tc>
        <w:tc>
          <w:tcPr>
            <w:tcW w:w="1421"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4</w:t>
            </w:r>
            <w:r>
              <w:rPr>
                <w:rFonts w:hint="eastAsia"/>
                <w:sz w:val="20"/>
                <w:szCs w:val="20"/>
              </w:rPr>
              <w:t>月中旬</w:t>
            </w:r>
          </w:p>
        </w:tc>
        <w:tc>
          <w:tcPr>
            <w:tcW w:w="1220"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67,000.00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r>
              <w:rPr>
                <w:rFonts w:hint="eastAsia"/>
                <w:sz w:val="20"/>
                <w:szCs w:val="20"/>
              </w:rPr>
              <w:t>青岛港</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稀释沥青</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8" w:space="0"/>
              <w:right w:val="single" w:color="auto" w:sz="8" w:space="0"/>
            </w:tcBorders>
            <w:vAlign w:val="center"/>
          </w:tcPr>
          <w:p>
            <w:pPr>
              <w:jc w:val="center"/>
              <w:rPr>
                <w:rFonts w:cs="Times New Roman"/>
                <w:b/>
                <w:bCs/>
                <w:sz w:val="20"/>
                <w:szCs w:val="20"/>
              </w:rPr>
            </w:pPr>
            <w:r>
              <w:rPr>
                <w:rFonts w:hint="eastAsia"/>
                <w:b/>
                <w:bCs/>
                <w:sz w:val="20"/>
                <w:szCs w:val="20"/>
              </w:rPr>
              <w:t>合计</w:t>
            </w:r>
          </w:p>
        </w:tc>
        <w:tc>
          <w:tcPr>
            <w:tcW w:w="1220" w:type="dxa"/>
            <w:tcBorders>
              <w:top w:val="nil"/>
              <w:left w:val="nil"/>
              <w:bottom w:val="single" w:color="auto" w:sz="8" w:space="0"/>
              <w:right w:val="single" w:color="auto" w:sz="8" w:space="0"/>
            </w:tcBorders>
            <w:vAlign w:val="center"/>
          </w:tcPr>
          <w:p>
            <w:pPr>
              <w:jc w:val="center"/>
              <w:rPr>
                <w:rFonts w:cs="Times New Roman"/>
                <w:b/>
                <w:bCs/>
                <w:sz w:val="20"/>
                <w:szCs w:val="20"/>
              </w:rPr>
            </w:pPr>
            <w:r>
              <w:rPr>
                <w:b/>
                <w:bCs/>
                <w:sz w:val="20"/>
                <w:szCs w:val="20"/>
              </w:rPr>
              <w:t>79,000.00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r>
    </w:tbl>
    <w:p>
      <w:pPr>
        <w:rPr>
          <w:rFonts w:cs="Times New Roman"/>
          <w:sz w:val="21"/>
          <w:szCs w:val="21"/>
        </w:rPr>
      </w:pPr>
    </w:p>
    <w:p>
      <w:pPr>
        <w:rPr>
          <w:rFonts w:cs="Times New Roman"/>
          <w:sz w:val="21"/>
          <w:szCs w:val="21"/>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40" w:name="_Toc436380349"/>
      <w:r>
        <w:rPr>
          <w:rFonts w:hint="eastAsia" w:ascii="宋体" w:hAnsi="宋体" w:eastAsia="宋体" w:cs="宋体"/>
          <w:sz w:val="24"/>
          <w:szCs w:val="24"/>
        </w:rPr>
        <w:t>山东原油船期预报</w:t>
      </w:r>
      <w:bookmarkEnd w:id="40"/>
    </w:p>
    <w:tbl>
      <w:tblPr>
        <w:tblStyle w:val="29"/>
        <w:tblW w:w="8528" w:type="dxa"/>
        <w:tblInd w:w="-106" w:type="dxa"/>
        <w:tblLayout w:type="fixed"/>
        <w:tblCellMar>
          <w:top w:w="0" w:type="dxa"/>
          <w:left w:w="108" w:type="dxa"/>
          <w:bottom w:w="0" w:type="dxa"/>
          <w:right w:w="108" w:type="dxa"/>
        </w:tblCellMar>
      </w:tblPr>
      <w:tblGrid>
        <w:gridCol w:w="394"/>
        <w:gridCol w:w="937"/>
        <w:gridCol w:w="1112"/>
        <w:gridCol w:w="1630"/>
        <w:gridCol w:w="1748"/>
        <w:gridCol w:w="1817"/>
        <w:gridCol w:w="890"/>
      </w:tblGrid>
      <w:tr>
        <w:tblPrEx>
          <w:tblLayout w:type="fixed"/>
          <w:tblCellMar>
            <w:top w:w="0" w:type="dxa"/>
            <w:left w:w="108" w:type="dxa"/>
            <w:bottom w:w="0" w:type="dxa"/>
            <w:right w:w="108" w:type="dxa"/>
          </w:tblCellMar>
        </w:tblPrEx>
        <w:trPr>
          <w:trHeight w:val="525" w:hRule="atLeast"/>
        </w:trPr>
        <w:tc>
          <w:tcPr>
            <w:tcW w:w="394" w:type="dxa"/>
            <w:tcBorders>
              <w:top w:val="single" w:color="auto" w:sz="8" w:space="0"/>
              <w:left w:val="single" w:color="auto" w:sz="8" w:space="0"/>
              <w:bottom w:val="single" w:color="auto" w:sz="8" w:space="0"/>
              <w:right w:val="single" w:color="auto" w:sz="8" w:space="0"/>
            </w:tcBorders>
            <w:shd w:val="clear" w:color="auto" w:fill="99CCFF"/>
            <w:vAlign w:val="bottom"/>
          </w:tcPr>
          <w:p>
            <w:pPr>
              <w:jc w:val="center"/>
              <w:rPr>
                <w:rFonts w:cs="Times New Roman"/>
                <w:sz w:val="21"/>
                <w:szCs w:val="21"/>
              </w:rPr>
            </w:pPr>
            <w:bookmarkStart w:id="41" w:name="_PictureBullets"/>
            <w:r>
              <w:rPr>
                <w:rFonts w:hint="eastAsia"/>
                <w:sz w:val="21"/>
                <w:szCs w:val="21"/>
              </w:rPr>
              <w:t>序号</w:t>
            </w:r>
          </w:p>
        </w:tc>
        <w:tc>
          <w:tcPr>
            <w:tcW w:w="937"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预计到港日期</w:t>
            </w:r>
          </w:p>
        </w:tc>
        <w:tc>
          <w:tcPr>
            <w:tcW w:w="1112"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数量（吨）</w:t>
            </w:r>
          </w:p>
        </w:tc>
        <w:tc>
          <w:tcPr>
            <w:tcW w:w="1630"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航线</w:t>
            </w:r>
          </w:p>
        </w:tc>
        <w:tc>
          <w:tcPr>
            <w:tcW w:w="1748"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船名</w:t>
            </w:r>
          </w:p>
        </w:tc>
        <w:tc>
          <w:tcPr>
            <w:tcW w:w="1817"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接货公司</w:t>
            </w:r>
          </w:p>
        </w:tc>
        <w:tc>
          <w:tcPr>
            <w:tcW w:w="890"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备注</w:t>
            </w:r>
          </w:p>
        </w:tc>
      </w:tr>
      <w:tr>
        <w:tblPrEx>
          <w:tblLayout w:type="fixed"/>
          <w:tblCellMar>
            <w:top w:w="0" w:type="dxa"/>
            <w:left w:w="108" w:type="dxa"/>
            <w:bottom w:w="0" w:type="dxa"/>
            <w:right w:w="108" w:type="dxa"/>
          </w:tblCellMar>
        </w:tblPrEx>
        <w:trPr>
          <w:trHeight w:val="255" w:hRule="atLeast"/>
        </w:trPr>
        <w:tc>
          <w:tcPr>
            <w:tcW w:w="394" w:type="dxa"/>
            <w:tcBorders>
              <w:top w:val="single" w:color="auto" w:sz="4" w:space="0"/>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w:t>
            </w:r>
          </w:p>
        </w:tc>
        <w:tc>
          <w:tcPr>
            <w:tcW w:w="937"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w:t>
            </w:r>
            <w:r>
              <w:rPr>
                <w:rFonts w:hint="eastAsia" w:ascii="Calibri" w:hAnsi="Calibri"/>
                <w:sz w:val="20"/>
                <w:szCs w:val="20"/>
              </w:rPr>
              <w:t>日</w:t>
            </w:r>
          </w:p>
        </w:tc>
        <w:tc>
          <w:tcPr>
            <w:tcW w:w="1112"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81,000.00</w:t>
            </w:r>
          </w:p>
        </w:tc>
        <w:tc>
          <w:tcPr>
            <w:tcW w:w="1630" w:type="dxa"/>
            <w:tcBorders>
              <w:top w:val="single" w:color="auto" w:sz="4" w:space="0"/>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阿曼</w:t>
            </w:r>
            <w:r>
              <w:rPr>
                <w:rFonts w:ascii="Calibri" w:hAnsi="Calibri" w:cs="Calibri"/>
                <w:sz w:val="20"/>
                <w:szCs w:val="20"/>
              </w:rPr>
              <w:t>/</w:t>
            </w:r>
            <w:r>
              <w:rPr>
                <w:rFonts w:hint="eastAsia"/>
                <w:sz w:val="20"/>
                <w:szCs w:val="20"/>
              </w:rPr>
              <w:t>莱州港</w:t>
            </w:r>
          </w:p>
        </w:tc>
        <w:tc>
          <w:tcPr>
            <w:tcW w:w="1748"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MARIA PRINC</w:t>
            </w:r>
          </w:p>
        </w:tc>
        <w:tc>
          <w:tcPr>
            <w:tcW w:w="1817"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single" w:color="auto" w:sz="4" w:space="0"/>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印度尼西亚</w:t>
            </w:r>
            <w:r>
              <w:rPr>
                <w:rFonts w:ascii="Calibri" w:hAnsi="Calibri" w:cs="Calibri"/>
                <w:sz w:val="20"/>
                <w:szCs w:val="20"/>
              </w:rPr>
              <w:t>/</w:t>
            </w:r>
            <w:r>
              <w:rPr>
                <w:rFonts w:hint="eastAsia"/>
                <w:sz w:val="20"/>
                <w:szCs w:val="20"/>
              </w:rPr>
              <w:t>龙口</w:t>
            </w:r>
            <w:r>
              <w:rPr>
                <w:rFonts w:ascii="Calibri" w:hAnsi="Calibri" w:cs="Calibri"/>
                <w:sz w:val="20"/>
                <w:szCs w:val="20"/>
              </w:rPr>
              <w:t xml:space="preserve"> </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PEAK SPIRIT</w:t>
            </w:r>
            <w:r>
              <w:rPr>
                <w:rFonts w:hint="eastAsia"/>
                <w:sz w:val="20"/>
                <w:szCs w:val="20"/>
              </w:rPr>
              <w:t>匹克精神</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 xml:space="preserve"> N/A </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重质原油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HS MEDEA</w:t>
            </w:r>
            <w:r>
              <w:rPr>
                <w:rFonts w:hint="eastAsia"/>
                <w:sz w:val="20"/>
                <w:szCs w:val="20"/>
              </w:rPr>
              <w:t>美狄亚</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华星石化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ALMI SPIRIT</w:t>
            </w:r>
            <w:r>
              <w:rPr>
                <w:rFonts w:hint="eastAsia"/>
                <w:sz w:val="20"/>
                <w:szCs w:val="20"/>
              </w:rPr>
              <w:t>阿米尔</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264,000.00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董家口港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GENERB ETHOS</w:t>
            </w:r>
            <w:r>
              <w:rPr>
                <w:rFonts w:hint="eastAsia"/>
                <w:sz w:val="20"/>
                <w:szCs w:val="20"/>
              </w:rPr>
              <w:t>吉恩</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齐润化工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6</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143,000.00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SUEZ RAJAN</w:t>
            </w:r>
            <w:r>
              <w:rPr>
                <w:rFonts w:hint="eastAsia"/>
                <w:sz w:val="20"/>
                <w:szCs w:val="20"/>
              </w:rPr>
              <w:t>苏雷加</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鲁清石化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7</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114,000.00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阿曼</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新通洋</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10</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50,000.00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榆林湾</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玉皇化工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278,000.00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科威特</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GENERB HECT</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120,000.00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委内瑞拉</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NECTAR</w:t>
            </w:r>
            <w:r>
              <w:rPr>
                <w:rFonts w:hint="eastAsia"/>
                <w:sz w:val="20"/>
                <w:szCs w:val="20"/>
              </w:rPr>
              <w:t>纳卡达</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中油</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马瑞原油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11</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135,000.00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宙斯</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东明石化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38,000.00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百池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汇丰石化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70,000.00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NEW ODYSSEY</w:t>
            </w:r>
            <w:r>
              <w:rPr>
                <w:rFonts w:hint="eastAsia"/>
                <w:sz w:val="20"/>
                <w:szCs w:val="20"/>
              </w:rPr>
              <w:t>凯途</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中国化工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SEEB</w:t>
            </w:r>
            <w:r>
              <w:rPr>
                <w:rFonts w:hint="eastAsia"/>
                <w:sz w:val="20"/>
                <w:szCs w:val="20"/>
              </w:rPr>
              <w:t>喜报</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鲁清石化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15</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美国</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Shaybah</w:t>
            </w:r>
            <w:r>
              <w:rPr>
                <w:rFonts w:hint="eastAsia"/>
                <w:sz w:val="20"/>
                <w:szCs w:val="20"/>
              </w:rPr>
              <w:t>沙巴</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东明石化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16</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33,000.00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中国</w:t>
            </w:r>
            <w:r>
              <w:rPr>
                <w:rFonts w:ascii="Calibri" w:hAnsi="Calibri" w:cs="Calibri"/>
                <w:sz w:val="20"/>
                <w:szCs w:val="20"/>
              </w:rPr>
              <w:t>/</w:t>
            </w:r>
            <w:r>
              <w:rPr>
                <w:rFonts w:hint="eastAsia"/>
                <w:sz w:val="20"/>
                <w:szCs w:val="20"/>
              </w:rPr>
              <w:t>东营港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达池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N/A</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17</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16</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中国</w:t>
            </w:r>
            <w:r>
              <w:rPr>
                <w:rFonts w:ascii="Calibri" w:hAnsi="Calibri" w:cs="Calibri"/>
                <w:sz w:val="20"/>
                <w:szCs w:val="20"/>
              </w:rPr>
              <w:t>/</w:t>
            </w:r>
            <w:r>
              <w:rPr>
                <w:rFonts w:hint="eastAsia"/>
                <w:sz w:val="20"/>
                <w:szCs w:val="20"/>
              </w:rPr>
              <w:t>东营港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平池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N/A</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18</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17</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美国</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Cap Guillaume</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汇丰石化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19</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19</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NORDIC DISC</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20</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19</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HS MEDEA</w:t>
            </w:r>
            <w:r>
              <w:rPr>
                <w:rFonts w:hint="eastAsia"/>
                <w:sz w:val="20"/>
                <w:szCs w:val="20"/>
              </w:rPr>
              <w:t>美狄亚</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21</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271,000.00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委内瑞拉</w:t>
            </w:r>
            <w:r>
              <w:rPr>
                <w:rFonts w:ascii="Calibri" w:hAnsi="Calibri" w:cs="Calibri"/>
                <w:sz w:val="20"/>
                <w:szCs w:val="20"/>
              </w:rPr>
              <w:t>/</w:t>
            </w:r>
            <w:r>
              <w:rPr>
                <w:rFonts w:hint="eastAsia"/>
                <w:sz w:val="20"/>
                <w:szCs w:val="20"/>
              </w:rPr>
              <w:t>董家口港</w:t>
            </w:r>
            <w:r>
              <w:rPr>
                <w:rFonts w:ascii="Calibri" w:hAnsi="Calibri" w:cs="Calibri"/>
                <w:sz w:val="20"/>
                <w:szCs w:val="20"/>
              </w:rPr>
              <w:t xml:space="preserve">    </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NEW COURAGE</w:t>
            </w:r>
            <w:r>
              <w:rPr>
                <w:rFonts w:hint="eastAsia"/>
                <w:sz w:val="20"/>
                <w:szCs w:val="20"/>
              </w:rPr>
              <w:t>凯升</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 xml:space="preserve"> </w:t>
            </w:r>
            <w:r>
              <w:rPr>
                <w:rFonts w:hint="eastAsia"/>
                <w:sz w:val="20"/>
                <w:szCs w:val="20"/>
              </w:rPr>
              <w:t>中油</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马瑞原油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OCEAN PEGAS</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85,000.00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SAPPORO PRI</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利津石化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重质原油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25</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BRIGHTOIL L</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93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合计</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2,752,000.00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r>
    </w:tbl>
    <w:p>
      <w:pPr>
        <w:rPr>
          <w:rFonts w:cs="Times New Roman"/>
        </w:rPr>
      </w:pPr>
      <w:r>
        <w:rPr>
          <w:rFonts w:ascii="Times New Roman" w:hAnsi="Times New Roman" w:cs="Times New Roman"/>
          <w:vanish/>
        </w:rPr>
        <w:t xml:space="preserve"> </w:t>
      </w:r>
      <w:r>
        <w:rPr>
          <w:rFonts w:ascii="Times New Roman" w:hAnsi="Times New Roman" w:cs="Times New Roman"/>
          <w:vanish/>
        </w:rPr>
        <w:pict>
          <v:shape id="_x0000_i1026" o:spt="75" type="#_x0000_t75" style="height:11.25pt;width:11.25pt;" filled="f" o:preferrelative="t" stroked="f" coordsize="21600,21600">
            <v:path/>
            <v:fill on="f" focussize="0,0"/>
            <v:stroke on="f" joinstyle="miter"/>
            <v:imagedata r:id="rId10" o:title=""/>
            <o:lock v:ext="edit" aspectratio="t"/>
            <w10:wrap type="none"/>
            <w10:anchorlock/>
          </v:shape>
        </w:pict>
      </w:r>
      <w:bookmarkEnd w:id="41"/>
    </w:p>
    <w:sectPr>
      <w:headerReference r:id="rId4" w:type="first"/>
      <w:headerReference r:id="rId3" w:type="default"/>
      <w:footerReference r:id="rId5" w:type="default"/>
      <w:pgSz w:w="11906" w:h="16838"/>
      <w:pgMar w:top="1440" w:right="1797" w:bottom="1418" w:left="1797" w:header="851" w:footer="992" w:gutter="0"/>
      <w:pgBorders w:display="notFirstPage" w:offsetFrom="page">
        <w:top w:val="thinThickLargeGap" w:color="00CCFF" w:sz="24" w:space="24"/>
        <w:left w:val="thinThickLargeGap" w:color="00CCFF" w:sz="24" w:space="24"/>
        <w:bottom w:val="thinThickLargeGap" w:color="00CCFF" w:sz="24" w:space="24"/>
        <w:right w:val="thinThickLargeGap" w:color="00CCFF" w:sz="24" w:space="24"/>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274" w:h="266" w:hRule="exact" w:wrap="around" w:vAnchor="text" w:hAnchor="margin" w:xAlign="center" w:y="5"/>
      <w:jc w:val="center"/>
      <w:rPr>
        <w:rStyle w:val="26"/>
        <w:rFonts w:cs="Times New Roman"/>
        <w:sz w:val="21"/>
        <w:szCs w:val="21"/>
      </w:rPr>
    </w:pPr>
    <w:r>
      <w:rPr>
        <w:rStyle w:val="26"/>
        <w:sz w:val="21"/>
        <w:szCs w:val="21"/>
      </w:rPr>
      <w:fldChar w:fldCharType="begin"/>
    </w:r>
    <w:r>
      <w:rPr>
        <w:rStyle w:val="26"/>
        <w:sz w:val="21"/>
        <w:szCs w:val="21"/>
      </w:rPr>
      <w:instrText xml:space="preserve">PAGE  </w:instrText>
    </w:r>
    <w:r>
      <w:rPr>
        <w:rStyle w:val="26"/>
        <w:sz w:val="21"/>
        <w:szCs w:val="21"/>
      </w:rPr>
      <w:fldChar w:fldCharType="separate"/>
    </w:r>
    <w:r>
      <w:rPr>
        <w:rStyle w:val="26"/>
        <w:sz w:val="21"/>
        <w:szCs w:val="21"/>
      </w:rPr>
      <w:t>2</w:t>
    </w:r>
    <w:r>
      <w:rPr>
        <w:rStyle w:val="26"/>
        <w:sz w:val="21"/>
        <w:szCs w:val="21"/>
      </w:rPr>
      <w:fldChar w:fldCharType="end"/>
    </w:r>
  </w:p>
  <w:p>
    <w:pPr>
      <w:rPr>
        <w:rFonts w:cs="Times New Roman"/>
        <w:color w:val="FF66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ahoma" w:hAnsi="Tahoma" w:cs="Tahoma"/>
        <w:b/>
        <w:bCs/>
        <w:shadow/>
        <w:color w:val="000080"/>
        <w:sz w:val="30"/>
        <w:szCs w:val="30"/>
      </w:rPr>
    </w:pPr>
  </w:p>
  <w:p>
    <w:pPr>
      <w:pStyle w:val="15"/>
      <w:jc w:val="both"/>
      <w:rPr>
        <w:rFonts w:cs="Times New Roman"/>
        <w:b/>
        <w:bCs/>
        <w:color w:val="808080"/>
        <w:sz w:val="21"/>
        <w:szCs w:val="21"/>
      </w:rPr>
    </w:pPr>
    <w:r>
      <w:pict>
        <v:shape id="PowerPlusWaterMarkObject3" o:spid="_x0000_s204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PowerPlusWaterMarkObject1" o:spid="_x0000_s2050" o:spt="136" type="#_x0000_t136" style="position:absolute;left:0pt;height:117.1pt;width:46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69"/>
    <w:multiLevelType w:val="multilevel"/>
    <w:tmpl w:val="0E864C69"/>
    <w:lvl w:ilvl="0" w:tentative="0">
      <w:start w:val="1"/>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tentative="0">
      <w:start w:val="1"/>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55"/>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9A6"/>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596"/>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0D"/>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9B"/>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108"/>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B31"/>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CC9"/>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3D98"/>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96D"/>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2E5F"/>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8CB"/>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011"/>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073571F2"/>
    <w:rsid w:val="09A22A9A"/>
    <w:rsid w:val="11FB2585"/>
    <w:rsid w:val="1AE25643"/>
    <w:rsid w:val="204400A1"/>
    <w:rsid w:val="216F6706"/>
    <w:rsid w:val="2C466334"/>
    <w:rsid w:val="2E124748"/>
    <w:rsid w:val="37421D1D"/>
    <w:rsid w:val="442365D5"/>
    <w:rsid w:val="508E7A28"/>
    <w:rsid w:val="62C148D1"/>
    <w:rsid w:val="63211DE2"/>
    <w:rsid w:val="64DD49F1"/>
    <w:rsid w:val="6A4867A0"/>
    <w:rsid w:val="72685F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260"/>
    </w:pPr>
    <w:rPr>
      <w:sz w:val="18"/>
      <w:szCs w:val="18"/>
    </w:rPr>
  </w:style>
  <w:style w:type="paragraph" w:styleId="6">
    <w:name w:val="Document Map"/>
    <w:basedOn w:val="1"/>
    <w:link w:val="34"/>
    <w:semiHidden/>
    <w:qFormat/>
    <w:uiPriority w:val="99"/>
    <w:pPr>
      <w:shd w:val="clear" w:color="auto" w:fill="000080"/>
    </w:pPr>
  </w:style>
  <w:style w:type="paragraph" w:styleId="7">
    <w:name w:val="Body Text Indent"/>
    <w:basedOn w:val="1"/>
    <w:link w:val="35"/>
    <w:qFormat/>
    <w:uiPriority w:val="99"/>
    <w:pPr>
      <w:autoSpaceDE w:val="0"/>
      <w:autoSpaceDN w:val="0"/>
      <w:adjustRightInd w:val="0"/>
      <w:ind w:firstLine="420" w:firstLineChars="200"/>
    </w:pPr>
    <w:rPr>
      <w:lang w:val="zh-CN"/>
    </w:rPr>
  </w:style>
  <w:style w:type="paragraph" w:styleId="8">
    <w:name w:val="toc 5"/>
    <w:basedOn w:val="1"/>
    <w:next w:val="1"/>
    <w:semiHidden/>
    <w:qFormat/>
    <w:uiPriority w:val="99"/>
    <w:pPr>
      <w:ind w:left="840"/>
    </w:pPr>
    <w:rPr>
      <w:sz w:val="18"/>
      <w:szCs w:val="18"/>
    </w:rPr>
  </w:style>
  <w:style w:type="paragraph" w:styleId="9">
    <w:name w:val="toc 3"/>
    <w:basedOn w:val="1"/>
    <w:next w:val="1"/>
    <w:semiHidden/>
    <w:qFormat/>
    <w:uiPriority w:val="99"/>
    <w:pPr>
      <w:ind w:left="840" w:leftChars="400"/>
    </w:pPr>
    <w:rPr>
      <w:color w:val="800080"/>
    </w:rPr>
  </w:style>
  <w:style w:type="paragraph" w:styleId="10">
    <w:name w:val="toc 8"/>
    <w:basedOn w:val="1"/>
    <w:next w:val="1"/>
    <w:semiHidden/>
    <w:qFormat/>
    <w:uiPriority w:val="99"/>
    <w:pPr>
      <w:ind w:left="1470"/>
    </w:pPr>
    <w:rPr>
      <w:sz w:val="18"/>
      <w:szCs w:val="18"/>
    </w:rPr>
  </w:style>
  <w:style w:type="paragraph" w:styleId="11">
    <w:name w:val="Date"/>
    <w:basedOn w:val="1"/>
    <w:next w:val="1"/>
    <w:link w:val="36"/>
    <w:qFormat/>
    <w:uiPriority w:val="99"/>
    <w:pPr>
      <w:ind w:left="100" w:leftChars="2500"/>
    </w:pPr>
    <w:rPr>
      <w:sz w:val="20"/>
      <w:szCs w:val="20"/>
      <w:lang w:val="zh-CN"/>
    </w:rPr>
  </w:style>
  <w:style w:type="paragraph" w:styleId="12">
    <w:name w:val="Body Text Indent 2"/>
    <w:basedOn w:val="1"/>
    <w:link w:val="37"/>
    <w:qFormat/>
    <w:uiPriority w:val="99"/>
    <w:pPr>
      <w:tabs>
        <w:tab w:val="left" w:pos="2520"/>
      </w:tabs>
      <w:ind w:firstLine="435"/>
    </w:p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left" w:pos="420"/>
        <w:tab w:val="right" w:leader="dot" w:pos="8296"/>
      </w:tabs>
      <w:ind w:left="420" w:hanging="420"/>
    </w:pPr>
    <w:rPr>
      <w:b/>
      <w:bCs/>
      <w:color w:val="FF0000"/>
      <w:sz w:val="28"/>
      <w:szCs w:val="28"/>
    </w:rPr>
  </w:style>
  <w:style w:type="paragraph" w:styleId="17">
    <w:name w:val="toc 4"/>
    <w:basedOn w:val="1"/>
    <w:next w:val="1"/>
    <w:semiHidden/>
    <w:qFormat/>
    <w:uiPriority w:val="99"/>
    <w:pPr>
      <w:ind w:left="630"/>
    </w:pPr>
    <w:rPr>
      <w:sz w:val="18"/>
      <w:szCs w:val="18"/>
    </w:rPr>
  </w:style>
  <w:style w:type="paragraph" w:styleId="18">
    <w:name w:val="toc 6"/>
    <w:basedOn w:val="1"/>
    <w:next w:val="1"/>
    <w:semiHidden/>
    <w:qFormat/>
    <w:uiPriority w:val="99"/>
    <w:pPr>
      <w:ind w:left="1050"/>
    </w:pPr>
    <w:rPr>
      <w:sz w:val="18"/>
      <w:szCs w:val="18"/>
    </w:rPr>
  </w:style>
  <w:style w:type="paragraph" w:styleId="19">
    <w:name w:val="Body Text Indent 3"/>
    <w:basedOn w:val="1"/>
    <w:link w:val="41"/>
    <w:qFormat/>
    <w:uiPriority w:val="99"/>
    <w:pPr>
      <w:autoSpaceDE w:val="0"/>
      <w:autoSpaceDN w:val="0"/>
      <w:adjustRightInd w:val="0"/>
      <w:spacing w:line="360" w:lineRule="auto"/>
      <w:ind w:firstLine="630" w:firstLineChars="300"/>
    </w:pPr>
    <w:rPr>
      <w:color w:val="000000"/>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80"/>
    </w:pPr>
    <w:rPr>
      <w:sz w:val="18"/>
      <w:szCs w:val="18"/>
    </w:rPr>
  </w:style>
  <w:style w:type="paragraph" w:styleId="22">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23">
    <w:name w:val="Normal (Web)"/>
    <w:basedOn w:val="1"/>
    <w:qFormat/>
    <w:uiPriority w:val="99"/>
    <w:pPr>
      <w:spacing w:before="100" w:beforeAutospacing="1" w:after="100" w:afterAutospacing="1"/>
    </w:pPr>
  </w:style>
  <w:style w:type="character" w:styleId="25">
    <w:name w:val="Strong"/>
    <w:basedOn w:val="24"/>
    <w:qFormat/>
    <w:uiPriority w:val="99"/>
    <w:rPr>
      <w:b/>
      <w:bCs/>
    </w:rPr>
  </w:style>
  <w:style w:type="character" w:styleId="26">
    <w:name w:val="page number"/>
    <w:basedOn w:val="24"/>
    <w:qFormat/>
    <w:uiPriority w:val="99"/>
  </w:style>
  <w:style w:type="character" w:styleId="27">
    <w:name w:val="FollowedHyperlink"/>
    <w:basedOn w:val="24"/>
    <w:qFormat/>
    <w:uiPriority w:val="99"/>
    <w:rPr>
      <w:color w:val="333333"/>
      <w:u w:val="none"/>
    </w:rPr>
  </w:style>
  <w:style w:type="character" w:styleId="28">
    <w:name w:val="Hyperlink"/>
    <w:basedOn w:val="24"/>
    <w:qFormat/>
    <w:uiPriority w:val="99"/>
    <w:rPr>
      <w:color w:val="333333"/>
      <w:u w:val="none"/>
    </w:r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ascii="宋体" w:eastAsia="宋体" w:cs="宋体"/>
      <w:b/>
      <w:bCs/>
      <w:kern w:val="44"/>
      <w:sz w:val="44"/>
      <w:szCs w:val="44"/>
    </w:rPr>
  </w:style>
  <w:style w:type="character" w:customStyle="1" w:styleId="32">
    <w:name w:val="Heading 2 Char"/>
    <w:basedOn w:val="24"/>
    <w:link w:val="3"/>
    <w:qFormat/>
    <w:locked/>
    <w:uiPriority w:val="99"/>
    <w:rPr>
      <w:rFonts w:ascii="Arial" w:hAnsi="Arial" w:eastAsia="黑体" w:cs="Arial"/>
      <w:b/>
      <w:bCs/>
      <w:kern w:val="2"/>
      <w:sz w:val="32"/>
      <w:szCs w:val="32"/>
      <w:lang w:val="en-US" w:eastAsia="zh-CN"/>
    </w:rPr>
  </w:style>
  <w:style w:type="character" w:customStyle="1" w:styleId="33">
    <w:name w:val="Heading 3 Char"/>
    <w:basedOn w:val="24"/>
    <w:link w:val="4"/>
    <w:qFormat/>
    <w:locked/>
    <w:uiPriority w:val="99"/>
    <w:rPr>
      <w:rFonts w:eastAsia="宋体"/>
      <w:b/>
      <w:bCs/>
      <w:kern w:val="2"/>
      <w:sz w:val="32"/>
      <w:szCs w:val="32"/>
      <w:lang w:val="en-US" w:eastAsia="zh-CN"/>
    </w:rPr>
  </w:style>
  <w:style w:type="character" w:customStyle="1" w:styleId="34">
    <w:name w:val="Document Map Char"/>
    <w:basedOn w:val="24"/>
    <w:link w:val="6"/>
    <w:semiHidden/>
    <w:qFormat/>
    <w:locked/>
    <w:uiPriority w:val="99"/>
    <w:rPr>
      <w:kern w:val="0"/>
      <w:sz w:val="2"/>
      <w:szCs w:val="2"/>
    </w:rPr>
  </w:style>
  <w:style w:type="character" w:customStyle="1" w:styleId="35">
    <w:name w:val="Body Text Indent Char"/>
    <w:basedOn w:val="24"/>
    <w:link w:val="7"/>
    <w:semiHidden/>
    <w:qFormat/>
    <w:locked/>
    <w:uiPriority w:val="99"/>
    <w:rPr>
      <w:rFonts w:ascii="宋体" w:eastAsia="宋体" w:cs="宋体"/>
      <w:kern w:val="0"/>
      <w:sz w:val="24"/>
      <w:szCs w:val="24"/>
    </w:rPr>
  </w:style>
  <w:style w:type="character" w:customStyle="1" w:styleId="36">
    <w:name w:val="Date Char"/>
    <w:basedOn w:val="24"/>
    <w:link w:val="11"/>
    <w:semiHidden/>
    <w:qFormat/>
    <w:locked/>
    <w:uiPriority w:val="99"/>
    <w:rPr>
      <w:rFonts w:ascii="宋体" w:eastAsia="宋体" w:cs="宋体"/>
      <w:kern w:val="0"/>
      <w:sz w:val="24"/>
      <w:szCs w:val="24"/>
    </w:rPr>
  </w:style>
  <w:style w:type="character" w:customStyle="1" w:styleId="37">
    <w:name w:val="Body Text Indent 2 Char"/>
    <w:basedOn w:val="24"/>
    <w:link w:val="12"/>
    <w:semiHidden/>
    <w:qFormat/>
    <w:locked/>
    <w:uiPriority w:val="99"/>
    <w:rPr>
      <w:rFonts w:ascii="宋体" w:eastAsia="宋体" w:cs="宋体"/>
      <w:kern w:val="0"/>
      <w:sz w:val="24"/>
      <w:szCs w:val="24"/>
    </w:rPr>
  </w:style>
  <w:style w:type="character" w:customStyle="1" w:styleId="38">
    <w:name w:val="Balloon Text Char"/>
    <w:basedOn w:val="24"/>
    <w:link w:val="13"/>
    <w:semiHidden/>
    <w:qFormat/>
    <w:locked/>
    <w:uiPriority w:val="99"/>
    <w:rPr>
      <w:rFonts w:ascii="宋体" w:eastAsia="宋体" w:cs="宋体"/>
      <w:kern w:val="0"/>
      <w:sz w:val="2"/>
      <w:szCs w:val="2"/>
    </w:rPr>
  </w:style>
  <w:style w:type="character" w:customStyle="1" w:styleId="39">
    <w:name w:val="Footer Char"/>
    <w:basedOn w:val="24"/>
    <w:link w:val="14"/>
    <w:semiHidden/>
    <w:qFormat/>
    <w:locked/>
    <w:uiPriority w:val="99"/>
    <w:rPr>
      <w:rFonts w:ascii="宋体" w:eastAsia="宋体" w:cs="宋体"/>
      <w:kern w:val="0"/>
      <w:sz w:val="18"/>
      <w:szCs w:val="18"/>
    </w:rPr>
  </w:style>
  <w:style w:type="character" w:customStyle="1" w:styleId="40">
    <w:name w:val="Header Char"/>
    <w:basedOn w:val="24"/>
    <w:link w:val="15"/>
    <w:semiHidden/>
    <w:qFormat/>
    <w:locked/>
    <w:uiPriority w:val="99"/>
    <w:rPr>
      <w:rFonts w:ascii="宋体" w:eastAsia="宋体" w:cs="宋体"/>
      <w:kern w:val="0"/>
      <w:sz w:val="18"/>
      <w:szCs w:val="18"/>
    </w:rPr>
  </w:style>
  <w:style w:type="character" w:customStyle="1" w:styleId="41">
    <w:name w:val="Body Text Indent 3 Char"/>
    <w:basedOn w:val="24"/>
    <w:link w:val="19"/>
    <w:semiHidden/>
    <w:qFormat/>
    <w:locked/>
    <w:uiPriority w:val="99"/>
    <w:rPr>
      <w:rFonts w:ascii="宋体" w:eastAsia="宋体" w:cs="宋体"/>
      <w:kern w:val="0"/>
      <w:sz w:val="16"/>
      <w:szCs w:val="16"/>
    </w:rPr>
  </w:style>
  <w:style w:type="character" w:customStyle="1" w:styleId="42">
    <w:name w:val="HTML Preformatted Char"/>
    <w:basedOn w:val="24"/>
    <w:link w:val="22"/>
    <w:semiHidden/>
    <w:qFormat/>
    <w:locked/>
    <w:uiPriority w:val="99"/>
    <w:rPr>
      <w:rFonts w:ascii="Courier New" w:hAnsi="Courier New" w:cs="Courier New"/>
      <w:kern w:val="0"/>
      <w:sz w:val="20"/>
      <w:szCs w:val="20"/>
    </w:rPr>
  </w:style>
  <w:style w:type="paragraph" w:customStyle="1" w:styleId="43">
    <w:name w:val="Char Char Char"/>
    <w:basedOn w:val="1"/>
    <w:qFormat/>
    <w:uiPriority w:val="99"/>
    <w:pPr>
      <w:spacing w:after="160" w:line="240" w:lineRule="exact"/>
    </w:pPr>
    <w:rPr>
      <w:rFonts w:ascii="Verdana" w:hAnsi="Verdana" w:cs="Verdana"/>
      <w:sz w:val="20"/>
      <w:szCs w:val="20"/>
      <w:lang w:eastAsia="en-US"/>
    </w:rPr>
  </w:style>
  <w:style w:type="character" w:customStyle="1" w:styleId="44">
    <w:name w:val="标题 2 Char"/>
    <w:basedOn w:val="24"/>
    <w:qFormat/>
    <w:uiPriority w:val="99"/>
    <w:rPr>
      <w:rFonts w:ascii="Arial" w:hAnsi="Arial" w:eastAsia="黑体" w:cs="Arial"/>
      <w:b/>
      <w:bCs/>
      <w:kern w:val="2"/>
      <w:sz w:val="32"/>
      <w:szCs w:val="32"/>
      <w:lang w:val="en-US" w:eastAsia="zh-CN"/>
    </w:rPr>
  </w:style>
  <w:style w:type="character" w:customStyle="1" w:styleId="45">
    <w:name w:val="标题 3 Char"/>
    <w:basedOn w:val="24"/>
    <w:qFormat/>
    <w:uiPriority w:val="99"/>
    <w:rPr>
      <w:rFonts w:eastAsia="宋体"/>
      <w:b/>
      <w:bCs/>
      <w:kern w:val="2"/>
      <w:sz w:val="32"/>
      <w:szCs w:val="32"/>
      <w:lang w:val="en-US" w:eastAsia="zh-CN"/>
    </w:rPr>
  </w:style>
  <w:style w:type="paragraph" w:customStyle="1" w:styleId="46">
    <w:name w:val="font5"/>
    <w:basedOn w:val="1"/>
    <w:qFormat/>
    <w:uiPriority w:val="99"/>
    <w:pPr>
      <w:spacing w:before="100" w:beforeAutospacing="1" w:after="100" w:afterAutospacing="1"/>
    </w:pPr>
    <w:rPr>
      <w:sz w:val="20"/>
      <w:szCs w:val="20"/>
    </w:rPr>
  </w:style>
  <w:style w:type="paragraph" w:customStyle="1" w:styleId="47">
    <w:name w:val="font6"/>
    <w:basedOn w:val="1"/>
    <w:qFormat/>
    <w:uiPriority w:val="99"/>
    <w:pPr>
      <w:spacing w:before="100" w:beforeAutospacing="1" w:after="100" w:afterAutospacing="1"/>
    </w:pPr>
    <w:rPr>
      <w:sz w:val="18"/>
      <w:szCs w:val="18"/>
    </w:rPr>
  </w:style>
  <w:style w:type="paragraph" w:customStyle="1" w:styleId="48">
    <w:name w:val="font7"/>
    <w:basedOn w:val="1"/>
    <w:qFormat/>
    <w:uiPriority w:val="99"/>
    <w:pPr>
      <w:spacing w:before="100" w:beforeAutospacing="1" w:after="100" w:afterAutospacing="1"/>
    </w:pPr>
    <w:rPr>
      <w:rFonts w:hAnsi="Times New Roman"/>
      <w:sz w:val="20"/>
      <w:szCs w:val="20"/>
    </w:rPr>
  </w:style>
  <w:style w:type="paragraph" w:customStyle="1" w:styleId="49">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0">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Arial Unicode MS" w:eastAsia="黑体" w:cs="黑体"/>
      <w:sz w:val="20"/>
      <w:szCs w:val="20"/>
    </w:rPr>
  </w:style>
  <w:style w:type="paragraph" w:customStyle="1" w:styleId="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5">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6">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7">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8">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9">
    <w:name w:val="xl3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1">
    <w:name w:val="xl3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2">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3">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
    <w:name w:val="xl3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5">
    <w:name w:val="xl4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66">
    <w:name w:val="font8"/>
    <w:basedOn w:val="1"/>
    <w:qFormat/>
    <w:uiPriority w:val="99"/>
    <w:pPr>
      <w:spacing w:before="100" w:beforeAutospacing="1" w:after="100" w:afterAutospacing="1"/>
    </w:pPr>
    <w:rPr>
      <w:rFonts w:ascii="Tahoma" w:hAnsi="Tahoma" w:cs="Tahoma"/>
      <w:sz w:val="20"/>
      <w:szCs w:val="20"/>
    </w:rPr>
  </w:style>
  <w:style w:type="paragraph" w:customStyle="1" w:styleId="67">
    <w:name w:val="xl4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8">
    <w:name w:val="f1"/>
    <w:basedOn w:val="1"/>
    <w:qFormat/>
    <w:uiPriority w:val="99"/>
    <w:pPr>
      <w:spacing w:before="100" w:beforeAutospacing="1" w:after="100" w:afterAutospacing="1" w:line="330" w:lineRule="atLeast"/>
    </w:pPr>
    <w:rPr>
      <w:color w:val="000000"/>
      <w:sz w:val="18"/>
      <w:szCs w:val="18"/>
    </w:rPr>
  </w:style>
  <w:style w:type="paragraph" w:customStyle="1" w:styleId="69">
    <w:name w:val="f3"/>
    <w:basedOn w:val="1"/>
    <w:qFormat/>
    <w:uiPriority w:val="99"/>
    <w:pPr>
      <w:spacing w:before="100" w:beforeAutospacing="1" w:after="100" w:afterAutospacing="1" w:line="330" w:lineRule="atLeast"/>
    </w:pPr>
    <w:rPr>
      <w:color w:val="000000"/>
      <w:sz w:val="16"/>
      <w:szCs w:val="16"/>
    </w:rPr>
  </w:style>
  <w:style w:type="paragraph" w:customStyle="1" w:styleId="70">
    <w:name w:val="f2"/>
    <w:basedOn w:val="1"/>
    <w:qFormat/>
    <w:uiPriority w:val="99"/>
    <w:pPr>
      <w:spacing w:before="100" w:beforeAutospacing="1" w:after="100" w:afterAutospacing="1" w:line="330" w:lineRule="atLeast"/>
    </w:pPr>
    <w:rPr>
      <w:color w:val="000000"/>
    </w:rPr>
  </w:style>
  <w:style w:type="paragraph" w:customStyle="1" w:styleId="71">
    <w:name w:val="font9"/>
    <w:basedOn w:val="1"/>
    <w:qFormat/>
    <w:uiPriority w:val="99"/>
    <w:pPr>
      <w:spacing w:before="100" w:beforeAutospacing="1" w:after="100" w:afterAutospacing="1"/>
    </w:pPr>
    <w:rPr>
      <w:sz w:val="20"/>
      <w:szCs w:val="20"/>
    </w:rPr>
  </w:style>
  <w:style w:type="paragraph" w:customStyle="1" w:styleId="72">
    <w:name w:val="xl42"/>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73">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74">
    <w:name w:val="xl4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75">
    <w:name w:val="f0"/>
    <w:basedOn w:val="1"/>
    <w:qFormat/>
    <w:uiPriority w:val="99"/>
    <w:pPr>
      <w:spacing w:before="100" w:beforeAutospacing="1" w:after="100" w:afterAutospacing="1" w:line="270" w:lineRule="atLeast"/>
    </w:pPr>
    <w:rPr>
      <w:color w:val="000000"/>
      <w:sz w:val="18"/>
      <w:szCs w:val="18"/>
    </w:rPr>
  </w:style>
  <w:style w:type="paragraph" w:customStyle="1" w:styleId="76">
    <w:name w:val="f10"/>
    <w:basedOn w:val="1"/>
    <w:qFormat/>
    <w:uiPriority w:val="99"/>
    <w:pPr>
      <w:spacing w:before="100" w:beforeAutospacing="1" w:after="100" w:afterAutospacing="1" w:line="300" w:lineRule="atLeast"/>
    </w:pPr>
    <w:rPr>
      <w:color w:val="000000"/>
      <w:sz w:val="18"/>
      <w:szCs w:val="18"/>
    </w:rPr>
  </w:style>
  <w:style w:type="paragraph" w:customStyle="1" w:styleId="77">
    <w:name w:val="f4"/>
    <w:basedOn w:val="1"/>
    <w:qFormat/>
    <w:uiPriority w:val="99"/>
    <w:pPr>
      <w:spacing w:before="100" w:beforeAutospacing="1" w:after="100" w:afterAutospacing="1" w:line="330" w:lineRule="atLeast"/>
    </w:pPr>
    <w:rPr>
      <w:color w:val="000000"/>
      <w:sz w:val="18"/>
      <w:szCs w:val="18"/>
    </w:rPr>
  </w:style>
  <w:style w:type="paragraph" w:customStyle="1" w:styleId="78">
    <w:name w:val="f5"/>
    <w:basedOn w:val="1"/>
    <w:qFormat/>
    <w:uiPriority w:val="99"/>
    <w:pPr>
      <w:spacing w:before="100" w:beforeAutospacing="1" w:after="100" w:afterAutospacing="1" w:line="330" w:lineRule="atLeast"/>
    </w:pPr>
    <w:rPr>
      <w:color w:val="000000"/>
      <w:spacing w:val="15"/>
      <w:sz w:val="18"/>
      <w:szCs w:val="18"/>
    </w:rPr>
  </w:style>
  <w:style w:type="paragraph" w:customStyle="1" w:styleId="79">
    <w:name w:val="f6"/>
    <w:basedOn w:val="1"/>
    <w:qFormat/>
    <w:uiPriority w:val="99"/>
    <w:pPr>
      <w:spacing w:before="100" w:beforeAutospacing="1" w:after="100" w:afterAutospacing="1" w:line="330" w:lineRule="atLeast"/>
    </w:pPr>
    <w:rPr>
      <w:color w:val="000000"/>
      <w:spacing w:val="15"/>
      <w:sz w:val="18"/>
      <w:szCs w:val="18"/>
    </w:rPr>
  </w:style>
  <w:style w:type="paragraph" w:customStyle="1" w:styleId="80">
    <w:name w:val="f7"/>
    <w:basedOn w:val="1"/>
    <w:qFormat/>
    <w:uiPriority w:val="99"/>
    <w:pPr>
      <w:spacing w:before="100" w:beforeAutospacing="1" w:after="100" w:afterAutospacing="1" w:line="330" w:lineRule="atLeast"/>
    </w:pPr>
    <w:rPr>
      <w:color w:val="000000"/>
      <w:sz w:val="18"/>
      <w:szCs w:val="18"/>
    </w:rPr>
  </w:style>
  <w:style w:type="paragraph" w:customStyle="1" w:styleId="81">
    <w:name w:val="f8"/>
    <w:basedOn w:val="1"/>
    <w:qFormat/>
    <w:uiPriority w:val="99"/>
    <w:pPr>
      <w:spacing w:before="100" w:beforeAutospacing="1" w:after="100" w:afterAutospacing="1" w:line="330" w:lineRule="atLeast"/>
    </w:pPr>
    <w:rPr>
      <w:color w:val="000000"/>
      <w:spacing w:val="30"/>
    </w:rPr>
  </w:style>
  <w:style w:type="paragraph" w:customStyle="1" w:styleId="82">
    <w:name w:val="f8-hg"/>
    <w:basedOn w:val="1"/>
    <w:qFormat/>
    <w:uiPriority w:val="99"/>
    <w:pPr>
      <w:spacing w:before="100" w:beforeAutospacing="1" w:after="100" w:afterAutospacing="1" w:line="330" w:lineRule="atLeast"/>
    </w:pPr>
    <w:rPr>
      <w:color w:val="000000"/>
      <w:spacing w:val="30"/>
    </w:rPr>
  </w:style>
  <w:style w:type="paragraph" w:customStyle="1" w:styleId="83">
    <w:name w:val="fgj01"/>
    <w:basedOn w:val="1"/>
    <w:qFormat/>
    <w:uiPriority w:val="99"/>
    <w:pPr>
      <w:spacing w:before="100" w:beforeAutospacing="1" w:after="100" w:afterAutospacing="1" w:line="330" w:lineRule="atLeast"/>
    </w:pPr>
    <w:rPr>
      <w:b/>
      <w:bCs/>
      <w:color w:val="000000"/>
      <w:spacing w:val="15"/>
    </w:rPr>
  </w:style>
  <w:style w:type="paragraph" w:customStyle="1" w:styleId="84">
    <w:name w:val="fgj02"/>
    <w:basedOn w:val="1"/>
    <w:qFormat/>
    <w:uiPriority w:val="99"/>
    <w:pPr>
      <w:spacing w:before="100" w:beforeAutospacing="1" w:after="100" w:afterAutospacing="1" w:line="330" w:lineRule="atLeast"/>
    </w:pPr>
    <w:rPr>
      <w:b/>
      <w:bCs/>
      <w:color w:val="000000"/>
      <w:spacing w:val="15"/>
    </w:rPr>
  </w:style>
  <w:style w:type="paragraph" w:customStyle="1" w:styleId="85">
    <w:name w:val="custtext"/>
    <w:basedOn w:val="1"/>
    <w:qFormat/>
    <w:uiPriority w:val="99"/>
    <w:pPr>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pPr>
    <w:rPr>
      <w:color w:val="054B92"/>
      <w:sz w:val="18"/>
      <w:szCs w:val="18"/>
    </w:rPr>
  </w:style>
  <w:style w:type="paragraph" w:customStyle="1" w:styleId="86">
    <w:name w:val="buttons02"/>
    <w:basedOn w:val="1"/>
    <w:qFormat/>
    <w:uiPriority w:val="99"/>
    <w:pPr>
      <w:shd w:val="clear" w:color="auto" w:fill="D2E4FC"/>
      <w:spacing w:before="100" w:beforeAutospacing="1" w:after="100" w:afterAutospacing="1" w:line="330" w:lineRule="atLeast"/>
    </w:pPr>
    <w:rPr>
      <w:color w:val="000000"/>
    </w:rPr>
  </w:style>
  <w:style w:type="paragraph" w:customStyle="1" w:styleId="87">
    <w:name w:val="table301"/>
    <w:basedOn w:val="1"/>
    <w:qFormat/>
    <w:uiPriority w:val="99"/>
    <w:pPr>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pPr>
    <w:rPr>
      <w:color w:val="000000"/>
    </w:rPr>
  </w:style>
  <w:style w:type="paragraph" w:customStyle="1" w:styleId="88">
    <w:name w:val="table302"/>
    <w:basedOn w:val="1"/>
    <w:qFormat/>
    <w:uiPriority w:val="99"/>
    <w:pPr>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pPr>
    <w:rPr>
      <w:color w:val="000000"/>
    </w:rPr>
  </w:style>
  <w:style w:type="paragraph" w:customStyle="1" w:styleId="89">
    <w:name w:val="table303"/>
    <w:basedOn w:val="1"/>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pPr>
    <w:rPr>
      <w:color w:val="000000"/>
    </w:rPr>
  </w:style>
  <w:style w:type="paragraph" w:customStyle="1" w:styleId="90">
    <w:name w:val="table304"/>
    <w:basedOn w:val="1"/>
    <w:qFormat/>
    <w:uiPriority w:val="99"/>
    <w:pPr>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pPr>
    <w:rPr>
      <w:color w:val="000000"/>
    </w:rPr>
  </w:style>
  <w:style w:type="paragraph" w:customStyle="1" w:styleId="91">
    <w:name w:val="table305"/>
    <w:basedOn w:val="1"/>
    <w:qFormat/>
    <w:uiPriority w:val="99"/>
    <w:pPr>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pPr>
    <w:rPr>
      <w:color w:val="000000"/>
    </w:rPr>
  </w:style>
  <w:style w:type="paragraph" w:customStyle="1" w:styleId="92">
    <w:name w:val="stedit"/>
    <w:basedOn w:val="1"/>
    <w:qFormat/>
    <w:uiPriority w:val="99"/>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pPr>
    <w:rPr>
      <w:color w:val="000000"/>
      <w:sz w:val="18"/>
      <w:szCs w:val="18"/>
    </w:rPr>
  </w:style>
  <w:style w:type="paragraph" w:customStyle="1" w:styleId="93">
    <w:name w:val="stedit1"/>
    <w:basedOn w:val="1"/>
    <w:qFormat/>
    <w:uiPriority w:val="99"/>
    <w:pPr>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pPr>
    <w:rPr>
      <w:color w:val="000000"/>
      <w:sz w:val="18"/>
      <w:szCs w:val="18"/>
    </w:rPr>
  </w:style>
  <w:style w:type="character" w:customStyle="1" w:styleId="94">
    <w:name w:val="f41"/>
    <w:basedOn w:val="24"/>
    <w:qFormat/>
    <w:uiPriority w:val="99"/>
    <w:rPr>
      <w:rFonts w:ascii="宋体" w:hAnsi="宋体" w:eastAsia="宋体" w:cs="宋体"/>
      <w:sz w:val="18"/>
      <w:szCs w:val="18"/>
    </w:rPr>
  </w:style>
  <w:style w:type="character" w:customStyle="1" w:styleId="95">
    <w:name w:val="f21"/>
    <w:basedOn w:val="24"/>
    <w:qFormat/>
    <w:uiPriority w:val="99"/>
    <w:rPr>
      <w:rFonts w:ascii="宋体" w:hAnsi="宋体" w:eastAsia="宋体" w:cs="宋体"/>
      <w:sz w:val="21"/>
      <w:szCs w:val="21"/>
    </w:rPr>
  </w:style>
  <w:style w:type="paragraph" w:customStyle="1" w:styleId="96">
    <w:name w:val="font10"/>
    <w:basedOn w:val="1"/>
    <w:qFormat/>
    <w:uiPriority w:val="99"/>
    <w:pPr>
      <w:spacing w:before="100" w:beforeAutospacing="1" w:after="100" w:afterAutospacing="1"/>
    </w:pPr>
    <w:rPr>
      <w:b/>
      <w:bCs/>
      <w:color w:val="FFFFFF"/>
      <w:sz w:val="18"/>
      <w:szCs w:val="18"/>
    </w:rPr>
  </w:style>
  <w:style w:type="paragraph" w:customStyle="1" w:styleId="97">
    <w:name w:val="font11"/>
    <w:basedOn w:val="1"/>
    <w:qFormat/>
    <w:uiPriority w:val="99"/>
    <w:pPr>
      <w:spacing w:before="100" w:beforeAutospacing="1" w:after="100" w:afterAutospacing="1"/>
    </w:pPr>
    <w:rPr>
      <w:b/>
      <w:bCs/>
      <w:color w:val="FFFFFF"/>
      <w:sz w:val="18"/>
      <w:szCs w:val="18"/>
    </w:rPr>
  </w:style>
  <w:style w:type="paragraph" w:customStyle="1" w:styleId="98">
    <w:name w:val="xl44"/>
    <w:basedOn w:val="1"/>
    <w:qFormat/>
    <w:uiPriority w:val="99"/>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99">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100">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6600"/>
      <w:sz w:val="20"/>
      <w:szCs w:val="20"/>
    </w:rPr>
  </w:style>
  <w:style w:type="paragraph" w:customStyle="1" w:styleId="101">
    <w:name w:val="xl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FF"/>
      <w:sz w:val="20"/>
      <w:szCs w:val="20"/>
    </w:rPr>
  </w:style>
  <w:style w:type="paragraph" w:customStyle="1" w:styleId="102">
    <w:name w:val="xl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3">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4">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105">
    <w:name w:val="xl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6600"/>
      <w:sz w:val="20"/>
      <w:szCs w:val="20"/>
    </w:rPr>
  </w:style>
  <w:style w:type="paragraph" w:customStyle="1" w:styleId="106">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07">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8">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9">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10">
    <w:name w:val="xl56"/>
    <w:basedOn w:val="1"/>
    <w:qFormat/>
    <w:uiPriority w:val="99"/>
    <w:pPr>
      <w:spacing w:before="100" w:beforeAutospacing="1" w:after="100" w:afterAutospacing="1"/>
      <w:jc w:val="center"/>
      <w:textAlignment w:val="bottom"/>
    </w:pPr>
    <w:rPr>
      <w:sz w:val="20"/>
      <w:szCs w:val="20"/>
    </w:rPr>
  </w:style>
  <w:style w:type="paragraph" w:customStyle="1" w:styleId="111">
    <w:name w:val="xl57"/>
    <w:basedOn w:val="1"/>
    <w:qFormat/>
    <w:uiPriority w:val="99"/>
    <w:pPr>
      <w:spacing w:before="100" w:beforeAutospacing="1" w:after="100" w:afterAutospacing="1"/>
      <w:textAlignment w:val="top"/>
    </w:pPr>
    <w:rPr>
      <w:sz w:val="20"/>
      <w:szCs w:val="20"/>
    </w:rPr>
  </w:style>
  <w:style w:type="paragraph" w:customStyle="1" w:styleId="112">
    <w:name w:val="xl58"/>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3">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4">
    <w:name w:val="xl60"/>
    <w:basedOn w:val="1"/>
    <w:qFormat/>
    <w:uiPriority w:val="99"/>
    <w:pPr>
      <w:spacing w:before="100" w:beforeAutospacing="1" w:after="100" w:afterAutospacing="1"/>
      <w:jc w:val="center"/>
      <w:textAlignment w:val="bottom"/>
    </w:pPr>
    <w:rPr>
      <w:color w:val="0000FF"/>
      <w:sz w:val="20"/>
      <w:szCs w:val="20"/>
    </w:rPr>
  </w:style>
  <w:style w:type="paragraph" w:customStyle="1" w:styleId="115">
    <w:name w:val="xl6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6">
    <w:name w:val="xl62"/>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7">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64"/>
    <w:basedOn w:val="1"/>
    <w:qFormat/>
    <w:uiPriority w:val="99"/>
    <w:pPr>
      <w:spacing w:before="100" w:beforeAutospacing="1" w:after="100" w:afterAutospacing="1"/>
      <w:textAlignment w:val="bottom"/>
    </w:pPr>
    <w:rPr>
      <w:sz w:val="20"/>
      <w:szCs w:val="20"/>
    </w:rPr>
  </w:style>
  <w:style w:type="paragraph" w:customStyle="1" w:styleId="119">
    <w:name w:val="xl65"/>
    <w:basedOn w:val="1"/>
    <w:qFormat/>
    <w:uiPriority w:val="99"/>
    <w:pPr>
      <w:spacing w:before="100" w:beforeAutospacing="1" w:after="100" w:afterAutospacing="1"/>
      <w:textAlignment w:val="top"/>
    </w:pPr>
    <w:rPr>
      <w:sz w:val="20"/>
      <w:szCs w:val="20"/>
    </w:rPr>
  </w:style>
  <w:style w:type="paragraph" w:customStyle="1" w:styleId="12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1">
    <w:name w:val="xl67"/>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2">
    <w:name w:val="xl68"/>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3">
    <w:name w:val="xl6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4">
    <w:name w:val="xl7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25">
    <w:name w:val="xl71"/>
    <w:basedOn w:val="1"/>
    <w:qFormat/>
    <w:uiPriority w:val="99"/>
    <w:pPr>
      <w:pBdr>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6">
    <w:name w:val="xl72"/>
    <w:basedOn w:val="1"/>
    <w:qFormat/>
    <w:uiPriority w:val="99"/>
    <w:pPr>
      <w:pBdr>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73"/>
    <w:basedOn w:val="1"/>
    <w:qFormat/>
    <w:uiPriority w:val="99"/>
    <w:pPr>
      <w:pBdr>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28">
    <w:name w:val="xl74"/>
    <w:basedOn w:val="1"/>
    <w:qFormat/>
    <w:uiPriority w:val="99"/>
    <w:pPr>
      <w:pBdr>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9">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30">
    <w:name w:val="xl76"/>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31">
    <w:name w:val="xl77"/>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sz w:val="20"/>
      <w:szCs w:val="20"/>
    </w:rPr>
  </w:style>
  <w:style w:type="paragraph" w:customStyle="1" w:styleId="132">
    <w:name w:val="xl78"/>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3">
    <w:name w:val="xl79"/>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4">
    <w:name w:val="xl8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35">
    <w:name w:val="xl81"/>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36">
    <w:name w:val="xl82"/>
    <w:basedOn w:val="1"/>
    <w:qFormat/>
    <w:uiPriority w:val="99"/>
    <w:pPr>
      <w:pBdr>
        <w:bottom w:val="single" w:color="auto" w:sz="4" w:space="0"/>
        <w:right w:val="single" w:color="auto" w:sz="4" w:space="0"/>
      </w:pBdr>
      <w:spacing w:before="100" w:beforeAutospacing="1" w:after="100" w:afterAutospacing="1"/>
    </w:pPr>
    <w:rPr>
      <w:sz w:val="20"/>
      <w:szCs w:val="20"/>
    </w:rPr>
  </w:style>
  <w:style w:type="paragraph" w:customStyle="1" w:styleId="137">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38">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39">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40">
    <w:name w:val="xl86"/>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1">
    <w:name w:val="xl87"/>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2">
    <w:name w:val="xl88"/>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3">
    <w:name w:val="xl89"/>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4">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5">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6">
    <w:name w:val="xl92"/>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47">
    <w:name w:val="xl93"/>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8">
    <w:name w:val="xl94"/>
    <w:basedOn w:val="1"/>
    <w:qFormat/>
    <w:uiPriority w:val="99"/>
    <w:pPr>
      <w:pBdr>
        <w:left w:val="single" w:color="auto" w:sz="4" w:space="0"/>
      </w:pBdr>
      <w:spacing w:before="100" w:beforeAutospacing="1" w:after="100" w:afterAutospacing="1"/>
      <w:jc w:val="center"/>
      <w:textAlignment w:val="bottom"/>
    </w:pPr>
    <w:rPr>
      <w:sz w:val="20"/>
      <w:szCs w:val="20"/>
    </w:rPr>
  </w:style>
  <w:style w:type="paragraph" w:customStyle="1" w:styleId="149">
    <w:name w:val="xl95"/>
    <w:basedOn w:val="1"/>
    <w:qFormat/>
    <w:uiPriority w:val="99"/>
    <w:pPr>
      <w:pBdr>
        <w:right w:val="single" w:color="auto" w:sz="4" w:space="0"/>
      </w:pBdr>
      <w:spacing w:before="100" w:beforeAutospacing="1" w:after="100" w:afterAutospacing="1"/>
      <w:jc w:val="center"/>
      <w:textAlignment w:val="bottom"/>
    </w:pPr>
    <w:rPr>
      <w:sz w:val="20"/>
      <w:szCs w:val="20"/>
    </w:rPr>
  </w:style>
  <w:style w:type="paragraph" w:customStyle="1" w:styleId="150">
    <w:name w:val="xl96"/>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51">
    <w:name w:val="xl97"/>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2">
    <w:name w:val="xl98"/>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53">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4">
    <w:name w:val="xl10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5">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6">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7">
    <w:name w:val="xl103"/>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8">
    <w:name w:val="xl10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9">
    <w:name w:val="xl10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0">
    <w:name w:val="xl10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1">
    <w:name w:val="xl10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2">
    <w:name w:val="xl10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3">
    <w:name w:val="xl10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64">
    <w:name w:val="xl110"/>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5">
    <w:name w:val="xl111"/>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6">
    <w:name w:val="xl11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7">
    <w:name w:val="xl113"/>
    <w:basedOn w:val="1"/>
    <w:qFormat/>
    <w:uiPriority w:val="99"/>
    <w:pPr>
      <w:pBdr>
        <w:left w:val="single" w:color="auto" w:sz="4" w:space="0"/>
        <w:right w:val="single" w:color="auto" w:sz="4" w:space="0"/>
      </w:pBdr>
      <w:spacing w:before="100" w:beforeAutospacing="1" w:after="100" w:afterAutospacing="1"/>
      <w:textAlignment w:val="top"/>
    </w:pPr>
    <w:rPr>
      <w:sz w:val="20"/>
      <w:szCs w:val="20"/>
    </w:rPr>
  </w:style>
  <w:style w:type="paragraph" w:customStyle="1" w:styleId="168">
    <w:name w:val="xl114"/>
    <w:basedOn w:val="1"/>
    <w:qFormat/>
    <w:uiPriority w:val="99"/>
    <w:pPr>
      <w:pBdr>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character" w:customStyle="1" w:styleId="169">
    <w:name w:val="showtext"/>
    <w:basedOn w:val="24"/>
    <w:qFormat/>
    <w:uiPriority w:val="99"/>
  </w:style>
  <w:style w:type="character" w:customStyle="1" w:styleId="170">
    <w:name w:val="style161"/>
    <w:basedOn w:val="24"/>
    <w:qFormat/>
    <w:uiPriority w:val="99"/>
    <w:rPr>
      <w:sz w:val="24"/>
      <w:szCs w:val="24"/>
    </w:rPr>
  </w:style>
  <w:style w:type="character" w:customStyle="1" w:styleId="171">
    <w:name w:val="style171"/>
    <w:basedOn w:val="24"/>
    <w:qFormat/>
    <w:uiPriority w:val="99"/>
    <w:rPr>
      <w:sz w:val="21"/>
      <w:szCs w:val="21"/>
    </w:rPr>
  </w:style>
  <w:style w:type="paragraph" w:customStyle="1" w:styleId="172">
    <w:name w:val="z-Top of Form1"/>
    <w:basedOn w:val="1"/>
    <w:next w:val="1"/>
    <w:link w:val="173"/>
    <w:qFormat/>
    <w:uiPriority w:val="99"/>
    <w:pPr>
      <w:pBdr>
        <w:bottom w:val="single" w:color="auto" w:sz="6" w:space="1"/>
      </w:pBdr>
      <w:jc w:val="center"/>
    </w:pPr>
    <w:rPr>
      <w:rFonts w:ascii="Arial" w:hAnsi="Arial" w:cs="Arial"/>
      <w:vanish/>
      <w:sz w:val="16"/>
      <w:szCs w:val="16"/>
    </w:rPr>
  </w:style>
  <w:style w:type="character" w:customStyle="1" w:styleId="173">
    <w:name w:val="z-Top of Form Char"/>
    <w:basedOn w:val="24"/>
    <w:link w:val="172"/>
    <w:semiHidden/>
    <w:qFormat/>
    <w:locked/>
    <w:uiPriority w:val="99"/>
    <w:rPr>
      <w:rFonts w:ascii="Arial" w:hAnsi="Arial" w:cs="Arial"/>
      <w:vanish/>
      <w:kern w:val="0"/>
      <w:sz w:val="16"/>
      <w:szCs w:val="16"/>
    </w:rPr>
  </w:style>
  <w:style w:type="paragraph" w:customStyle="1" w:styleId="174">
    <w:name w:val="z-Bottom of Form1"/>
    <w:basedOn w:val="1"/>
    <w:next w:val="1"/>
    <w:link w:val="175"/>
    <w:qFormat/>
    <w:uiPriority w:val="99"/>
    <w:pPr>
      <w:pBdr>
        <w:top w:val="single" w:color="auto" w:sz="6" w:space="1"/>
      </w:pBdr>
      <w:jc w:val="center"/>
    </w:pPr>
    <w:rPr>
      <w:rFonts w:ascii="Arial" w:hAnsi="Arial" w:cs="Arial"/>
      <w:vanish/>
      <w:sz w:val="16"/>
      <w:szCs w:val="16"/>
    </w:rPr>
  </w:style>
  <w:style w:type="character" w:customStyle="1" w:styleId="175">
    <w:name w:val="z-Bottom of Form Char"/>
    <w:basedOn w:val="24"/>
    <w:link w:val="174"/>
    <w:semiHidden/>
    <w:qFormat/>
    <w:locked/>
    <w:uiPriority w:val="99"/>
    <w:rPr>
      <w:rFonts w:ascii="Arial" w:hAnsi="Arial" w:cs="Arial"/>
      <w:vanish/>
      <w:kern w:val="0"/>
      <w:sz w:val="16"/>
      <w:szCs w:val="16"/>
    </w:rPr>
  </w:style>
  <w:style w:type="paragraph" w:customStyle="1" w:styleId="1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177">
    <w:name w:val="unnamed1"/>
    <w:basedOn w:val="1"/>
    <w:qFormat/>
    <w:uiPriority w:val="99"/>
    <w:pPr>
      <w:spacing w:line="330" w:lineRule="atLeast"/>
    </w:pPr>
  </w:style>
  <w:style w:type="character" w:customStyle="1" w:styleId="178">
    <w:name w:val="f31"/>
    <w:basedOn w:val="24"/>
    <w:qFormat/>
    <w:uiPriority w:val="99"/>
    <w:rPr>
      <w:rFonts w:ascii="??" w:hAnsi="??" w:cs="??"/>
      <w:color w:val="auto"/>
      <w:sz w:val="16"/>
      <w:szCs w:val="16"/>
    </w:rPr>
  </w:style>
  <w:style w:type="paragraph" w:customStyle="1" w:styleId="179">
    <w:name w:val="Char"/>
    <w:basedOn w:val="1"/>
    <w:qFormat/>
    <w:uiPriority w:val="99"/>
    <w:pPr>
      <w:spacing w:after="160" w:line="240" w:lineRule="exact"/>
    </w:pPr>
    <w:rPr>
      <w:rFonts w:ascii="Verdana" w:hAnsi="Verdana" w:cs="Verdana"/>
      <w:sz w:val="20"/>
      <w:szCs w:val="20"/>
      <w:lang w:eastAsia="en-US"/>
    </w:rPr>
  </w:style>
  <w:style w:type="character" w:customStyle="1" w:styleId="180">
    <w:name w:val="real-price price gray"/>
    <w:basedOn w:val="24"/>
    <w:qFormat/>
    <w:uiPriority w:val="99"/>
  </w:style>
  <w:style w:type="paragraph" w:customStyle="1" w:styleId="181">
    <w:name w:val="change-wrap"/>
    <w:basedOn w:val="1"/>
    <w:qFormat/>
    <w:uiPriority w:val="99"/>
    <w:pPr>
      <w:spacing w:before="100" w:beforeAutospacing="1" w:after="100" w:afterAutospacing="1"/>
    </w:pPr>
  </w:style>
  <w:style w:type="character" w:customStyle="1" w:styleId="182">
    <w:name w:val="amt-value"/>
    <w:basedOn w:val="24"/>
    <w:qFormat/>
    <w:uiPriority w:val="99"/>
  </w:style>
  <w:style w:type="character" w:customStyle="1" w:styleId="183">
    <w:name w:val="amt"/>
    <w:basedOn w:val="24"/>
    <w:qFormat/>
    <w:uiPriority w:val="99"/>
  </w:style>
  <w:style w:type="paragraph" w:customStyle="1" w:styleId="184">
    <w:name w:val="trade-time time"/>
    <w:basedOn w:val="1"/>
    <w:qFormat/>
    <w:uiPriority w:val="99"/>
    <w:pPr>
      <w:spacing w:before="100" w:beforeAutospacing="1" w:after="100" w:afterAutospacing="1"/>
    </w:pPr>
  </w:style>
  <w:style w:type="character" w:customStyle="1" w:styleId="185">
    <w:name w:val="real-price price green"/>
    <w:basedOn w:val="24"/>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1429</Words>
  <Characters>8149</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2017-05-03T02:17:00Z</dcterms:created>
  <dc:creator>yly</dc:creator>
  <cp:lastModifiedBy>Administrator</cp:lastModifiedBy>
  <cp:lastPrinted>2012-08-08T01:39:00Z</cp:lastPrinted>
  <dcterms:modified xsi:type="dcterms:W3CDTF">2017-05-10T03:52:29Z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