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gradient" on="t" color2="#CCECFF" angle="-135" focus="100%" focussize="0f,0f" focusposition="32768f,32768f"/>
    </v:background>
  </w:background>
  <w:body>
    <w:p>
      <w:pPr>
        <w:ind w:firstLine="31680" w:firstLineChars="250"/>
        <w:rPr>
          <w:rFonts w:cs="Times New Roman"/>
        </w:rPr>
      </w:pPr>
      <w:r>
        <w:pict>
          <v:shape id="图片 65" o:spid="_x0000_s1028" o:spt="75" alt="椹板-图3" type="#_x0000_t75" style="position:absolute;left:0pt;margin-left:-79.35pt;margin-top:-65.55pt;height:280.8pt;width:595pt;mso-position-vertical-relative:line;z-index:-251656192;mso-width-relative:page;mso-height-relative:page;" filled="f" o:preferrelative="t" stroked="f" coordsize="21600,21600">
            <v:path/>
            <v:fill on="f" focussize="0,0"/>
            <v:stroke on="f" joinstyle="miter"/>
            <v:imagedata r:id="rId7" o:title=""/>
            <o:lock v:ext="edit" aspectratio="t"/>
          </v:shape>
        </w:pict>
      </w:r>
      <w:r>
        <w:pict>
          <v:shape id="_x0000_s1029" o:spid="_x0000_s1029" o:spt="202" type="#_x0000_t202" style="position:absolute;left:0pt;margin-left:36pt;margin-top:0pt;height:70.2pt;width:378pt;z-index:251658240;mso-width-relative:page;mso-height-relative:page;" filled="f" stroked="f" coordsize="21600,21600">
            <v:path/>
            <v:fill on="f" focussize="0,0"/>
            <v:stroke on="f" joinstyle="miter"/>
            <v:imagedata o:title=""/>
            <o:lock v:ext="edit"/>
            <v:textbox>
              <w:txbxContent>
                <w:p>
                  <w:pPr>
                    <w:ind w:firstLine="31680" w:firstLineChars="49"/>
                    <w:rPr>
                      <w:rFonts w:ascii="Verdana" w:hAnsi="Verdana" w:eastAsia="黑体" w:cs="Times New Roman"/>
                      <w:b/>
                      <w:bCs/>
                      <w:color w:val="000080"/>
                      <w:sz w:val="36"/>
                      <w:szCs w:val="36"/>
                      <w:u w:val="double"/>
                    </w:rPr>
                  </w:pPr>
                  <w:r>
                    <w:rPr>
                      <w:rFonts w:ascii="Verdana" w:hAnsi="Verdana" w:eastAsia="黑体" w:cs="Verdana"/>
                      <w:b/>
                      <w:bCs/>
                      <w:color w:val="000080"/>
                      <w:sz w:val="36"/>
                      <w:szCs w:val="36"/>
                      <w:u w:val="double"/>
                    </w:rPr>
                    <w:t xml:space="preserve">   Chinaccm</w:t>
                  </w:r>
                  <w:r>
                    <w:rPr>
                      <w:rFonts w:ascii="Verdana" w:hAnsi="Verdana" w:eastAsia="黑体" w:cs="Verdana"/>
                      <w:b/>
                      <w:bCs/>
                      <w:color w:val="FF0000"/>
                      <w:sz w:val="44"/>
                      <w:szCs w:val="44"/>
                      <w:u w:val="double"/>
                    </w:rPr>
                    <w:t xml:space="preserve"> VIP</w:t>
                  </w:r>
                  <w:r>
                    <w:rPr>
                      <w:rFonts w:ascii="Verdana" w:hAnsi="Verdana" w:eastAsia="黑体" w:cs="Verdana"/>
                      <w:b/>
                      <w:bCs/>
                      <w:color w:val="000080"/>
                      <w:sz w:val="36"/>
                      <w:szCs w:val="36"/>
                      <w:u w:val="double"/>
                    </w:rPr>
                    <w:t xml:space="preserve">day report   </w:t>
                  </w:r>
                </w:p>
                <w:p>
                  <w:pPr>
                    <w:jc w:val="center"/>
                    <w:rPr>
                      <w:rFonts w:ascii="Verdana" w:hAnsi="Verdana" w:eastAsia="黑体" w:cs="Times New Roman"/>
                      <w:b/>
                      <w:bCs/>
                      <w:color w:val="FF6600"/>
                      <w:sz w:val="36"/>
                      <w:szCs w:val="36"/>
                      <w:u w:val="double"/>
                    </w:rPr>
                  </w:pPr>
                  <w:r>
                    <w:rPr>
                      <w:rFonts w:hint="eastAsia"/>
                      <w:b/>
                      <w:bCs/>
                      <w:color w:val="FF6600"/>
                    </w:rPr>
                    <w:t>中华商务网服务日报</w:t>
                  </w:r>
                </w:p>
              </w:txbxContent>
            </v:textbox>
          </v:shape>
        </w:pict>
      </w:r>
    </w:p>
    <w:p>
      <w:pPr>
        <w:ind w:firstLine="31680" w:firstLineChars="250"/>
        <w:rPr>
          <w:rFonts w:cs="Times New Roman"/>
        </w:rPr>
      </w:pPr>
    </w:p>
    <w:p>
      <w:pPr>
        <w:rPr>
          <w:rFonts w:cs="Times New Roman"/>
        </w:rPr>
      </w:pPr>
    </w:p>
    <w:p>
      <w:pPr>
        <w:rPr>
          <w:rFonts w:cs="Times New Roman"/>
        </w:rPr>
      </w:pPr>
    </w:p>
    <w:p>
      <w:pPr>
        <w:rPr>
          <w:rFonts w:cs="Times New Roman"/>
        </w:rPr>
      </w:pPr>
    </w:p>
    <w:p>
      <w:pPr>
        <w:tabs>
          <w:tab w:val="right" w:pos="8312"/>
        </w:tabs>
        <w:rPr>
          <w:rFonts w:cs="Times New Roman"/>
        </w:rPr>
      </w:pPr>
      <w:r>
        <w:pict>
          <v:shape id="_x0000_s1030" o:spid="_x0000_s1030" o:spt="202" type="#_x0000_t202" style="position:absolute;left:0pt;margin-left:126pt;margin-top:0pt;height:39pt;width:198pt;z-index:251658240;mso-width-relative:page;mso-height-relative:page;" filled="f" stroked="f" coordsize="21600,21600">
            <v:path/>
            <v:fill on="f" focussize="0,0"/>
            <v:stroke on="f" joinstyle="miter"/>
            <v:imagedata o:title=""/>
            <o:lock v:ext="edit"/>
            <v:textbox>
              <w:txbxContent>
                <w:p>
                  <w:pPr>
                    <w:jc w:val="center"/>
                    <w:rPr>
                      <w:rFonts w:ascii="黑体" w:eastAsia="黑体" w:cs="Times New Roman"/>
                      <w:b/>
                      <w:bCs/>
                      <w:color w:val="993366"/>
                    </w:rPr>
                  </w:pPr>
                  <w:r>
                    <w:rPr>
                      <w:rFonts w:ascii="黑体" w:eastAsia="黑体" w:cs="黑体"/>
                      <w:b/>
                      <w:bCs/>
                      <w:color w:val="993366"/>
                    </w:rPr>
                    <w:t>2017</w:t>
                  </w:r>
                  <w:r>
                    <w:rPr>
                      <w:rFonts w:hint="eastAsia" w:ascii="黑体" w:eastAsia="黑体" w:cs="黑体"/>
                      <w:b/>
                      <w:bCs/>
                      <w:color w:val="993366"/>
                    </w:rPr>
                    <w:t>年</w:t>
                  </w:r>
                  <w:r>
                    <w:rPr>
                      <w:rFonts w:ascii="黑体" w:eastAsia="黑体" w:cs="黑体"/>
                      <w:b/>
                      <w:bCs/>
                      <w:color w:val="993366"/>
                    </w:rPr>
                    <w:t>5</w:t>
                  </w:r>
                  <w:r>
                    <w:rPr>
                      <w:rFonts w:hint="eastAsia" w:ascii="黑体" w:eastAsia="黑体" w:cs="黑体"/>
                      <w:b/>
                      <w:bCs/>
                      <w:color w:val="993366"/>
                    </w:rPr>
                    <w:t>月</w:t>
                  </w:r>
                  <w:r>
                    <w:rPr>
                      <w:rFonts w:hint="eastAsia" w:ascii="黑体" w:eastAsia="黑体" w:cs="黑体"/>
                      <w:b/>
                      <w:bCs/>
                      <w:color w:val="993366"/>
                      <w:lang w:val="en-US" w:eastAsia="zh-CN"/>
                    </w:rPr>
                    <w:t>8</w:t>
                  </w:r>
                  <w:r>
                    <w:rPr>
                      <w:rFonts w:hint="eastAsia" w:ascii="黑体" w:eastAsia="黑体" w:cs="黑体"/>
                      <w:b/>
                      <w:bCs/>
                      <w:color w:val="993366"/>
                    </w:rPr>
                    <w:t>日</w:t>
                  </w:r>
                </w:p>
              </w:txbxContent>
            </v:textbox>
          </v:shape>
        </w:pict>
      </w:r>
      <w:r>
        <w:rPr>
          <w:rFonts w:cs="Times New Roman"/>
        </w:rPr>
        <w:tab/>
      </w:r>
    </w:p>
    <w:p>
      <w:pPr>
        <w:rPr>
          <w:rFonts w:cs="Times New Roman"/>
        </w:rPr>
      </w:pPr>
    </w:p>
    <w:p>
      <w:pPr>
        <w:rPr>
          <w:rFonts w:cs="Times New Roman"/>
        </w:rPr>
      </w:pPr>
    </w:p>
    <w:p>
      <w:pPr>
        <w:rPr>
          <w:rFonts w:cs="Times New Roman"/>
        </w:rPr>
      </w:pPr>
    </w:p>
    <w:p>
      <w:pPr>
        <w:rPr>
          <w:rFonts w:cs="Times New Roman"/>
        </w:rPr>
      </w:pPr>
      <w:r>
        <w:pict>
          <v:shape id="_x0000_s1031" o:spid="_x0000_s1031" o:spt="202" type="#_x0000_t202" style="position:absolute;left:0pt;margin-left:99pt;margin-top:7.8pt;height:39pt;width:306pt;z-index:251656192;mso-width-relative:page;mso-height-relative:page;" filled="f" stroked="f" coordsize="21600,21600">
            <v:path/>
            <v:fill on="f" focussize="0,0"/>
            <v:stroke on="f" joinstyle="miter"/>
            <v:imagedata o:title=""/>
            <o:lock v:ext="edit"/>
            <v:textbox>
              <w:txbxContent>
                <w:p>
                  <w:pPr>
                    <w:rPr>
                      <w:rFonts w:cs="Times New Roman"/>
                      <w:b/>
                      <w:bCs/>
                      <w:color w:val="993366"/>
                    </w:rPr>
                  </w:pPr>
                  <w:r>
                    <w:rPr>
                      <w:rFonts w:hint="eastAsia"/>
                      <w:b/>
                      <w:bCs/>
                      <w:color w:val="993366"/>
                    </w:rPr>
                    <w:t>主办单位：中华商务网石油产业频道</w:t>
                  </w:r>
                </w:p>
                <w:p>
                  <w:pPr>
                    <w:rPr>
                      <w:b/>
                      <w:bCs/>
                      <w:color w:val="993366"/>
                    </w:rPr>
                  </w:pPr>
                  <w:r>
                    <w:rPr>
                      <w:rFonts w:hint="eastAsia"/>
                      <w:b/>
                      <w:bCs/>
                      <w:color w:val="993366"/>
                    </w:rPr>
                    <w:t>石油产业：</w:t>
                  </w:r>
                  <w:r>
                    <w:rPr>
                      <w:b/>
                      <w:bCs/>
                      <w:color w:val="993366"/>
                    </w:rPr>
                    <w:t>http://www.chinaccm.com/shiyou.asp</w:t>
                  </w:r>
                </w:p>
              </w:txbxContent>
            </v:textbox>
          </v:shape>
        </w:pict>
      </w:r>
    </w:p>
    <w:p>
      <w:pPr>
        <w:rPr>
          <w:rFonts w:cs="Times New Roman"/>
        </w:rPr>
      </w:pPr>
    </w:p>
    <w:p>
      <w:pPr>
        <w:rPr>
          <w:rFonts w:cs="Times New Roman"/>
        </w:rPr>
      </w:pPr>
      <w:r>
        <w:pict>
          <v:shape id="图片 63" o:spid="_x0000_s1032" o:spt="75" alt="椹板-图2" type="#_x0000_t75" style="position:absolute;left:0pt;margin-left:-101.5pt;margin-top:6.1pt;height:577.2pt;width:369pt;mso-position-vertical-relative:line;z-index:-251655168;mso-width-relative:page;mso-height-relative:page;" filled="f" o:preferrelative="t" stroked="f" coordsize="21600,21600">
            <v:path/>
            <v:fill on="f" focussize="0,0"/>
            <v:stroke on="f" joinstyle="miter"/>
            <v:imagedata r:id="rId8" o:title=""/>
            <o:lock v:ext="edit" aspectratio="t"/>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r>
        <w:pict>
          <v:shape id="_x0000_s1033" o:spid="_x0000_s1033" o:spt="202" type="#_x0000_t202" style="position:absolute;left:0pt;margin-left:63pt;margin-top:7.8pt;height:317.75pt;width:76.8pt;mso-wrap-style:none;z-index:251654144;mso-width-relative:page;mso-height-relative:page;" filled="f" stroked="f" coordsize="21600,21600">
            <v:path/>
            <v:fill on="f" focussize="0,0"/>
            <v:stroke on="f" joinstyle="miter"/>
            <v:imagedata o:title=""/>
            <o:lock v:ext="edit"/>
            <v:textbox style="layout-flow:vertical-ideographic;mso-fit-shape-to-text:t;">
              <w:txbxContent>
                <w:p>
                  <w:pPr>
                    <w:rPr>
                      <w:rFonts w:cs="Times New Roman"/>
                    </w:rPr>
                  </w:pPr>
                  <w:r>
                    <w:rPr>
                      <w:rFonts w:cs="Times New Roman"/>
                      <w:b/>
                      <w:bCs/>
                      <w:color w:val="0000FF"/>
                      <w:sz w:val="72"/>
                      <w:szCs w:val="72"/>
                    </w:rPr>
                    <w:pict>
                      <v:shape id="_x0000_i1025" o:spt="136" type="#_x0000_t136" style="height:56.25pt;width:307.5pt;rotation:5898240f;" fillcolor="#800000" filled="t" stroked="t" coordsize="21600,21600">
                        <v:path/>
                        <v:fill on="t" focussize="0,0"/>
                        <v:stroke color="#800000"/>
                        <v:imagedata o:title=""/>
                        <o:lock v:ext="edit"/>
                        <v:textpath on="t" fitshape="t" fitpath="t" trim="t" xscale="f" string="燃料油市场日报" style="font-family:华文细黑;font-size:32pt;v-rotate-letters:t;v-text-align:center;"/>
                        <v:shadow on="t" color="#B2B2B2" opacity="52429f"/>
                        <w10:wrap type="none"/>
                        <w10:anchorlock/>
                      </v:shape>
                    </w:pict>
                  </w:r>
                </w:p>
              </w:txbxContent>
            </v:textbox>
          </v:shape>
        </w:pict>
      </w:r>
    </w:p>
    <w:p>
      <w:pPr>
        <w:rPr>
          <w:rFonts w:cs="Times New Roman"/>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r>
        <w:pict>
          <v:shape id="_x0000_s1034" o:spid="_x0000_s1034" o:spt="202" type="#_x0000_t202" style="position:absolute;left:0pt;margin-left:288pt;margin-top:0pt;height:319.8pt;width:198pt;z-index:251657216;mso-width-relative:page;mso-height-relative:page;" filled="f" stroked="f" coordsize="21600,21600">
            <v:path/>
            <v:fill on="f" focussize="0,0"/>
            <v:stroke on="f" joinstyle="miter"/>
            <v:imagedata o:title=""/>
            <o:lock v:ext="edit"/>
            <v:textbox>
              <w:txbxContent>
                <w:p>
                  <w:pPr>
                    <w:pStyle w:val="2"/>
                    <w:tabs>
                      <w:tab w:val="left" w:pos="2100"/>
                    </w:tabs>
                    <w:spacing w:before="120" w:after="0" w:line="240" w:lineRule="auto"/>
                    <w:rPr>
                      <w:rFonts w:ascii="黑体" w:hAnsi="黑体" w:eastAsia="黑体" w:cs="Times New Roman"/>
                      <w:color w:val="FF0000"/>
                      <w:sz w:val="28"/>
                      <w:szCs w:val="28"/>
                    </w:rPr>
                  </w:pPr>
                  <w:r>
                    <w:rPr>
                      <w:rFonts w:hint="eastAsia" w:ascii="黑体" w:hAnsi="黑体" w:eastAsia="黑体" w:cs="黑体"/>
                      <w:color w:val="FF0000"/>
                      <w:sz w:val="28"/>
                      <w:szCs w:val="28"/>
                    </w:rPr>
                    <w:t>声明</w:t>
                  </w:r>
                </w:p>
                <w:p>
                  <w:pPr>
                    <w:ind w:firstLine="31680" w:firstLineChars="196"/>
                    <w:rPr>
                      <w:rFonts w:cs="Times New Roman"/>
                      <w:color w:val="FF0000"/>
                    </w:rPr>
                  </w:pPr>
                  <w:r>
                    <w:rPr>
                      <w:rFonts w:hint="eastAsia"/>
                      <w:color w:val="FF0000"/>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pPr>
                    <w:ind w:firstLine="31680" w:firstLineChars="196"/>
                    <w:rPr>
                      <w:rFonts w:cs="Times New Roman"/>
                      <w:color w:val="FF0000"/>
                    </w:rPr>
                  </w:pPr>
                  <w:r>
                    <w:rPr>
                      <w:rFonts w:hint="eastAsia"/>
                      <w:color w:val="FF0000"/>
                    </w:rPr>
                    <w:t>因产品的市场行情及其价格会因不同市场因素而变化，因此本报告仅提供参考，并不干预或参与客户的商业决策或决定，对于客户如何使用此报告本公司不负任何责任。</w:t>
                  </w:r>
                </w:p>
                <w:p>
                  <w:pPr>
                    <w:rPr>
                      <w:rFonts w:ascii="黑体" w:eastAsia="黑体" w:cs="Times New Roman"/>
                      <w:b/>
                      <w:bCs/>
                      <w:color w:val="993366"/>
                    </w:rPr>
                  </w:pPr>
                </w:p>
              </w:txbxContent>
            </v:textbox>
          </v:shape>
        </w:pict>
      </w: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rPr>
      </w:pPr>
    </w:p>
    <w:p>
      <w:pPr>
        <w:rPr>
          <w:rFonts w:cs="Times New Roman"/>
        </w:rPr>
      </w:pPr>
    </w:p>
    <w:p>
      <w:pPr>
        <w:rPr>
          <w:rFonts w:cs="Times New Roman"/>
        </w:rPr>
      </w:pPr>
    </w:p>
    <w:p>
      <w:pPr>
        <w:rPr>
          <w:rFonts w:cs="Times New Roman"/>
        </w:rPr>
      </w:pPr>
      <w:r>
        <w:pict>
          <v:shape id="_x0000_s1036" o:spid="_x0000_s1036" o:spt="202" type="#_x0000_t202" style="position:absolute;left:0pt;margin-left:-64.5pt;margin-top:1.6pt;height:101.4pt;width:315pt;z-index:251655168;mso-width-relative:page;mso-height-relative:page;" filled="f" stroked="f" coordsize="21600,21600">
            <v:path/>
            <v:fill on="f" focussize="0,0"/>
            <v:stroke on="f" joinstyle="miter"/>
            <v:imagedata o:title=""/>
            <o:lock v:ext="edit"/>
            <v:textbox>
              <w:txbxContent>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800080"/>
                    </w:rPr>
                  </w:pPr>
                  <w:r>
                    <w:rPr>
                      <w:rFonts w:hint="eastAsia" w:ascii="黑体" w:eastAsia="黑体" w:cs="黑体"/>
                      <w:b/>
                      <w:bCs/>
                      <w:color w:val="800080"/>
                    </w:rPr>
                    <w:t>燃料油频道：</w:t>
                  </w:r>
                  <w:r>
                    <w:fldChar w:fldCharType="begin"/>
                  </w:r>
                  <w:r>
                    <w:instrText xml:space="preserve"> HYPERLINK "http://www.chinaccm.com/20/default.asp" </w:instrText>
                  </w:r>
                  <w:r>
                    <w:fldChar w:fldCharType="separate"/>
                  </w:r>
                  <w:r>
                    <w:rPr>
                      <w:rStyle w:val="28"/>
                      <w:rFonts w:ascii="黑体" w:eastAsia="黑体" w:cs="黑体"/>
                      <w:b/>
                      <w:bCs/>
                      <w:color w:val="800080"/>
                    </w:rPr>
                    <w:t>http://www.chinaccm.com/20/default.asp</w:t>
                  </w:r>
                  <w:r>
                    <w:rPr>
                      <w:rStyle w:val="28"/>
                      <w:rFonts w:ascii="黑体" w:eastAsia="黑体" w:cs="黑体"/>
                      <w:b/>
                      <w:bCs/>
                      <w:color w:val="800080"/>
                    </w:rPr>
                    <w:fldChar w:fldCharType="end"/>
                  </w:r>
                </w:p>
                <w:p>
                  <w:pPr>
                    <w:rPr>
                      <w:rFonts w:ascii="黑体" w:eastAsia="黑体" w:cs="Times New Roman"/>
                      <w:b/>
                      <w:bCs/>
                      <w:color w:val="800080"/>
                    </w:rPr>
                  </w:pPr>
                  <w:r>
                    <w:rPr>
                      <w:rFonts w:hint="eastAsia" w:ascii="黑体" w:eastAsia="黑体" w:cs="黑体"/>
                      <w:b/>
                      <w:bCs/>
                      <w:color w:val="800080"/>
                    </w:rPr>
                    <w:t>栏目编辑：</w:t>
                  </w:r>
                  <w:r>
                    <w:rPr>
                      <w:rFonts w:hint="eastAsia" w:ascii="黑体" w:eastAsia="黑体" w:cs="黑体"/>
                      <w:b/>
                      <w:bCs/>
                      <w:color w:val="800080"/>
                      <w:lang w:eastAsia="zh-CN"/>
                    </w:rPr>
                    <w:t>邱超榜</w:t>
                  </w:r>
                </w:p>
                <w:p>
                  <w:pPr>
                    <w:rPr>
                      <w:rFonts w:ascii="黑体" w:eastAsia="黑体" w:cs="Times New Roman"/>
                      <w:b/>
                      <w:bCs/>
                      <w:color w:val="800080"/>
                    </w:rPr>
                  </w:pPr>
                  <w:r>
                    <w:rPr>
                      <w:rFonts w:hint="eastAsia" w:ascii="黑体" w:eastAsia="黑体" w:cs="黑体"/>
                      <w:b/>
                      <w:bCs/>
                      <w:color w:val="800080"/>
                    </w:rPr>
                    <w:t>邮箱：</w:t>
                  </w:r>
                  <w:r>
                    <w:rPr>
                      <w:rFonts w:hint="eastAsia" w:ascii="黑体" w:hAnsi="黑体" w:eastAsia="黑体" w:cs="黑体"/>
                      <w:b w:val="0"/>
                      <w:bCs w:val="0"/>
                      <w:i w:val="0"/>
                      <w:caps w:val="0"/>
                      <w:color w:val="000000"/>
                      <w:spacing w:val="0"/>
                      <w:sz w:val="24"/>
                      <w:szCs w:val="24"/>
                      <w:shd w:val="clear" w:fill="FFFFFF"/>
                    </w:rPr>
                    <w:t>qcb@chinaccm.com</w:t>
                  </w:r>
                  <w:r>
                    <w:rPr>
                      <w:rFonts w:ascii="微软雅黑" w:hAnsi="微软雅黑" w:eastAsia="微软雅黑" w:cs="微软雅黑"/>
                      <w:b w:val="0"/>
                      <w:i w:val="0"/>
                      <w:caps w:val="0"/>
                      <w:color w:val="000000"/>
                      <w:spacing w:val="0"/>
                      <w:sz w:val="24"/>
                      <w:szCs w:val="24"/>
                      <w:shd w:val="clear" w:fill="FFFFFF"/>
                    </w:rPr>
                    <w:t> </w:t>
                  </w:r>
                  <w:r>
                    <w:rPr>
                      <w:rFonts w:ascii="黑体" w:eastAsia="黑体" w:cs="Times New Roman"/>
                      <w:b/>
                      <w:bCs/>
                      <w:color w:val="800080"/>
                    </w:rPr>
                    <w:br w:type="textWrapping"/>
                  </w:r>
                </w:p>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993366"/>
                    </w:rPr>
                  </w:pPr>
                </w:p>
                <w:p>
                  <w:pPr>
                    <w:rPr>
                      <w:rFonts w:ascii="黑体" w:eastAsia="黑体" w:cs="Times New Roman"/>
                      <w:b/>
                      <w:bCs/>
                      <w:color w:val="993366"/>
                    </w:rPr>
                  </w:pPr>
                </w:p>
              </w:txbxContent>
            </v:textbox>
          </v:shape>
        </w:pict>
      </w:r>
      <w:r>
        <w:pict>
          <v:shape id="图片 69" o:spid="_x0000_s1035" o:spt="75" alt="椹板-图4" type="#_x0000_t75" style="position:absolute;left:0pt;margin-left:144pt;margin-top:7.8pt;height:194pt;width:362pt;mso-position-vertical-relative:line;mso-wrap-distance-left:9pt;mso-wrap-distance-right:9pt;z-index:-251657216;mso-width-relative:page;mso-height-relative:page;" filled="f" o:preferrelative="t" stroked="f" coordsize="21600,21600" wrapcoords="-45 0 -45 21517 21600 21517 21600 0 -45 0">
            <v:path/>
            <v:fill on="f" focussize="0,0"/>
            <v:stroke on="f" joinstyle="miter"/>
            <v:imagedata r:id="rId9" o:title=""/>
            <o:lock v:ext="edit" aspectratio="t"/>
            <w10:wrap type="through"/>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cs="Times New Roman"/>
          <w:b/>
          <w:bCs/>
          <w:sz w:val="32"/>
          <w:szCs w:val="32"/>
        </w:rPr>
      </w:pPr>
      <w:r>
        <w:rPr>
          <w:rFonts w:hint="eastAsia"/>
          <w:b/>
          <w:bCs/>
          <w:sz w:val="32"/>
          <w:szCs w:val="32"/>
        </w:rPr>
        <w:t>目录</w:t>
      </w:r>
    </w:p>
    <w:p>
      <w:pPr>
        <w:pStyle w:val="16"/>
        <w:rPr>
          <w:rFonts w:ascii="Times New Roman" w:hAnsi="Times New Roman" w:cs="Times New Roman"/>
          <w:b w:val="0"/>
          <w:bCs w:val="0"/>
          <w:color w:val="auto"/>
          <w:kern w:val="2"/>
          <w:sz w:val="21"/>
          <w:szCs w:val="21"/>
        </w:rPr>
      </w:pPr>
      <w:bookmarkStart w:id="0" w:name="_Toc283387074"/>
      <w:r>
        <w:fldChar w:fldCharType="begin"/>
      </w:r>
      <w:r>
        <w:instrText xml:space="preserve"> TOC \o "1-3" \h \z \u </w:instrText>
      </w:r>
      <w:r>
        <w:fldChar w:fldCharType="separate"/>
      </w:r>
      <w:r>
        <w:fldChar w:fldCharType="begin"/>
      </w:r>
      <w:r>
        <w:instrText xml:space="preserve"> HYPERLINK \l "_Toc436380329" </w:instrText>
      </w:r>
      <w:r>
        <w:fldChar w:fldCharType="separate"/>
      </w:r>
      <w:r>
        <w:rPr>
          <w:rStyle w:val="28"/>
          <w:rFonts w:hint="eastAsia"/>
        </w:rPr>
        <w:t>一、国际燃料油市场行情</w:t>
      </w:r>
      <w:r>
        <w:rPr>
          <w:rFonts w:cs="Times New Roman"/>
        </w:rPr>
        <w:tab/>
      </w:r>
      <w:r>
        <w:fldChar w:fldCharType="begin"/>
      </w:r>
      <w:r>
        <w:instrText xml:space="preserve"> PAGEREF _Toc436380329 \h </w:instrText>
      </w:r>
      <w:r>
        <w:fldChar w:fldCharType="separate"/>
      </w:r>
      <w:r>
        <w:t>3</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"_Toc436380330" </w:instrText>
      </w:r>
      <w:r>
        <w:fldChar w:fldCharType="separate"/>
      </w:r>
      <w:r>
        <w:rPr>
          <w:rStyle w:val="28"/>
        </w:rPr>
        <w:t xml:space="preserve">1.1  </w:t>
      </w:r>
      <w:r>
        <w:rPr>
          <w:rStyle w:val="28"/>
          <w:rFonts w:hint="eastAsia"/>
        </w:rPr>
        <w:t>国际燃料油市场动态</w:t>
      </w:r>
      <w:r>
        <w:rPr>
          <w:rFonts w:cs="Times New Roman"/>
        </w:rPr>
        <w:tab/>
      </w:r>
      <w:r>
        <w:fldChar w:fldCharType="begin"/>
      </w:r>
      <w:r>
        <w:instrText xml:space="preserve"> PAGEREF _Toc436380330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"_Toc436380331" </w:instrText>
      </w:r>
      <w:r>
        <w:fldChar w:fldCharType="separate"/>
      </w:r>
      <w:r>
        <w:rPr>
          <w:rStyle w:val="28"/>
        </w:rPr>
        <w:t>1.2</w:t>
      </w:r>
      <w:r>
        <w:rPr>
          <w:rFonts w:ascii="Times New Roman" w:hAnsi="Times New Roman" w:cs="Times New Roman"/>
          <w:kern w:val="2"/>
          <w:sz w:val="21"/>
          <w:szCs w:val="21"/>
        </w:rPr>
        <w:tab/>
      </w:r>
      <w:r>
        <w:rPr>
          <w:rStyle w:val="28"/>
          <w:rFonts w:hint="eastAsia"/>
        </w:rPr>
        <w:t>新加坡燃料油市场价格</w:t>
      </w:r>
      <w:r>
        <w:rPr>
          <w:rFonts w:cs="Times New Roman"/>
        </w:rPr>
        <w:tab/>
      </w:r>
      <w:r>
        <w:fldChar w:fldCharType="begin"/>
      </w:r>
      <w:r>
        <w:instrText xml:space="preserve"> PAGEREF _Toc436380331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"_Toc436380332" </w:instrText>
      </w:r>
      <w:r>
        <w:fldChar w:fldCharType="separate"/>
      </w:r>
      <w:r>
        <w:rPr>
          <w:rStyle w:val="28"/>
        </w:rPr>
        <w:t>1.3</w:t>
      </w:r>
      <w:r>
        <w:rPr>
          <w:rFonts w:ascii="Times New Roman" w:hAnsi="Times New Roman" w:cs="Times New Roman"/>
          <w:kern w:val="2"/>
          <w:sz w:val="21"/>
          <w:szCs w:val="21"/>
        </w:rPr>
        <w:tab/>
      </w:r>
      <w:r>
        <w:rPr>
          <w:rStyle w:val="28"/>
          <w:rFonts w:hint="eastAsia"/>
        </w:rPr>
        <w:t>新加坡燃料油纸货价格</w:t>
      </w:r>
      <w:r>
        <w:rPr>
          <w:rFonts w:cs="Times New Roman"/>
        </w:rPr>
        <w:tab/>
      </w:r>
      <w:r>
        <w:fldChar w:fldCharType="begin"/>
      </w:r>
      <w:r>
        <w:instrText xml:space="preserve"> PAGEREF _Toc436380332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"_Toc436380333" </w:instrText>
      </w:r>
      <w:r>
        <w:fldChar w:fldCharType="separate"/>
      </w:r>
      <w:r>
        <w:rPr>
          <w:rStyle w:val="28"/>
        </w:rPr>
        <w:t>1.4</w:t>
      </w:r>
      <w:r>
        <w:rPr>
          <w:rFonts w:ascii="Times New Roman" w:hAnsi="Times New Roman" w:cs="Times New Roman"/>
          <w:kern w:val="2"/>
          <w:sz w:val="21"/>
          <w:szCs w:val="21"/>
        </w:rPr>
        <w:tab/>
      </w:r>
      <w:r>
        <w:rPr>
          <w:rStyle w:val="28"/>
          <w:rFonts w:hint="eastAsia"/>
        </w:rPr>
        <w:t>新加坡燃料油黄埔到岸价</w:t>
      </w:r>
      <w:r>
        <w:rPr>
          <w:rFonts w:cs="Times New Roman"/>
        </w:rPr>
        <w:tab/>
      </w:r>
      <w:r>
        <w:fldChar w:fldCharType="begin"/>
      </w:r>
      <w:r>
        <w:instrText xml:space="preserve"> PAGEREF _Toc436380333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"_Toc436380334" </w:instrText>
      </w:r>
      <w:r>
        <w:fldChar w:fldCharType="separate"/>
      </w:r>
      <w:r>
        <w:rPr>
          <w:rStyle w:val="28"/>
        </w:rPr>
        <w:t>1.5</w:t>
      </w:r>
      <w:r>
        <w:rPr>
          <w:rFonts w:ascii="Times New Roman" w:hAnsi="Times New Roman" w:cs="Times New Roman"/>
          <w:kern w:val="2"/>
          <w:sz w:val="21"/>
          <w:szCs w:val="21"/>
        </w:rPr>
        <w:tab/>
      </w:r>
      <w:r>
        <w:rPr>
          <w:rStyle w:val="28"/>
          <w:rFonts w:hint="eastAsia"/>
        </w:rPr>
        <w:t>韩国燃料油市场价格</w:t>
      </w:r>
      <w:r>
        <w:rPr>
          <w:rFonts w:cs="Times New Roman"/>
        </w:rPr>
        <w:tab/>
      </w:r>
      <w:r>
        <w:fldChar w:fldCharType="begin"/>
      </w:r>
      <w:r>
        <w:instrText xml:space="preserve"> PAGEREF _Toc436380334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"_Toc436380335" </w:instrText>
      </w:r>
      <w:r>
        <w:fldChar w:fldCharType="separate"/>
      </w:r>
      <w:r>
        <w:rPr>
          <w:rStyle w:val="28"/>
        </w:rPr>
        <w:t>1.6</w:t>
      </w:r>
      <w:r>
        <w:rPr>
          <w:rFonts w:ascii="Times New Roman" w:hAnsi="Times New Roman" w:cs="Times New Roman"/>
          <w:kern w:val="2"/>
          <w:sz w:val="21"/>
          <w:szCs w:val="21"/>
        </w:rPr>
        <w:tab/>
      </w:r>
      <w:r>
        <w:rPr>
          <w:rStyle w:val="28"/>
          <w:rFonts w:hint="eastAsia"/>
        </w:rPr>
        <w:t>阿拉伯湾燃料油市场价格</w:t>
      </w:r>
      <w:r>
        <w:rPr>
          <w:rFonts w:cs="Times New Roman"/>
        </w:rPr>
        <w:tab/>
      </w:r>
      <w:r>
        <w:fldChar w:fldCharType="begin"/>
      </w:r>
      <w:r>
        <w:instrText xml:space="preserve"> PAGEREF _Toc436380335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"_Toc436380336" </w:instrText>
      </w:r>
      <w:r>
        <w:fldChar w:fldCharType="separate"/>
      </w:r>
      <w:r>
        <w:rPr>
          <w:rStyle w:val="28"/>
        </w:rPr>
        <w:t>1.7</w:t>
      </w:r>
      <w:r>
        <w:rPr>
          <w:rFonts w:ascii="Times New Roman" w:hAnsi="Times New Roman" w:cs="Times New Roman"/>
          <w:kern w:val="2"/>
          <w:sz w:val="21"/>
          <w:szCs w:val="21"/>
        </w:rPr>
        <w:tab/>
      </w:r>
      <w:r>
        <w:rPr>
          <w:rStyle w:val="28"/>
          <w:rFonts w:hint="eastAsia"/>
        </w:rPr>
        <w:t>日本燃料油市场价格</w:t>
      </w:r>
      <w:r>
        <w:rPr>
          <w:rFonts w:cs="Times New Roman"/>
        </w:rPr>
        <w:tab/>
      </w:r>
      <w:r>
        <w:fldChar w:fldCharType="begin"/>
      </w:r>
      <w:r>
        <w:instrText xml:space="preserve"> PAGEREF _Toc436380336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"_Toc436380337" </w:instrText>
      </w:r>
      <w:r>
        <w:fldChar w:fldCharType="separate"/>
      </w:r>
      <w:r>
        <w:rPr>
          <w:rStyle w:val="28"/>
        </w:rPr>
        <w:t>1.8</w:t>
      </w:r>
      <w:r>
        <w:rPr>
          <w:rFonts w:ascii="Times New Roman" w:hAnsi="Times New Roman" w:cs="Times New Roman"/>
          <w:kern w:val="2"/>
          <w:sz w:val="21"/>
          <w:szCs w:val="21"/>
        </w:rPr>
        <w:tab/>
      </w:r>
      <w:r>
        <w:rPr>
          <w:rStyle w:val="28"/>
          <w:rFonts w:hint="eastAsia"/>
        </w:rPr>
        <w:t>地中海燃料油市场价格</w:t>
      </w:r>
      <w:r>
        <w:rPr>
          <w:rFonts w:cs="Times New Roman"/>
        </w:rPr>
        <w:tab/>
      </w:r>
      <w:r>
        <w:fldChar w:fldCharType="begin"/>
      </w:r>
      <w:r>
        <w:instrText xml:space="preserve"> PAGEREF _Toc436380337 \h </w:instrText>
      </w:r>
      <w:r>
        <w:fldChar w:fldCharType="separate"/>
      </w:r>
      <w:r>
        <w:t>4</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"_Toc436380338" </w:instrText>
      </w:r>
      <w:r>
        <w:fldChar w:fldCharType="separate"/>
      </w:r>
      <w:r>
        <w:rPr>
          <w:rStyle w:val="28"/>
          <w:rFonts w:hint="eastAsia"/>
        </w:rPr>
        <w:t>二、国内燃料油市场动态</w:t>
      </w:r>
      <w:r>
        <w:rPr>
          <w:rFonts w:cs="Times New Roman"/>
        </w:rPr>
        <w:tab/>
      </w:r>
      <w:r>
        <w:fldChar w:fldCharType="begin"/>
      </w:r>
      <w:r>
        <w:instrText xml:space="preserve"> PAGEREF _Toc436380338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"_Toc436380339" </w:instrText>
      </w:r>
      <w:r>
        <w:fldChar w:fldCharType="separate"/>
      </w:r>
      <w:r>
        <w:rPr>
          <w:rStyle w:val="28"/>
        </w:rPr>
        <w:t xml:space="preserve">2.1  </w:t>
      </w:r>
      <w:r>
        <w:rPr>
          <w:rStyle w:val="28"/>
          <w:rFonts w:hint="eastAsia"/>
        </w:rPr>
        <w:t>华南地区燃料油市场行情</w:t>
      </w:r>
      <w:r>
        <w:rPr>
          <w:rFonts w:cs="Times New Roman"/>
        </w:rPr>
        <w:tab/>
      </w:r>
      <w:r>
        <w:fldChar w:fldCharType="begin"/>
      </w:r>
      <w:r>
        <w:instrText xml:space="preserve"> PAGEREF _Toc436380339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"_Toc436380340" </w:instrText>
      </w:r>
      <w:r>
        <w:fldChar w:fldCharType="separate"/>
      </w:r>
      <w:r>
        <w:rPr>
          <w:rStyle w:val="28"/>
        </w:rPr>
        <w:t>2.2</w:t>
      </w:r>
      <w:r>
        <w:rPr>
          <w:rStyle w:val="28"/>
          <w:rFonts w:hint="eastAsia"/>
        </w:rPr>
        <w:t>华东地区燃料油市场行情</w:t>
      </w:r>
      <w:r>
        <w:rPr>
          <w:rFonts w:cs="Times New Roman"/>
        </w:rPr>
        <w:tab/>
      </w:r>
      <w:r>
        <w:fldChar w:fldCharType="begin"/>
      </w:r>
      <w:r>
        <w:instrText xml:space="preserve"> PAGEREF _Toc436380340 \h </w:instrText>
      </w:r>
      <w:r>
        <w:fldChar w:fldCharType="separate"/>
      </w:r>
      <w:r>
        <w:t>6</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"_Toc436380341" </w:instrText>
      </w:r>
      <w:r>
        <w:fldChar w:fldCharType="separate"/>
      </w:r>
      <w:r>
        <w:rPr>
          <w:rStyle w:val="28"/>
        </w:rPr>
        <w:t>2.3</w:t>
      </w:r>
      <w:r>
        <w:rPr>
          <w:rStyle w:val="28"/>
          <w:rFonts w:hint="eastAsia"/>
        </w:rPr>
        <w:t>山东地区燃料油市场行情</w:t>
      </w:r>
      <w:r>
        <w:rPr>
          <w:rFonts w:cs="Times New Roman"/>
        </w:rPr>
        <w:tab/>
      </w:r>
      <w:r>
        <w:fldChar w:fldCharType="begin"/>
      </w:r>
      <w:r>
        <w:instrText xml:space="preserve"> PAGEREF _Toc436380341 \h </w:instrText>
      </w:r>
      <w:r>
        <w:fldChar w:fldCharType="separate"/>
      </w:r>
      <w:r>
        <w:t>7</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"_Toc436380342" </w:instrText>
      </w:r>
      <w:r>
        <w:fldChar w:fldCharType="separate"/>
      </w:r>
      <w:r>
        <w:rPr>
          <w:rStyle w:val="28"/>
        </w:rPr>
        <w:t>2.4</w:t>
      </w:r>
      <w:r>
        <w:rPr>
          <w:rStyle w:val="28"/>
          <w:rFonts w:hint="eastAsia"/>
        </w:rPr>
        <w:t>国内各地区燃料油市场价格</w:t>
      </w:r>
      <w:r>
        <w:rPr>
          <w:rFonts w:cs="Times New Roman"/>
        </w:rPr>
        <w:tab/>
      </w:r>
      <w:r>
        <w:fldChar w:fldCharType="begin"/>
      </w:r>
      <w:r>
        <w:instrText xml:space="preserve"> PAGEREF _Toc436380342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"_Toc436380343" </w:instrText>
      </w:r>
      <w:r>
        <w:fldChar w:fldCharType="separate"/>
      </w:r>
      <w:r>
        <w:rPr>
          <w:rStyle w:val="28"/>
        </w:rPr>
        <w:t>2.5</w:t>
      </w:r>
      <w:r>
        <w:rPr>
          <w:rStyle w:val="28"/>
          <w:rFonts w:hint="eastAsia"/>
        </w:rPr>
        <w:t>上海期货交易所收盘数据</w:t>
      </w:r>
      <w:r>
        <w:rPr>
          <w:rFonts w:cs="Times New Roman"/>
        </w:rPr>
        <w:tab/>
      </w:r>
      <w:r>
        <w:fldChar w:fldCharType="begin"/>
      </w:r>
      <w:r>
        <w:instrText xml:space="preserve"> PAGEREF _Toc436380343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"_Toc436380344" </w:instrText>
      </w:r>
      <w:r>
        <w:fldChar w:fldCharType="separate"/>
      </w:r>
      <w:r>
        <w:rPr>
          <w:rStyle w:val="28"/>
        </w:rPr>
        <w:t>2.6</w:t>
      </w:r>
      <w:r>
        <w:rPr>
          <w:rStyle w:val="28"/>
          <w:rFonts w:hint="eastAsia"/>
        </w:rPr>
        <w:t>上海期货交易所收盘报告</w:t>
      </w:r>
      <w:r>
        <w:rPr>
          <w:rFonts w:cs="Times New Roman"/>
        </w:rPr>
        <w:tab/>
      </w:r>
      <w:r>
        <w:fldChar w:fldCharType="begin"/>
      </w:r>
      <w:r>
        <w:instrText xml:space="preserve"> PAGEREF _Toc436380344 \h </w:instrText>
      </w:r>
      <w:r>
        <w:fldChar w:fldCharType="separate"/>
      </w:r>
      <w:r>
        <w:t>9</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"_Toc436380345" </w:instrText>
      </w:r>
      <w:r>
        <w:fldChar w:fldCharType="separate"/>
      </w:r>
      <w:r>
        <w:rPr>
          <w:rStyle w:val="28"/>
          <w:rFonts w:hint="eastAsia"/>
        </w:rPr>
        <w:t>三、国内燃料油船期预报</w:t>
      </w:r>
      <w:r>
        <w:rPr>
          <w:rFonts w:cs="Times New Roman"/>
        </w:rPr>
        <w:tab/>
      </w:r>
      <w:r>
        <w:fldChar w:fldCharType="begin"/>
      </w:r>
      <w:r>
        <w:instrText xml:space="preserve"> PAGEREF _Toc436380345 \h </w:instrText>
      </w:r>
      <w:r>
        <w:fldChar w:fldCharType="separate"/>
      </w:r>
      <w:r>
        <w:t>9</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"_Toc436380346" </w:instrText>
      </w:r>
      <w:r>
        <w:fldChar w:fldCharType="separate"/>
      </w:r>
      <w:r>
        <w:rPr>
          <w:rStyle w:val="28"/>
        </w:rPr>
        <w:t xml:space="preserve">3.1 </w:t>
      </w:r>
      <w:r>
        <w:rPr>
          <w:rStyle w:val="28"/>
          <w:rFonts w:hint="eastAsia"/>
        </w:rPr>
        <w:t>华南燃料油船期预报</w:t>
      </w:r>
      <w:r>
        <w:rPr>
          <w:rFonts w:cs="Times New Roman"/>
        </w:rPr>
        <w:tab/>
      </w:r>
      <w:r>
        <w:fldChar w:fldCharType="begin"/>
      </w:r>
      <w:r>
        <w:instrText xml:space="preserve"> PAGEREF _Toc436380346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"_Toc436380347" </w:instrText>
      </w:r>
      <w:r>
        <w:fldChar w:fldCharType="separate"/>
      </w:r>
      <w:r>
        <w:rPr>
          <w:rStyle w:val="28"/>
        </w:rPr>
        <w:t>3.2</w:t>
      </w:r>
      <w:r>
        <w:rPr>
          <w:rFonts w:ascii="Times New Roman" w:hAnsi="Times New Roman" w:cs="Times New Roman"/>
          <w:kern w:val="2"/>
          <w:sz w:val="21"/>
          <w:szCs w:val="21"/>
        </w:rPr>
        <w:tab/>
      </w:r>
      <w:r>
        <w:rPr>
          <w:rStyle w:val="28"/>
          <w:rFonts w:hint="eastAsia"/>
        </w:rPr>
        <w:t>华东燃料油船期预报</w:t>
      </w:r>
      <w:r>
        <w:rPr>
          <w:rFonts w:cs="Times New Roman"/>
        </w:rPr>
        <w:tab/>
      </w:r>
      <w:r>
        <w:fldChar w:fldCharType="begin"/>
      </w:r>
      <w:r>
        <w:instrText xml:space="preserve"> PAGEREF _Toc436380347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"_Toc436380348" </w:instrText>
      </w:r>
      <w:r>
        <w:fldChar w:fldCharType="separate"/>
      </w:r>
      <w:r>
        <w:rPr>
          <w:rStyle w:val="28"/>
        </w:rPr>
        <w:t>3.3</w:t>
      </w:r>
      <w:r>
        <w:rPr>
          <w:rFonts w:ascii="Times New Roman" w:hAnsi="Times New Roman" w:cs="Times New Roman"/>
          <w:kern w:val="2"/>
          <w:sz w:val="21"/>
          <w:szCs w:val="21"/>
        </w:rPr>
        <w:tab/>
      </w:r>
      <w:r>
        <w:rPr>
          <w:rStyle w:val="28"/>
          <w:rFonts w:hint="eastAsia"/>
        </w:rPr>
        <w:t>山东燃料油船期预报</w:t>
      </w:r>
      <w:r>
        <w:rPr>
          <w:rFonts w:cs="Times New Roman"/>
        </w:rPr>
        <w:tab/>
      </w:r>
      <w:r>
        <w:fldChar w:fldCharType="begin"/>
      </w:r>
      <w:r>
        <w:instrText xml:space="preserve"> PAGEREF _Toc436380348 \h </w:instrText>
      </w:r>
      <w:r>
        <w:fldChar w:fldCharType="separate"/>
      </w:r>
      <w:r>
        <w:t>10</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"_Toc436380349" </w:instrText>
      </w:r>
      <w:r>
        <w:fldChar w:fldCharType="separate"/>
      </w:r>
      <w:r>
        <w:rPr>
          <w:rStyle w:val="28"/>
        </w:rPr>
        <w:t>3.4</w:t>
      </w:r>
      <w:r>
        <w:rPr>
          <w:rFonts w:ascii="Times New Roman" w:hAnsi="Times New Roman" w:cs="Times New Roman"/>
          <w:kern w:val="2"/>
          <w:sz w:val="21"/>
          <w:szCs w:val="21"/>
        </w:rPr>
        <w:tab/>
      </w:r>
      <w:r>
        <w:rPr>
          <w:rStyle w:val="28"/>
          <w:rFonts w:hint="eastAsia"/>
        </w:rPr>
        <w:t>山东原油船期预报</w:t>
      </w:r>
      <w:r>
        <w:rPr>
          <w:rFonts w:cs="Times New Roman"/>
        </w:rPr>
        <w:tab/>
      </w:r>
      <w:r>
        <w:fldChar w:fldCharType="begin"/>
      </w:r>
      <w:r>
        <w:instrText xml:space="preserve"> PAGEREF _Toc436380349 \h </w:instrText>
      </w:r>
      <w:r>
        <w:fldChar w:fldCharType="separate"/>
      </w:r>
      <w:r>
        <w:t>10</w:t>
      </w:r>
      <w:r>
        <w:fldChar w:fldCharType="end"/>
      </w:r>
      <w:r>
        <w:fldChar w:fldCharType="end"/>
      </w:r>
    </w:p>
    <w:p>
      <w:pPr>
        <w:pStyle w:val="2"/>
        <w:tabs>
          <w:tab w:val="left" w:pos="2100"/>
        </w:tabs>
        <w:spacing w:before="120" w:after="0" w:line="240" w:lineRule="auto"/>
        <w:rPr>
          <w:rFonts w:cs="Times New Roman"/>
        </w:rPr>
      </w:pPr>
      <w:r>
        <w:fldChar w:fldCharType="end"/>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2"/>
        <w:tabs>
          <w:tab w:val="left" w:pos="2100"/>
        </w:tabs>
        <w:spacing w:before="120" w:after="0" w:line="240" w:lineRule="auto"/>
        <w:rPr>
          <w:rFonts w:cs="Times New Roman"/>
          <w:color w:val="FF0000"/>
          <w:sz w:val="28"/>
          <w:szCs w:val="28"/>
        </w:rPr>
      </w:pPr>
      <w:bookmarkStart w:id="1" w:name="_Toc436380329"/>
      <w:r>
        <w:rPr>
          <w:rFonts w:hint="eastAsia"/>
          <w:color w:val="FF0000"/>
          <w:sz w:val="28"/>
          <w:szCs w:val="28"/>
        </w:rPr>
        <w:t>一、</w:t>
      </w:r>
      <w:bookmarkEnd w:id="0"/>
      <w:r>
        <w:rPr>
          <w:rFonts w:hint="eastAsia"/>
          <w:color w:val="FF0000"/>
          <w:sz w:val="28"/>
          <w:szCs w:val="28"/>
        </w:rPr>
        <w:t>国际燃料油市场行情</w:t>
      </w:r>
      <w:bookmarkEnd w:id="1"/>
    </w:p>
    <w:p>
      <w:pPr>
        <w:pStyle w:val="3"/>
        <w:spacing w:before="120" w:after="120" w:line="240" w:lineRule="auto"/>
        <w:ind w:right="480"/>
        <w:rPr>
          <w:rFonts w:ascii="宋体" w:hAnsi="宋体" w:eastAsia="宋体" w:cs="Times New Roman"/>
          <w:sz w:val="24"/>
          <w:szCs w:val="24"/>
        </w:rPr>
      </w:pPr>
      <w:bookmarkStart w:id="2" w:name="_Toc123098827"/>
      <w:bookmarkStart w:id="3" w:name="_Toc111024839"/>
      <w:bookmarkStart w:id="4" w:name="_Toc436380330"/>
      <w:bookmarkStart w:id="5" w:name="_Toc283387075"/>
      <w:bookmarkStart w:id="6" w:name="_Toc164833123"/>
      <w:bookmarkStart w:id="7" w:name="_Toc120023864"/>
      <w:bookmarkStart w:id="8" w:name="_Toc122509008"/>
      <w:bookmarkStart w:id="9" w:name="_Toc152134469"/>
      <w:r>
        <w:rPr>
          <w:rFonts w:ascii="宋体" w:hAnsi="宋体" w:eastAsia="宋体" w:cs="宋体"/>
          <w:sz w:val="24"/>
          <w:szCs w:val="24"/>
        </w:rPr>
        <w:t xml:space="preserve">1.1  </w:t>
      </w:r>
      <w:r>
        <w:rPr>
          <w:rFonts w:hint="eastAsia" w:ascii="宋体" w:hAnsi="宋体" w:eastAsia="宋体" w:cs="宋体"/>
          <w:sz w:val="24"/>
          <w:szCs w:val="24"/>
        </w:rPr>
        <w:t>国际燃料油市场动态</w:t>
      </w:r>
      <w:bookmarkEnd w:id="2"/>
      <w:bookmarkEnd w:id="3"/>
      <w:bookmarkEnd w:id="4"/>
      <w:bookmarkEnd w:id="5"/>
      <w:bookmarkEnd w:id="6"/>
      <w:bookmarkEnd w:id="7"/>
      <w:bookmarkEnd w:id="8"/>
      <w:bookmarkEnd w:id="9"/>
    </w:p>
    <w:p>
      <w:pPr>
        <w:rPr>
          <w:rFonts w:hint="eastAsia"/>
          <w:sz w:val="21"/>
          <w:szCs w:val="21"/>
        </w:rPr>
      </w:pPr>
      <w:r>
        <w:rPr>
          <w:rFonts w:hint="eastAsia" w:cs="宋体"/>
          <w:kern w:val="0"/>
          <w:sz w:val="21"/>
          <w:szCs w:val="21"/>
          <w:lang w:val="en-US" w:eastAsia="zh-CN" w:bidi="ar"/>
        </w:rPr>
        <w:t xml:space="preserve">    </w:t>
      </w:r>
      <w:r>
        <w:rPr>
          <w:rFonts w:hint="eastAsia"/>
          <w:sz w:val="21"/>
          <w:szCs w:val="21"/>
        </w:rPr>
        <w:t xml:space="preserve">周五，近月东方-西方套利价差升至约四个月高位，因新加坡供给下降之际供应商寻求锁定6月替代船货。窗口交易的需求强劲，而且对船用燃料油的需求也很坚挺。 </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但贸易商表示，西北欧海运费高企，在目前的价格水平，套利活动将会有限。6月东方-西方价差升至1月13日以来的最高每吨29.75美元，比前一日高出0.50美元。 </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行业消息人士称，Koch周四租用了MT Artois号油轮，5月30日之前从鹿特丹运输最多27万吨燃料油前往新加坡。 </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6月燃料油黏度差跌至每吨9.25美元，脱离了前一日创下的约两年高位。因担心调和原料供应吃紧而对低粘度燃料油买兴的上升本周提振了燃料油黏度差。 </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周五窗口交易报告有八笔船货交易，总计12万吨380cst燃料油和4万吨180cst燃料油成交。周五的成交量是4月25日以来最高的。兴隆是今天主要的买家，买走6万吨380cst燃料油和2万吨180cst燃料油。自5月初以来总计有26万吨380cst燃料油和12万吨180cst燃料油成交。</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委内瑞拉国家石油公司PDVSA预期本周对进口一船50万桶最大含硫量1%的减压柴油的标书决标。</w:t>
      </w:r>
    </w:p>
    <w:p>
      <w:pPr>
        <w:rPr>
          <w:rFonts w:hint="eastAsia"/>
          <w:sz w:val="21"/>
          <w:szCs w:val="21"/>
        </w:rPr>
      </w:pPr>
    </w:p>
    <w:p>
      <w:pPr>
        <w:rPr>
          <w:rFonts w:hint="eastAsia"/>
          <w:sz w:val="21"/>
          <w:szCs w:val="21"/>
        </w:rPr>
      </w:pPr>
      <w:r>
        <w:rPr>
          <w:rFonts w:hint="eastAsia"/>
          <w:sz w:val="21"/>
          <w:szCs w:val="21"/>
        </w:rPr>
        <w:t xml:space="preserve">    荷兰咨询机构PJK International的数据显示，截至5月4日的一周阿姆斯特丹-鹿特丹-安特卫普地区的燃料油库存较前一周下降11%或12.6万吨至104.7万吨。燃料油库存下降是因为两艘超级油轮装载燃料油至新加坡。另外，还有一定数量的燃料油也在同一日时间前往西非市场。</w:t>
      </w:r>
    </w:p>
    <w:p>
      <w:pPr>
        <w:rPr>
          <w:rFonts w:hint="eastAsia"/>
          <w:sz w:val="21"/>
          <w:szCs w:val="21"/>
        </w:rPr>
      </w:pPr>
    </w:p>
    <w:p>
      <w:pPr>
        <w:rPr>
          <w:rFonts w:hint="eastAsia"/>
          <w:sz w:val="21"/>
          <w:szCs w:val="21"/>
        </w:rPr>
      </w:pPr>
      <w:r>
        <w:rPr>
          <w:rFonts w:hint="eastAsia"/>
          <w:sz w:val="21"/>
          <w:szCs w:val="21"/>
        </w:rPr>
        <w:t xml:space="preserve">    新加坡现货180cst市场，摩科瑞从嘉能可以每吨290美元购买了2万吨5月22-26日装180cst燃料油船货，兴隆从壳牌以每吨291.25美元购买了2万吨5月29-6月2日装180cst燃料油船货。</w:t>
      </w:r>
    </w:p>
    <w:p>
      <w:pPr>
        <w:rPr>
          <w:rFonts w:hint="eastAsia"/>
          <w:sz w:val="21"/>
          <w:szCs w:val="21"/>
        </w:rPr>
      </w:pPr>
    </w:p>
    <w:p>
      <w:pPr>
        <w:rPr>
          <w:rFonts w:hint="eastAsia"/>
          <w:sz w:val="21"/>
          <w:szCs w:val="21"/>
        </w:rPr>
      </w:pPr>
      <w:r>
        <w:rPr>
          <w:rFonts w:hint="eastAsia"/>
          <w:sz w:val="21"/>
          <w:szCs w:val="21"/>
        </w:rPr>
        <w:t xml:space="preserve">    现货380cst市场，兴隆从Koch以每吨282美元各购买2万吨5月25-29日和5月30-6月3日装380cst燃料油船货，从P66公司以每吨282.25美元购买了2万吨5月22-26日装380cst燃料油船货。摩科瑞公司从壳牌以MOPS+6美元/吨的价格购买了2万吨5月20-24日装380cst船货，从道达尔以MOPS+3美元/吨的价格购买了2万吨5月25-29日装380cst燃料油船货。Coastal从维多以每吨282.5美元购买了2万吨5月31-6月4日装380cst燃料油船货。</w:t>
      </w:r>
    </w:p>
    <w:p>
      <w:pPr>
        <w:pStyle w:val="2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168" w:lineRule="auto"/>
        <w:ind w:left="0" w:leftChars="0" w:right="0" w:rightChars="0"/>
        <w:jc w:val="left"/>
        <w:textAlignment w:val="auto"/>
        <w:outlineLvl w:val="9"/>
      </w:pPr>
    </w:p>
    <w:p>
      <w:pPr>
        <w:spacing w:before="100" w:beforeAutospacing="1" w:after="100" w:afterAutospacing="1"/>
        <w:ind w:firstLine="420"/>
        <w:rPr>
          <w:rFonts w:hint="eastAsia"/>
          <w:sz w:val="21"/>
          <w:szCs w:val="21"/>
        </w:rPr>
      </w:pPr>
    </w:p>
    <w:p>
      <w:pPr>
        <w:spacing w:before="100" w:beforeAutospacing="1" w:after="100" w:afterAutospacing="1"/>
        <w:rPr>
          <w:rFonts w:cs="Times New Roman"/>
          <w:sz w:val="21"/>
          <w:szCs w:val="21"/>
        </w:rPr>
      </w:pPr>
    </w:p>
    <w:p>
      <w:pPr>
        <w:pStyle w:val="3"/>
        <w:numPr>
          <w:ilvl w:val="1"/>
          <w:numId w:val="1"/>
        </w:numPr>
        <w:spacing w:before="120" w:after="120" w:line="240" w:lineRule="auto"/>
        <w:rPr>
          <w:rFonts w:ascii="宋体" w:hAnsi="宋体" w:eastAsia="宋体" w:cs="Times New Roman"/>
          <w:sz w:val="24"/>
          <w:szCs w:val="24"/>
        </w:rPr>
      </w:pPr>
      <w:bookmarkStart w:id="10" w:name="_Toc436380331"/>
      <w:bookmarkStart w:id="11" w:name="_Toc152134470"/>
      <w:bookmarkStart w:id="12" w:name="_Toc283387076"/>
      <w:bookmarkStart w:id="13" w:name="_Toc164833124"/>
      <w:r>
        <w:rPr>
          <w:rFonts w:hint="eastAsia" w:ascii="宋体" w:hAnsi="宋体" w:eastAsia="宋体" w:cs="宋体"/>
          <w:sz w:val="24"/>
          <w:szCs w:val="24"/>
        </w:rPr>
        <w:t>新加坡燃料油市场价格</w:t>
      </w:r>
      <w:bookmarkEnd w:id="10"/>
      <w:bookmarkEnd w:id="11"/>
      <w:bookmarkEnd w:id="12"/>
      <w:bookmarkEnd w:id="13"/>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1643"/>
        <w:gridCol w:w="1702"/>
        <w:gridCol w:w="1781"/>
        <w:gridCol w:w="1702"/>
        <w:gridCol w:w="1700"/>
      </w:tblGrid>
      <w:tr>
        <w:tblPrEx>
          <w:tblLayout w:type="fixed"/>
          <w:tblCellMar>
            <w:top w:w="0" w:type="dxa"/>
            <w:left w:w="108" w:type="dxa"/>
            <w:bottom w:w="0" w:type="dxa"/>
            <w:right w:w="108" w:type="dxa"/>
          </w:tblCellMar>
        </w:tblPrEx>
        <w:trPr>
          <w:trHeight w:val="285" w:hRule="atLeast"/>
        </w:trPr>
        <w:tc>
          <w:tcPr>
            <w:tcW w:w="1643"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1702"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180cst</w:t>
            </w:r>
          </w:p>
        </w:tc>
        <w:tc>
          <w:tcPr>
            <w:tcW w:w="178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380cst</w:t>
            </w:r>
          </w:p>
        </w:tc>
        <w:tc>
          <w:tcPr>
            <w:tcW w:w="1702"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中硫</w:t>
            </w:r>
            <w:r>
              <w:rPr>
                <w:b/>
                <w:bCs/>
                <w:color w:val="000000"/>
                <w:sz w:val="20"/>
                <w:szCs w:val="20"/>
              </w:rPr>
              <w:t>180cst</w:t>
            </w:r>
          </w:p>
        </w:tc>
        <w:tc>
          <w:tcPr>
            <w:tcW w:w="1700"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b/>
                <w:bCs/>
                <w:color w:val="000000"/>
                <w:sz w:val="20"/>
                <w:szCs w:val="20"/>
              </w:rPr>
              <w:t>lswr</w:t>
            </w:r>
            <w:r>
              <w:rPr>
                <w:rFonts w:hint="eastAsia"/>
                <w:b/>
                <w:bCs/>
                <w:color w:val="000000"/>
                <w:sz w:val="20"/>
                <w:szCs w:val="20"/>
              </w:rPr>
              <w:t>①</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color w:val="000000"/>
                <w:sz w:val="20"/>
                <w:szCs w:val="20"/>
              </w:rPr>
            </w:pPr>
            <w:r>
              <w:rPr>
                <w:rFonts w:hint="eastAsia"/>
                <w:color w:val="000000"/>
                <w:sz w:val="20"/>
                <w:szCs w:val="20"/>
              </w:rPr>
              <w:t>今日贴水</w:t>
            </w:r>
          </w:p>
        </w:tc>
        <w:tc>
          <w:tcPr>
            <w:tcW w:w="1702"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 xml:space="preserve">3.03/3.07 </w:t>
            </w:r>
          </w:p>
        </w:tc>
        <w:tc>
          <w:tcPr>
            <w:tcW w:w="1781"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 xml:space="preserve"> 3.24/3.28</w:t>
            </w:r>
          </w:p>
        </w:tc>
        <w:tc>
          <w:tcPr>
            <w:tcW w:w="1702" w:type="dxa"/>
            <w:tcBorders>
              <w:top w:val="nil"/>
              <w:left w:val="nil"/>
              <w:bottom w:val="single" w:color="auto" w:sz="4" w:space="0"/>
              <w:right w:val="single" w:color="auto" w:sz="4" w:space="0"/>
            </w:tcBorders>
            <w:shd w:val="clear" w:color="auto" w:fill="99CCFF"/>
            <w:textDirection w:val="lrTb"/>
            <w:vAlign w:val="center"/>
          </w:tcPr>
          <w:p>
            <w:pPr>
              <w:jc w:val="center"/>
              <w:rPr>
                <w:rFonts w:cs="Times New Roman"/>
                <w:color w:val="000000"/>
                <w:sz w:val="20"/>
                <w:szCs w:val="20"/>
              </w:rPr>
            </w:pPr>
          </w:p>
        </w:tc>
        <w:tc>
          <w:tcPr>
            <w:tcW w:w="1700"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6.19/6.23</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290.920</w:t>
            </w:r>
          </w:p>
        </w:tc>
        <w:tc>
          <w:tcPr>
            <w:tcW w:w="178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282.780</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297.47 </w:t>
            </w:r>
          </w:p>
        </w:tc>
        <w:tc>
          <w:tcPr>
            <w:tcW w:w="170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48.540</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300.090</w:t>
            </w:r>
          </w:p>
        </w:tc>
        <w:tc>
          <w:tcPr>
            <w:tcW w:w="1781"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290.320</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306.84</w:t>
            </w:r>
          </w:p>
        </w:tc>
        <w:tc>
          <w:tcPr>
            <w:tcW w:w="1700"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49.820</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5月3日</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301.33</w:t>
            </w:r>
          </w:p>
        </w:tc>
        <w:tc>
          <w:tcPr>
            <w:tcW w:w="1781"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292.24</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308.11</w:t>
            </w:r>
          </w:p>
        </w:tc>
        <w:tc>
          <w:tcPr>
            <w:tcW w:w="1700"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50.08</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2</w:t>
            </w:r>
            <w:r>
              <w:rPr>
                <w:rFonts w:hint="eastAsia"/>
                <w:sz w:val="20"/>
                <w:szCs w:val="20"/>
              </w:rPr>
              <w:t>日</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304.23</w:t>
            </w:r>
          </w:p>
        </w:tc>
        <w:tc>
          <w:tcPr>
            <w:tcW w:w="1781"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296.52</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311.08</w:t>
            </w:r>
          </w:p>
        </w:tc>
        <w:tc>
          <w:tcPr>
            <w:tcW w:w="1700"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50.66</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1</w:t>
            </w:r>
            <w:r>
              <w:rPr>
                <w:rFonts w:hint="eastAsia"/>
                <w:sz w:val="20"/>
                <w:szCs w:val="20"/>
              </w:rPr>
              <w:t>日</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781"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700"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r>
    </w:tbl>
    <w:p>
      <w:pPr>
        <w:rPr>
          <w:rFonts w:cs="Times New Roman"/>
        </w:rPr>
      </w:pPr>
    </w:p>
    <w:p>
      <w:pPr>
        <w:rPr>
          <w:rFonts w:cs="Times New Roman"/>
        </w:rPr>
      </w:pPr>
    </w:p>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4" w:name="_Toc436380332"/>
      <w:bookmarkStart w:id="15" w:name="_Toc164833125"/>
      <w:r>
        <w:rPr>
          <w:rFonts w:hint="eastAsia" w:ascii="宋体" w:hAnsi="宋体" w:eastAsia="宋体" w:cs="宋体"/>
          <w:sz w:val="24"/>
          <w:szCs w:val="24"/>
        </w:rPr>
        <w:t>新加坡燃料油纸货价格</w:t>
      </w:r>
      <w:bookmarkEnd w:id="14"/>
    </w:p>
    <w:p>
      <w:pPr>
        <w:rPr>
          <w:rFonts w:cs="Times New Roman"/>
          <w:b/>
          <w:bCs/>
        </w:rPr>
      </w:pPr>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1524"/>
        <w:gridCol w:w="1687"/>
        <w:gridCol w:w="1706"/>
        <w:gridCol w:w="1941"/>
        <w:gridCol w:w="1670"/>
      </w:tblGrid>
      <w:tr>
        <w:tblPrEx>
          <w:tblLayout w:type="fixed"/>
          <w:tblCellMar>
            <w:top w:w="0" w:type="dxa"/>
            <w:left w:w="108" w:type="dxa"/>
            <w:bottom w:w="0" w:type="dxa"/>
            <w:right w:w="108" w:type="dxa"/>
          </w:tblCellMar>
        </w:tblPrEx>
        <w:trPr>
          <w:trHeight w:val="285" w:hRule="atLeast"/>
        </w:trPr>
        <w:tc>
          <w:tcPr>
            <w:tcW w:w="1524" w:type="dxa"/>
            <w:vMerge w:val="restart"/>
            <w:tcBorders>
              <w:top w:val="single" w:color="auto" w:sz="4" w:space="0"/>
              <w:left w:val="single" w:color="auto" w:sz="4" w:space="0"/>
              <w:bottom w:val="single" w:color="000000"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3393" w:type="dxa"/>
            <w:gridSpan w:val="2"/>
            <w:tcBorders>
              <w:top w:val="single" w:color="auto" w:sz="4" w:space="0"/>
              <w:left w:val="nil"/>
              <w:bottom w:val="single" w:color="auto" w:sz="4" w:space="0"/>
              <w:right w:val="single" w:color="000000"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180cst</w:t>
            </w:r>
          </w:p>
        </w:tc>
        <w:tc>
          <w:tcPr>
            <w:tcW w:w="3611" w:type="dxa"/>
            <w:gridSpan w:val="2"/>
            <w:tcBorders>
              <w:top w:val="single" w:color="auto" w:sz="4" w:space="0"/>
              <w:left w:val="nil"/>
              <w:bottom w:val="single" w:color="auto" w:sz="4" w:space="0"/>
              <w:right w:val="single" w:color="000000"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380cst</w:t>
            </w:r>
          </w:p>
        </w:tc>
      </w:tr>
      <w:tr>
        <w:tblPrEx>
          <w:tblLayout w:type="fixed"/>
          <w:tblCellMar>
            <w:top w:w="0" w:type="dxa"/>
            <w:left w:w="108" w:type="dxa"/>
            <w:bottom w:w="0" w:type="dxa"/>
            <w:right w:w="108" w:type="dxa"/>
          </w:tblCellMar>
        </w:tblPrEx>
        <w:trPr>
          <w:trHeight w:val="405" w:hRule="atLeast"/>
        </w:trPr>
        <w:tc>
          <w:tcPr>
            <w:tcW w:w="1524" w:type="dxa"/>
            <w:vMerge w:val="continue"/>
            <w:tcBorders>
              <w:top w:val="single" w:color="auto" w:sz="4" w:space="0"/>
              <w:left w:val="single" w:color="auto" w:sz="4" w:space="0"/>
              <w:bottom w:val="single" w:color="000000" w:sz="4" w:space="0"/>
              <w:right w:val="single" w:color="auto" w:sz="4" w:space="0"/>
            </w:tcBorders>
            <w:vAlign w:val="center"/>
          </w:tcPr>
          <w:p>
            <w:pPr>
              <w:rPr>
                <w:rFonts w:cs="Times New Roman"/>
                <w:b/>
                <w:bCs/>
                <w:color w:val="000000"/>
                <w:sz w:val="20"/>
                <w:szCs w:val="20"/>
              </w:rPr>
            </w:pPr>
          </w:p>
        </w:tc>
        <w:tc>
          <w:tcPr>
            <w:tcW w:w="1687"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b/>
                <w:bCs/>
                <w:color w:val="000000"/>
                <w:sz w:val="20"/>
                <w:szCs w:val="20"/>
              </w:rPr>
              <w:t>5</w:t>
            </w:r>
            <w:r>
              <w:rPr>
                <w:rFonts w:hint="eastAsia"/>
                <w:b/>
                <w:bCs/>
                <w:color w:val="000000"/>
                <w:sz w:val="20"/>
                <w:szCs w:val="20"/>
              </w:rPr>
              <w:t>月纸货</w:t>
            </w:r>
          </w:p>
        </w:tc>
        <w:tc>
          <w:tcPr>
            <w:tcW w:w="1706"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b/>
                <w:bCs/>
                <w:color w:val="000000"/>
                <w:sz w:val="20"/>
                <w:szCs w:val="20"/>
              </w:rPr>
              <w:t>6</w:t>
            </w:r>
            <w:r>
              <w:rPr>
                <w:rFonts w:hint="eastAsia"/>
                <w:b/>
                <w:bCs/>
                <w:color w:val="000000"/>
                <w:sz w:val="20"/>
                <w:szCs w:val="20"/>
              </w:rPr>
              <w:t>纸货</w:t>
            </w:r>
          </w:p>
        </w:tc>
        <w:tc>
          <w:tcPr>
            <w:tcW w:w="1941"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b/>
                <w:bCs/>
                <w:color w:val="000000"/>
                <w:sz w:val="20"/>
                <w:szCs w:val="20"/>
              </w:rPr>
              <w:t>5</w:t>
            </w:r>
            <w:r>
              <w:rPr>
                <w:rFonts w:hint="eastAsia"/>
                <w:b/>
                <w:bCs/>
                <w:color w:val="000000"/>
                <w:sz w:val="20"/>
                <w:szCs w:val="20"/>
              </w:rPr>
              <w:t>月纸货</w:t>
            </w:r>
          </w:p>
        </w:tc>
        <w:tc>
          <w:tcPr>
            <w:tcW w:w="1670"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b/>
                <w:bCs/>
                <w:color w:val="000000"/>
                <w:sz w:val="20"/>
                <w:szCs w:val="20"/>
              </w:rPr>
              <w:t>6</w:t>
            </w:r>
            <w:r>
              <w:rPr>
                <w:rFonts w:hint="eastAsia"/>
                <w:b/>
                <w:bCs/>
                <w:color w:val="000000"/>
                <w:sz w:val="20"/>
                <w:szCs w:val="20"/>
              </w:rPr>
              <w:t>月纸货</w:t>
            </w:r>
          </w:p>
        </w:tc>
      </w:tr>
      <w:tr>
        <w:tblPrEx>
          <w:tblLayout w:type="fixed"/>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1687"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0"/>
                <w:szCs w:val="20"/>
                <w:u w:val="none"/>
                <w:lang w:val="en-US" w:eastAsia="zh-CN" w:bidi="ar"/>
              </w:rPr>
              <w:t>285.6</w:t>
            </w:r>
          </w:p>
        </w:tc>
        <w:tc>
          <w:tcPr>
            <w:tcW w:w="1706"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0"/>
                <w:szCs w:val="20"/>
                <w:u w:val="none"/>
                <w:lang w:val="en-US" w:eastAsia="zh-CN" w:bidi="ar"/>
              </w:rPr>
              <w:t>284.1</w:t>
            </w:r>
          </w:p>
        </w:tc>
        <w:tc>
          <w:tcPr>
            <w:tcW w:w="194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277.7</w:t>
            </w:r>
          </w:p>
        </w:tc>
        <w:tc>
          <w:tcPr>
            <w:tcW w:w="167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277</w:t>
            </w:r>
          </w:p>
        </w:tc>
      </w:tr>
      <w:tr>
        <w:tblPrEx>
          <w:tblLayout w:type="fixed"/>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1687" w:type="dxa"/>
            <w:tcBorders>
              <w:top w:val="nil"/>
              <w:left w:val="nil"/>
              <w:bottom w:val="single" w:color="auto" w:sz="4" w:space="0"/>
              <w:right w:val="single" w:color="auto" w:sz="4" w:space="0"/>
            </w:tcBorders>
            <w:shd w:val="clear" w:color="FFFFFF" w:fill="FFFFFF"/>
            <w:vAlign w:val="center"/>
          </w:tcPr>
          <w:p>
            <w:pPr>
              <w:pStyle w:val="23"/>
              <w:keepNext w:val="0"/>
              <w:keepLines w:val="0"/>
              <w:widowControl/>
              <w:suppressLineNumbers w:val="0"/>
              <w:wordWrap w:val="0"/>
              <w:spacing w:line="288" w:lineRule="auto"/>
              <w:jc w:val="center"/>
              <w:rPr>
                <w:rFonts w:hint="eastAsia" w:ascii="宋体" w:hAnsi="宋体" w:eastAsia="宋体" w:cs="宋体"/>
                <w:sz w:val="21"/>
                <w:szCs w:val="21"/>
              </w:rPr>
            </w:pPr>
            <w:r>
              <w:rPr>
                <w:rFonts w:hint="eastAsia" w:ascii="宋体" w:hAnsi="宋体" w:eastAsia="宋体" w:cs="宋体"/>
                <w:sz w:val="21"/>
                <w:szCs w:val="21"/>
              </w:rPr>
              <w:t>293.25</w:t>
            </w:r>
          </w:p>
        </w:tc>
        <w:tc>
          <w:tcPr>
            <w:tcW w:w="1706" w:type="dxa"/>
            <w:tcBorders>
              <w:top w:val="nil"/>
              <w:left w:val="nil"/>
              <w:bottom w:val="single" w:color="auto" w:sz="4" w:space="0"/>
              <w:right w:val="single" w:color="auto" w:sz="4" w:space="0"/>
            </w:tcBorders>
            <w:shd w:val="clear" w:color="FFFFFF" w:fill="FFFFFF"/>
            <w:vAlign w:val="center"/>
          </w:tcPr>
          <w:p>
            <w:pPr>
              <w:pStyle w:val="23"/>
              <w:keepNext w:val="0"/>
              <w:keepLines w:val="0"/>
              <w:widowControl/>
              <w:suppressLineNumbers w:val="0"/>
              <w:wordWrap w:val="0"/>
              <w:spacing w:line="288" w:lineRule="auto"/>
              <w:jc w:val="center"/>
              <w:rPr>
                <w:rFonts w:hint="eastAsia" w:ascii="宋体" w:hAnsi="宋体" w:eastAsia="宋体" w:cs="宋体"/>
                <w:sz w:val="21"/>
                <w:szCs w:val="21"/>
              </w:rPr>
            </w:pPr>
            <w:r>
              <w:rPr>
                <w:rFonts w:hint="eastAsia" w:ascii="宋体" w:hAnsi="宋体" w:eastAsia="宋体" w:cs="宋体"/>
                <w:sz w:val="21"/>
                <w:szCs w:val="21"/>
              </w:rPr>
              <w:t>291.75</w:t>
            </w:r>
          </w:p>
        </w:tc>
        <w:tc>
          <w:tcPr>
            <w:tcW w:w="1941"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285.2</w:t>
            </w:r>
          </w:p>
        </w:tc>
        <w:tc>
          <w:tcPr>
            <w:tcW w:w="1670"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284.55</w:t>
            </w:r>
          </w:p>
        </w:tc>
      </w:tr>
      <w:tr>
        <w:tblPrEx>
          <w:tblLayout w:type="fixed"/>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5月3日</w:t>
            </w:r>
          </w:p>
        </w:tc>
        <w:tc>
          <w:tcPr>
            <w:tcW w:w="1687" w:type="dxa"/>
            <w:tcBorders>
              <w:top w:val="nil"/>
              <w:left w:val="nil"/>
              <w:bottom w:val="single" w:color="auto" w:sz="4" w:space="0"/>
              <w:right w:val="single" w:color="auto" w:sz="4" w:space="0"/>
            </w:tcBorders>
            <w:shd w:val="clear" w:color="FFFFFF" w:fill="FFFFFF"/>
            <w:vAlign w:val="center"/>
          </w:tcPr>
          <w:p>
            <w:pPr>
              <w:pStyle w:val="23"/>
              <w:keepNext w:val="0"/>
              <w:keepLines w:val="0"/>
              <w:widowControl/>
              <w:suppressLineNumbers w:val="0"/>
              <w:wordWrap w:val="0"/>
              <w:spacing w:line="288" w:lineRule="auto"/>
              <w:jc w:val="center"/>
              <w:rPr>
                <w:color w:val="000000"/>
                <w:sz w:val="20"/>
                <w:szCs w:val="20"/>
              </w:rPr>
            </w:pPr>
            <w:r>
              <w:rPr>
                <w:rFonts w:hint="eastAsia" w:ascii="宋体" w:hAnsi="宋体" w:eastAsia="宋体" w:cs="宋体"/>
                <w:sz w:val="21"/>
                <w:szCs w:val="21"/>
              </w:rPr>
              <w:t>295.75</w:t>
            </w:r>
          </w:p>
        </w:tc>
        <w:tc>
          <w:tcPr>
            <w:tcW w:w="1706" w:type="dxa"/>
            <w:tcBorders>
              <w:top w:val="nil"/>
              <w:left w:val="nil"/>
              <w:bottom w:val="single" w:color="auto" w:sz="4" w:space="0"/>
              <w:right w:val="single" w:color="auto" w:sz="4" w:space="0"/>
            </w:tcBorders>
            <w:shd w:val="clear" w:color="FFFFFF" w:fill="FFFFFF"/>
            <w:vAlign w:val="center"/>
          </w:tcPr>
          <w:p>
            <w:pPr>
              <w:pStyle w:val="23"/>
              <w:keepNext w:val="0"/>
              <w:keepLines w:val="0"/>
              <w:widowControl/>
              <w:suppressLineNumbers w:val="0"/>
              <w:wordWrap w:val="0"/>
              <w:spacing w:line="288" w:lineRule="auto"/>
              <w:jc w:val="center"/>
              <w:rPr>
                <w:color w:val="000000"/>
                <w:sz w:val="20"/>
                <w:szCs w:val="20"/>
              </w:rPr>
            </w:pPr>
            <w:r>
              <w:rPr>
                <w:rFonts w:hint="eastAsia" w:ascii="宋体" w:hAnsi="宋体" w:eastAsia="宋体" w:cs="宋体"/>
                <w:sz w:val="21"/>
                <w:szCs w:val="21"/>
              </w:rPr>
              <w:t>294.75</w:t>
            </w:r>
          </w:p>
        </w:tc>
        <w:tc>
          <w:tcPr>
            <w:tcW w:w="1941"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288.2</w:t>
            </w:r>
          </w:p>
        </w:tc>
        <w:tc>
          <w:tcPr>
            <w:tcW w:w="1670"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287.75</w:t>
            </w:r>
          </w:p>
        </w:tc>
      </w:tr>
      <w:tr>
        <w:tblPrEx>
          <w:tblLayout w:type="fixed"/>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2</w:t>
            </w:r>
            <w:r>
              <w:rPr>
                <w:rFonts w:hint="eastAsia"/>
                <w:sz w:val="20"/>
                <w:szCs w:val="20"/>
              </w:rPr>
              <w:t>日</w:t>
            </w:r>
          </w:p>
        </w:tc>
        <w:tc>
          <w:tcPr>
            <w:tcW w:w="1687"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300.75</w:t>
            </w:r>
          </w:p>
        </w:tc>
        <w:tc>
          <w:tcPr>
            <w:tcW w:w="1706"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300.25</w:t>
            </w:r>
          </w:p>
        </w:tc>
        <w:tc>
          <w:tcPr>
            <w:tcW w:w="1941"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293</w:t>
            </w:r>
          </w:p>
        </w:tc>
        <w:tc>
          <w:tcPr>
            <w:tcW w:w="1670"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292.72</w:t>
            </w:r>
          </w:p>
        </w:tc>
      </w:tr>
      <w:tr>
        <w:tblPrEx>
          <w:tblLayout w:type="fixed"/>
          <w:tblCellMar>
            <w:top w:w="0" w:type="dxa"/>
            <w:left w:w="108" w:type="dxa"/>
            <w:bottom w:w="0" w:type="dxa"/>
            <w:right w:w="108" w:type="dxa"/>
          </w:tblCellMar>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1</w:t>
            </w:r>
            <w:r>
              <w:rPr>
                <w:rFonts w:hint="eastAsia"/>
                <w:sz w:val="20"/>
                <w:szCs w:val="20"/>
              </w:rPr>
              <w:t>日</w:t>
            </w:r>
          </w:p>
        </w:tc>
        <w:tc>
          <w:tcPr>
            <w:tcW w:w="1687"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706"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941"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670"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6" w:name="_Toc283387078"/>
      <w:bookmarkStart w:id="17" w:name="_Toc436380333"/>
      <w:r>
        <w:rPr>
          <w:rFonts w:hint="eastAsia" w:ascii="宋体" w:hAnsi="宋体" w:eastAsia="宋体" w:cs="宋体"/>
          <w:sz w:val="24"/>
          <w:szCs w:val="24"/>
        </w:rPr>
        <w:t>新加坡燃料油黄埔到岸价</w:t>
      </w:r>
      <w:bookmarkEnd w:id="16"/>
      <w:bookmarkEnd w:id="17"/>
      <w:r>
        <w:rPr>
          <w:rFonts w:hint="eastAsia" w:ascii="宋体" w:hAnsi="宋体" w:eastAsia="宋体" w:cs="宋体"/>
          <w:sz w:val="24"/>
          <w:szCs w:val="24"/>
        </w:rPr>
        <w:t>格</w:t>
      </w:r>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1045"/>
        <w:gridCol w:w="1885"/>
        <w:gridCol w:w="1885"/>
        <w:gridCol w:w="1828"/>
        <w:gridCol w:w="1885"/>
      </w:tblGrid>
      <w:tr>
        <w:tblPrEx>
          <w:tblLayout w:type="fixed"/>
          <w:tblCellMar>
            <w:top w:w="0" w:type="dxa"/>
            <w:left w:w="108" w:type="dxa"/>
            <w:bottom w:w="0" w:type="dxa"/>
            <w:right w:w="108" w:type="dxa"/>
          </w:tblCellMar>
        </w:tblPrEx>
        <w:trPr>
          <w:trHeight w:val="525" w:hRule="atLeast"/>
        </w:trPr>
        <w:tc>
          <w:tcPr>
            <w:tcW w:w="1045"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p>
        </w:tc>
        <w:tc>
          <w:tcPr>
            <w:tcW w:w="188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180CST</w:t>
            </w:r>
          </w:p>
        </w:tc>
        <w:tc>
          <w:tcPr>
            <w:tcW w:w="188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380CST</w:t>
            </w:r>
          </w:p>
        </w:tc>
        <w:tc>
          <w:tcPr>
            <w:tcW w:w="1828"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 xml:space="preserve">180CST </w:t>
            </w:r>
            <w:r>
              <w:rPr>
                <w:rFonts w:hint="eastAsia"/>
                <w:b/>
                <w:bCs/>
                <w:sz w:val="20"/>
                <w:szCs w:val="20"/>
                <w:lang w:val="en-US" w:eastAsia="zh-CN"/>
              </w:rPr>
              <w:t>6</w:t>
            </w:r>
            <w:r>
              <w:rPr>
                <w:rFonts w:hint="eastAsia"/>
                <w:b/>
                <w:bCs/>
                <w:sz w:val="20"/>
                <w:szCs w:val="20"/>
              </w:rPr>
              <w:t>月纸货</w:t>
            </w:r>
          </w:p>
        </w:tc>
        <w:tc>
          <w:tcPr>
            <w:tcW w:w="188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 xml:space="preserve">180CST </w:t>
            </w:r>
            <w:r>
              <w:rPr>
                <w:rFonts w:hint="eastAsia"/>
                <w:b/>
                <w:bCs/>
                <w:sz w:val="20"/>
                <w:szCs w:val="20"/>
                <w:lang w:val="en-US" w:eastAsia="zh-CN"/>
              </w:rPr>
              <w:t>7</w:t>
            </w:r>
            <w:r>
              <w:rPr>
                <w:rFonts w:hint="eastAsia"/>
                <w:b/>
                <w:bCs/>
                <w:sz w:val="20"/>
                <w:szCs w:val="20"/>
              </w:rPr>
              <w:t>月纸货</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sz w:val="20"/>
                <w:szCs w:val="20"/>
              </w:rPr>
            </w:pPr>
            <w:r>
              <w:rPr>
                <w:rFonts w:hint="eastAsia"/>
                <w:sz w:val="20"/>
                <w:szCs w:val="20"/>
              </w:rPr>
              <w:t>贴水</w:t>
            </w:r>
          </w:p>
        </w:tc>
        <w:tc>
          <w:tcPr>
            <w:tcW w:w="1885"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c>
          <w:tcPr>
            <w:tcW w:w="1885"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c>
          <w:tcPr>
            <w:tcW w:w="1828"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c>
          <w:tcPr>
            <w:tcW w:w="1885"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302.25</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290.25</w:t>
            </w:r>
          </w:p>
        </w:tc>
        <w:tc>
          <w:tcPr>
            <w:tcW w:w="1828"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285.5</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284</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309.5</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299</w:t>
            </w:r>
          </w:p>
        </w:tc>
        <w:tc>
          <w:tcPr>
            <w:tcW w:w="1828"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293.5</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293.5</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5月3日</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313.75</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302.50</w:t>
            </w:r>
          </w:p>
        </w:tc>
        <w:tc>
          <w:tcPr>
            <w:tcW w:w="1828"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299.00</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289.50</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2</w:t>
            </w:r>
            <w:r>
              <w:rPr>
                <w:rFonts w:hint="eastAsia"/>
                <w:sz w:val="20"/>
                <w:szCs w:val="20"/>
              </w:rPr>
              <w:t>日</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无成交</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color w:val="000000"/>
                <w:sz w:val="20"/>
                <w:szCs w:val="20"/>
              </w:rPr>
              <w:t>326.5</w:t>
            </w:r>
          </w:p>
        </w:tc>
        <w:tc>
          <w:tcPr>
            <w:tcW w:w="1828"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无成交</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无成交</w:t>
            </w:r>
          </w:p>
        </w:tc>
      </w:tr>
      <w:tr>
        <w:tblPrEx>
          <w:tblLayout w:type="fixed"/>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1</w:t>
            </w:r>
            <w:r>
              <w:rPr>
                <w:rFonts w:hint="eastAsia"/>
                <w:sz w:val="20"/>
                <w:szCs w:val="20"/>
              </w:rPr>
              <w:t>日</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828"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cs="Times New Roman"/>
                <w:color w:val="000000"/>
                <w:sz w:val="20"/>
                <w:szCs w:val="20"/>
              </w:rPr>
            </w:pPr>
            <w:r>
              <w:rPr>
                <w:rFonts w:hint="eastAsia"/>
                <w:color w:val="000000"/>
                <w:sz w:val="20"/>
                <w:szCs w:val="20"/>
              </w:rPr>
              <w:t>休市</w:t>
            </w:r>
          </w:p>
        </w:tc>
      </w:tr>
    </w:tbl>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8" w:name="_Toc436380334"/>
      <w:r>
        <w:rPr>
          <w:rFonts w:hint="eastAsia" w:ascii="宋体" w:hAnsi="宋体" w:eastAsia="宋体" w:cs="宋体"/>
          <w:sz w:val="24"/>
          <w:szCs w:val="24"/>
        </w:rPr>
        <w:t>韩国燃料油市场价格</w:t>
      </w:r>
      <w:bookmarkEnd w:id="18"/>
    </w:p>
    <w:tbl>
      <w:tblPr>
        <w:tblStyle w:val="29"/>
        <w:tblW w:w="8528" w:type="dxa"/>
        <w:tblInd w:w="-106" w:type="dxa"/>
        <w:tblLayout w:type="fixed"/>
        <w:tblCellMar>
          <w:top w:w="0" w:type="dxa"/>
          <w:left w:w="108" w:type="dxa"/>
          <w:bottom w:w="0" w:type="dxa"/>
          <w:right w:w="108" w:type="dxa"/>
        </w:tblCellMar>
      </w:tblPr>
      <w:tblGrid>
        <w:gridCol w:w="2826"/>
        <w:gridCol w:w="2901"/>
        <w:gridCol w:w="2801"/>
      </w:tblGrid>
      <w:tr>
        <w:tblPrEx>
          <w:tblLayout w:type="fixed"/>
          <w:tblCellMar>
            <w:top w:w="0" w:type="dxa"/>
            <w:left w:w="108" w:type="dxa"/>
            <w:bottom w:w="0" w:type="dxa"/>
            <w:right w:w="108" w:type="dxa"/>
          </w:tblCellMar>
        </w:tblPrEx>
        <w:trPr>
          <w:trHeight w:val="285" w:hRule="atLeast"/>
        </w:trPr>
        <w:tc>
          <w:tcPr>
            <w:tcW w:w="2826"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p>
        </w:tc>
        <w:tc>
          <w:tcPr>
            <w:tcW w:w="290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高硫</w:t>
            </w:r>
            <w:r>
              <w:rPr>
                <w:b/>
                <w:bCs/>
                <w:sz w:val="20"/>
                <w:szCs w:val="20"/>
              </w:rPr>
              <w:t>180cst</w:t>
            </w:r>
          </w:p>
        </w:tc>
        <w:tc>
          <w:tcPr>
            <w:tcW w:w="280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高硫</w:t>
            </w:r>
            <w:r>
              <w:rPr>
                <w:b/>
                <w:bCs/>
                <w:sz w:val="20"/>
                <w:szCs w:val="20"/>
              </w:rPr>
              <w:t>380cst</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今日贴水</w:t>
            </w:r>
          </w:p>
        </w:tc>
        <w:tc>
          <w:tcPr>
            <w:tcW w:w="2901" w:type="dxa"/>
            <w:tcBorders>
              <w:top w:val="nil"/>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b/>
                <w:bCs/>
                <w:sz w:val="20"/>
                <w:szCs w:val="20"/>
              </w:rPr>
              <w:t xml:space="preserve"> 7.25/7.75 </w:t>
            </w:r>
          </w:p>
        </w:tc>
        <w:tc>
          <w:tcPr>
            <w:tcW w:w="2801" w:type="dxa"/>
            <w:tcBorders>
              <w:top w:val="nil"/>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b/>
                <w:bCs/>
                <w:sz w:val="20"/>
                <w:szCs w:val="20"/>
              </w:rPr>
              <w:t xml:space="preserve"> 7.25/7.75 </w:t>
            </w:r>
          </w:p>
        </w:tc>
      </w:tr>
      <w:tr>
        <w:tblPrEx>
          <w:tblLayout w:type="fixed"/>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29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295.37 </w:t>
            </w:r>
          </w:p>
        </w:tc>
        <w:tc>
          <w:tcPr>
            <w:tcW w:w="28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287.23 </w:t>
            </w:r>
          </w:p>
        </w:tc>
      </w:tr>
      <w:tr>
        <w:tblPrEx>
          <w:tblLayout w:type="fixed"/>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2901"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303.78</w:t>
            </w:r>
          </w:p>
        </w:tc>
        <w:tc>
          <w:tcPr>
            <w:tcW w:w="2801"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294.01</w:t>
            </w:r>
          </w:p>
        </w:tc>
      </w:tr>
      <w:tr>
        <w:tblPrEx>
          <w:tblLayout w:type="fixed"/>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5月3日</w:t>
            </w:r>
          </w:p>
        </w:tc>
        <w:tc>
          <w:tcPr>
            <w:tcW w:w="2901" w:type="dxa"/>
            <w:tcBorders>
              <w:top w:val="nil"/>
              <w:left w:val="nil"/>
              <w:bottom w:val="single" w:color="auto" w:sz="4" w:space="0"/>
              <w:right w:val="single" w:color="auto" w:sz="4" w:space="0"/>
            </w:tcBorders>
            <w:shd w:val="clear" w:color="auto"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305.51</w:t>
            </w:r>
          </w:p>
        </w:tc>
        <w:tc>
          <w:tcPr>
            <w:tcW w:w="2801" w:type="dxa"/>
            <w:tcBorders>
              <w:top w:val="nil"/>
              <w:left w:val="nil"/>
              <w:bottom w:val="single" w:color="auto" w:sz="4" w:space="0"/>
              <w:right w:val="single" w:color="auto" w:sz="4" w:space="0"/>
            </w:tcBorders>
            <w:shd w:val="clear" w:color="auto"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296.62</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2</w:t>
            </w:r>
            <w:r>
              <w:rPr>
                <w:rFonts w:hint="eastAsia"/>
                <w:sz w:val="20"/>
                <w:szCs w:val="20"/>
              </w:rPr>
              <w:t>日</w:t>
            </w:r>
          </w:p>
        </w:tc>
        <w:tc>
          <w:tcPr>
            <w:tcW w:w="2901"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color w:val="000000"/>
                <w:sz w:val="20"/>
                <w:szCs w:val="20"/>
              </w:rPr>
              <w:t xml:space="preserve">309.33 </w:t>
            </w:r>
          </w:p>
        </w:tc>
        <w:tc>
          <w:tcPr>
            <w:tcW w:w="2801"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color w:val="000000"/>
                <w:sz w:val="20"/>
                <w:szCs w:val="20"/>
              </w:rPr>
              <w:t xml:space="preserve">301.62 </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1</w:t>
            </w:r>
            <w:r>
              <w:rPr>
                <w:rFonts w:hint="eastAsia"/>
                <w:sz w:val="20"/>
                <w:szCs w:val="20"/>
              </w:rPr>
              <w:t>日</w:t>
            </w:r>
          </w:p>
        </w:tc>
        <w:tc>
          <w:tcPr>
            <w:tcW w:w="2901"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rFonts w:hint="eastAsia"/>
                <w:color w:val="000000"/>
                <w:sz w:val="20"/>
                <w:szCs w:val="20"/>
              </w:rPr>
              <w:t>休市</w:t>
            </w:r>
          </w:p>
        </w:tc>
        <w:tc>
          <w:tcPr>
            <w:tcW w:w="2801"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rFonts w:hint="eastAsia"/>
                <w:color w:val="000000"/>
                <w:sz w:val="20"/>
                <w:szCs w:val="20"/>
              </w:rPr>
              <w:t>休市</w:t>
            </w:r>
          </w:p>
        </w:tc>
      </w:tr>
    </w:tbl>
    <w:p>
      <w:pPr>
        <w:rPr>
          <w:rFonts w:cs="Times New Roman"/>
        </w:rPr>
      </w:pPr>
    </w:p>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9" w:name="_Toc436380335"/>
      <w:r>
        <w:rPr>
          <w:rFonts w:hint="eastAsia" w:ascii="宋体" w:hAnsi="宋体" w:eastAsia="宋体" w:cs="宋体"/>
          <w:sz w:val="24"/>
          <w:szCs w:val="24"/>
        </w:rPr>
        <w:t>阿拉伯湾燃料油市场价格</w:t>
      </w:r>
      <w:bookmarkEnd w:id="19"/>
    </w:p>
    <w:tbl>
      <w:tblPr>
        <w:tblStyle w:val="29"/>
        <w:tblW w:w="8528" w:type="dxa"/>
        <w:tblInd w:w="-106" w:type="dxa"/>
        <w:tblLayout w:type="fixed"/>
        <w:tblCellMar>
          <w:top w:w="0" w:type="dxa"/>
          <w:left w:w="108" w:type="dxa"/>
          <w:bottom w:w="0" w:type="dxa"/>
          <w:right w:w="108" w:type="dxa"/>
        </w:tblCellMar>
      </w:tblPr>
      <w:tblGrid>
        <w:gridCol w:w="2963"/>
        <w:gridCol w:w="2756"/>
        <w:gridCol w:w="2809"/>
      </w:tblGrid>
      <w:tr>
        <w:tblPrEx>
          <w:tblLayout w:type="fixed"/>
          <w:tblCellMar>
            <w:top w:w="0" w:type="dxa"/>
            <w:left w:w="108" w:type="dxa"/>
            <w:bottom w:w="0" w:type="dxa"/>
            <w:right w:w="108" w:type="dxa"/>
          </w:tblCellMar>
        </w:tblPrEx>
        <w:trPr>
          <w:trHeight w:val="282" w:hRule="atLeast"/>
        </w:trPr>
        <w:tc>
          <w:tcPr>
            <w:tcW w:w="2963"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275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180cst</w:t>
            </w:r>
          </w:p>
        </w:tc>
        <w:tc>
          <w:tcPr>
            <w:tcW w:w="2809"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380cst</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color w:val="000000"/>
                <w:sz w:val="20"/>
                <w:szCs w:val="20"/>
              </w:rPr>
            </w:pPr>
            <w:r>
              <w:rPr>
                <w:rFonts w:hint="eastAsia"/>
                <w:color w:val="000000"/>
                <w:sz w:val="20"/>
                <w:szCs w:val="20"/>
              </w:rPr>
              <w:t>今日贴水</w:t>
            </w:r>
          </w:p>
        </w:tc>
        <w:tc>
          <w:tcPr>
            <w:tcW w:w="2756" w:type="dxa"/>
            <w:tcBorders>
              <w:top w:val="nil"/>
              <w:left w:val="nil"/>
              <w:bottom w:val="single" w:color="auto" w:sz="4" w:space="0"/>
              <w:right w:val="single" w:color="auto" w:sz="4" w:space="0"/>
            </w:tcBorders>
            <w:shd w:val="clear" w:color="auto" w:fill="99CCFF"/>
            <w:vAlign w:val="center"/>
          </w:tcPr>
          <w:p>
            <w:pPr>
              <w:jc w:val="center"/>
              <w:rPr>
                <w:rFonts w:cs="Times New Roman"/>
                <w:color w:val="000000"/>
                <w:sz w:val="20"/>
                <w:szCs w:val="20"/>
              </w:rPr>
            </w:pPr>
            <w:r>
              <w:rPr>
                <w:color w:val="000000"/>
                <w:sz w:val="20"/>
                <w:szCs w:val="20"/>
              </w:rPr>
              <w:t xml:space="preserve">  7.</w:t>
            </w:r>
            <w:r>
              <w:rPr>
                <w:rFonts w:hint="eastAsia"/>
                <w:color w:val="000000"/>
                <w:sz w:val="20"/>
                <w:szCs w:val="20"/>
                <w:lang w:val="en-US" w:eastAsia="zh-CN"/>
              </w:rPr>
              <w:t>75</w:t>
            </w:r>
            <w:r>
              <w:rPr>
                <w:color w:val="000000"/>
                <w:sz w:val="20"/>
                <w:szCs w:val="20"/>
              </w:rPr>
              <w:t>/</w:t>
            </w:r>
            <w:r>
              <w:rPr>
                <w:rFonts w:hint="eastAsia"/>
                <w:color w:val="000000"/>
                <w:sz w:val="20"/>
                <w:szCs w:val="20"/>
                <w:lang w:val="en-US" w:eastAsia="zh-CN"/>
              </w:rPr>
              <w:t>8.25</w:t>
            </w:r>
            <w:r>
              <w:rPr>
                <w:color w:val="000000"/>
                <w:sz w:val="20"/>
                <w:szCs w:val="20"/>
              </w:rPr>
              <w:t xml:space="preserve"> </w:t>
            </w:r>
          </w:p>
        </w:tc>
        <w:tc>
          <w:tcPr>
            <w:tcW w:w="2809" w:type="dxa"/>
            <w:tcBorders>
              <w:top w:val="nil"/>
              <w:left w:val="nil"/>
              <w:bottom w:val="single" w:color="auto" w:sz="4" w:space="0"/>
              <w:right w:val="single" w:color="auto" w:sz="4" w:space="0"/>
            </w:tcBorders>
            <w:shd w:val="clear" w:color="auto" w:fill="99CCFF"/>
            <w:vAlign w:val="center"/>
          </w:tcPr>
          <w:p>
            <w:pPr>
              <w:jc w:val="center"/>
              <w:rPr>
                <w:rFonts w:cs="Times New Roman"/>
                <w:color w:val="000000"/>
                <w:sz w:val="20"/>
                <w:szCs w:val="20"/>
              </w:rPr>
            </w:pPr>
            <w:r>
              <w:rPr>
                <w:color w:val="000000"/>
                <w:sz w:val="20"/>
                <w:szCs w:val="20"/>
              </w:rPr>
              <w:t>6.</w:t>
            </w:r>
            <w:r>
              <w:rPr>
                <w:rFonts w:hint="eastAsia"/>
                <w:color w:val="000000"/>
                <w:sz w:val="20"/>
                <w:szCs w:val="20"/>
                <w:lang w:val="en-US" w:eastAsia="zh-CN"/>
              </w:rPr>
              <w:t>75</w:t>
            </w:r>
            <w:r>
              <w:rPr>
                <w:color w:val="000000"/>
                <w:sz w:val="20"/>
                <w:szCs w:val="20"/>
              </w:rPr>
              <w:t>/7.</w:t>
            </w:r>
            <w:r>
              <w:rPr>
                <w:rFonts w:hint="eastAsia"/>
                <w:color w:val="000000"/>
                <w:sz w:val="20"/>
                <w:szCs w:val="20"/>
                <w:lang w:val="en-US" w:eastAsia="zh-CN"/>
              </w:rPr>
              <w:t>25</w:t>
            </w:r>
          </w:p>
        </w:tc>
      </w:tr>
      <w:tr>
        <w:tblPrEx>
          <w:tblLayout w:type="fixed"/>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2756"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280.66</w:t>
            </w:r>
          </w:p>
        </w:tc>
        <w:tc>
          <w:tcPr>
            <w:tcW w:w="280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272.52</w:t>
            </w:r>
          </w:p>
        </w:tc>
      </w:tr>
      <w:tr>
        <w:tblPrEx>
          <w:tblLayout w:type="fixed"/>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2756"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289.83</w:t>
            </w:r>
          </w:p>
        </w:tc>
        <w:tc>
          <w:tcPr>
            <w:tcW w:w="2809"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280.06</w:t>
            </w:r>
          </w:p>
        </w:tc>
      </w:tr>
      <w:tr>
        <w:tblPrEx>
          <w:tblLayout w:type="fixed"/>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5月3日</w:t>
            </w:r>
          </w:p>
        </w:tc>
        <w:tc>
          <w:tcPr>
            <w:tcW w:w="2756" w:type="dxa"/>
            <w:tcBorders>
              <w:top w:val="nil"/>
              <w:left w:val="nil"/>
              <w:bottom w:val="single" w:color="auto" w:sz="4" w:space="0"/>
              <w:right w:val="single" w:color="auto" w:sz="4" w:space="0"/>
            </w:tcBorders>
            <w:shd w:val="clear" w:color="auto"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291.07</w:t>
            </w:r>
          </w:p>
        </w:tc>
        <w:tc>
          <w:tcPr>
            <w:tcW w:w="2809" w:type="dxa"/>
            <w:tcBorders>
              <w:top w:val="nil"/>
              <w:left w:val="nil"/>
              <w:bottom w:val="single" w:color="auto" w:sz="4" w:space="0"/>
              <w:right w:val="single" w:color="auto" w:sz="4" w:space="0"/>
            </w:tcBorders>
            <w:shd w:val="clear" w:color="auto" w:fill="FFFFFF"/>
            <w:vAlign w:val="center"/>
          </w:tcPr>
          <w:p>
            <w:pPr>
              <w:jc w:val="center"/>
              <w:rPr>
                <w:rFonts w:hint="eastAsia" w:eastAsia="宋体"/>
                <w:color w:val="000000"/>
                <w:sz w:val="20"/>
                <w:szCs w:val="20"/>
                <w:lang w:val="en-US" w:eastAsia="zh-CN"/>
              </w:rPr>
            </w:pPr>
            <w:r>
              <w:rPr>
                <w:rFonts w:hint="eastAsia"/>
                <w:color w:val="000000"/>
                <w:sz w:val="20"/>
                <w:szCs w:val="20"/>
                <w:lang w:val="en-US" w:eastAsia="zh-CN"/>
              </w:rPr>
              <w:t>281.98</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2</w:t>
            </w:r>
            <w:r>
              <w:rPr>
                <w:rFonts w:hint="eastAsia"/>
                <w:sz w:val="20"/>
                <w:szCs w:val="20"/>
              </w:rPr>
              <w:t>日</w:t>
            </w:r>
          </w:p>
        </w:tc>
        <w:tc>
          <w:tcPr>
            <w:tcW w:w="2756"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color w:val="000000"/>
                <w:sz w:val="20"/>
                <w:szCs w:val="20"/>
              </w:rPr>
              <w:t>293.74</w:t>
            </w:r>
          </w:p>
        </w:tc>
        <w:tc>
          <w:tcPr>
            <w:tcW w:w="2809"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color w:val="000000"/>
                <w:sz w:val="20"/>
                <w:szCs w:val="20"/>
              </w:rPr>
              <w:t>286.03</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1</w:t>
            </w:r>
            <w:r>
              <w:rPr>
                <w:rFonts w:hint="eastAsia"/>
                <w:sz w:val="20"/>
                <w:szCs w:val="20"/>
              </w:rPr>
              <w:t>日</w:t>
            </w:r>
          </w:p>
        </w:tc>
        <w:tc>
          <w:tcPr>
            <w:tcW w:w="2756"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rFonts w:hint="eastAsia"/>
                <w:color w:val="000000"/>
                <w:sz w:val="20"/>
                <w:szCs w:val="20"/>
              </w:rPr>
              <w:t>休市</w:t>
            </w:r>
          </w:p>
        </w:tc>
        <w:tc>
          <w:tcPr>
            <w:tcW w:w="2809" w:type="dxa"/>
            <w:tcBorders>
              <w:top w:val="nil"/>
              <w:left w:val="nil"/>
              <w:bottom w:val="single" w:color="auto" w:sz="4" w:space="0"/>
              <w:right w:val="single" w:color="auto" w:sz="4" w:space="0"/>
            </w:tcBorders>
            <w:shd w:val="clear" w:color="auto" w:fill="FFFFFF"/>
            <w:vAlign w:val="center"/>
          </w:tcPr>
          <w:p>
            <w:pPr>
              <w:jc w:val="center"/>
              <w:rPr>
                <w:rFonts w:cs="Times New Roman"/>
                <w:color w:val="000000"/>
                <w:sz w:val="20"/>
                <w:szCs w:val="20"/>
              </w:rPr>
            </w:pPr>
            <w:r>
              <w:rPr>
                <w:rFonts w:hint="eastAsia"/>
                <w:color w:val="000000"/>
                <w:sz w:val="20"/>
                <w:szCs w:val="20"/>
              </w:rPr>
              <w:t>休市</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0" w:name="_Toc436380336"/>
      <w:r>
        <w:rPr>
          <w:rFonts w:hint="eastAsia" w:ascii="宋体" w:hAnsi="宋体" w:eastAsia="宋体" w:cs="宋体"/>
          <w:sz w:val="24"/>
          <w:szCs w:val="24"/>
        </w:rPr>
        <w:t>日本燃料油市场价格</w:t>
      </w:r>
      <w:bookmarkEnd w:id="20"/>
    </w:p>
    <w:tbl>
      <w:tblPr>
        <w:tblStyle w:val="29"/>
        <w:tblW w:w="8528" w:type="dxa"/>
        <w:tblInd w:w="-106" w:type="dxa"/>
        <w:tblLayout w:type="fixed"/>
        <w:tblCellMar>
          <w:top w:w="0" w:type="dxa"/>
          <w:left w:w="108" w:type="dxa"/>
          <w:bottom w:w="0" w:type="dxa"/>
          <w:right w:w="108" w:type="dxa"/>
        </w:tblCellMar>
      </w:tblPr>
      <w:tblGrid>
        <w:gridCol w:w="4349"/>
        <w:gridCol w:w="4179"/>
      </w:tblGrid>
      <w:tr>
        <w:tblPrEx>
          <w:tblLayout w:type="fixed"/>
          <w:tblCellMar>
            <w:top w:w="0" w:type="dxa"/>
            <w:left w:w="108" w:type="dxa"/>
            <w:bottom w:w="0" w:type="dxa"/>
            <w:right w:w="108" w:type="dxa"/>
          </w:tblCellMar>
        </w:tblPrEx>
        <w:trPr>
          <w:trHeight w:val="300" w:hRule="atLeast"/>
        </w:trPr>
        <w:tc>
          <w:tcPr>
            <w:tcW w:w="4349"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p>
        </w:tc>
        <w:tc>
          <w:tcPr>
            <w:tcW w:w="4179"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高硫</w:t>
            </w:r>
            <w:r>
              <w:rPr>
                <w:b/>
                <w:bCs/>
                <w:sz w:val="20"/>
                <w:szCs w:val="20"/>
              </w:rPr>
              <w:t>180cst</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300.22</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309.39</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5月3日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310.63</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2</w:t>
            </w:r>
            <w:r>
              <w:rPr>
                <w:rFonts w:hint="eastAsia"/>
                <w:sz w:val="20"/>
                <w:szCs w:val="20"/>
              </w:rPr>
              <w:t>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 xml:space="preserve">313.53 </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1</w:t>
            </w:r>
            <w:r>
              <w:rPr>
                <w:rFonts w:hint="eastAsia"/>
                <w:sz w:val="20"/>
                <w:szCs w:val="20"/>
              </w:rPr>
              <w:t>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cs="Times New Roman"/>
                <w:sz w:val="20"/>
                <w:szCs w:val="20"/>
              </w:rPr>
            </w:pPr>
            <w:r>
              <w:rPr>
                <w:rFonts w:hint="eastAsia"/>
                <w:sz w:val="20"/>
                <w:szCs w:val="20"/>
              </w:rPr>
              <w:t>休市</w:t>
            </w:r>
          </w:p>
        </w:tc>
      </w:tr>
    </w:tbl>
    <w:p>
      <w:pPr>
        <w:rPr>
          <w:rFonts w:cs="Times New Roman"/>
        </w:rPr>
      </w:pPr>
    </w:p>
    <w:p>
      <w:pPr>
        <w:rPr>
          <w:rFonts w:cs="Times New Roman"/>
        </w:rPr>
      </w:pPr>
    </w:p>
    <w:p>
      <w:pPr>
        <w:rPr>
          <w:rFonts w:cs="Times New Roman"/>
        </w:rPr>
      </w:pPr>
    </w:p>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1" w:name="_Toc436380337"/>
      <w:r>
        <w:rPr>
          <w:rFonts w:hint="eastAsia" w:ascii="宋体" w:hAnsi="宋体" w:eastAsia="宋体" w:cs="宋体"/>
          <w:sz w:val="24"/>
          <w:szCs w:val="24"/>
        </w:rPr>
        <w:t>地中海燃料油市场价格</w:t>
      </w:r>
      <w:bookmarkEnd w:id="21"/>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2021"/>
        <w:gridCol w:w="3048"/>
        <w:gridCol w:w="3459"/>
      </w:tblGrid>
      <w:tr>
        <w:tblPrEx>
          <w:tblLayout w:type="fixed"/>
        </w:tblPrEx>
        <w:trPr>
          <w:trHeight w:val="285" w:hRule="atLeast"/>
        </w:trPr>
        <w:tc>
          <w:tcPr>
            <w:tcW w:w="2021"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3048"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r>
              <w:rPr>
                <w:b/>
                <w:bCs/>
                <w:sz w:val="20"/>
                <w:szCs w:val="20"/>
              </w:rPr>
              <w:t>1PCT</w:t>
            </w:r>
            <w:r>
              <w:rPr>
                <w:rFonts w:hint="eastAsia"/>
                <w:b/>
                <w:bCs/>
                <w:sz w:val="20"/>
                <w:szCs w:val="20"/>
              </w:rPr>
              <w:t>）</w:t>
            </w:r>
          </w:p>
        </w:tc>
        <w:tc>
          <w:tcPr>
            <w:tcW w:w="3459"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r>
              <w:rPr>
                <w:b/>
                <w:bCs/>
                <w:sz w:val="20"/>
                <w:szCs w:val="20"/>
              </w:rPr>
              <w:t>3.5PCT</w:t>
            </w:r>
            <w:r>
              <w:rPr>
                <w:rFonts w:hint="eastAsia"/>
                <w:b/>
                <w:bCs/>
                <w:sz w:val="20"/>
                <w:szCs w:val="20"/>
              </w:rPr>
              <w:t>）</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3048"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289.00 </w:t>
            </w:r>
          </w:p>
        </w:tc>
        <w:tc>
          <w:tcPr>
            <w:tcW w:w="345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265.25 </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3048"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288.75</w:t>
            </w:r>
          </w:p>
        </w:tc>
        <w:tc>
          <w:tcPr>
            <w:tcW w:w="345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262.75</w:t>
            </w:r>
          </w:p>
        </w:tc>
      </w:tr>
      <w:tr>
        <w:tblPrEx>
          <w:tblLayout w:type="fixed"/>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5月3日</w:t>
            </w:r>
          </w:p>
        </w:tc>
        <w:tc>
          <w:tcPr>
            <w:tcW w:w="3048" w:type="dxa"/>
            <w:tcBorders>
              <w:top w:val="nil"/>
              <w:left w:val="nil"/>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292.75</w:t>
            </w:r>
          </w:p>
        </w:tc>
        <w:tc>
          <w:tcPr>
            <w:tcW w:w="3459" w:type="dxa"/>
            <w:tcBorders>
              <w:top w:val="nil"/>
              <w:left w:val="nil"/>
              <w:bottom w:val="single" w:color="auto" w:sz="4" w:space="0"/>
              <w:right w:val="single" w:color="auto" w:sz="4" w:space="0"/>
            </w:tcBorders>
            <w:shd w:val="clear" w:color="auto" w:fill="FFFFFF"/>
            <w:vAlign w:val="center"/>
          </w:tcPr>
          <w:p>
            <w:pPr>
              <w:jc w:val="center"/>
              <w:rPr>
                <w:rFonts w:hint="eastAsia" w:eastAsia="宋体"/>
                <w:sz w:val="20"/>
                <w:szCs w:val="20"/>
                <w:lang w:val="en-US" w:eastAsia="zh-CN"/>
              </w:rPr>
            </w:pPr>
            <w:r>
              <w:rPr>
                <w:rFonts w:hint="eastAsia"/>
                <w:sz w:val="20"/>
                <w:szCs w:val="20"/>
                <w:lang w:val="en-US" w:eastAsia="zh-CN"/>
              </w:rPr>
              <w:t>267.00</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2</w:t>
            </w:r>
            <w:r>
              <w:rPr>
                <w:rFonts w:hint="eastAsia"/>
                <w:sz w:val="20"/>
                <w:szCs w:val="20"/>
              </w:rPr>
              <w:t>日</w:t>
            </w:r>
          </w:p>
        </w:tc>
        <w:tc>
          <w:tcPr>
            <w:tcW w:w="3048" w:type="dxa"/>
            <w:tcBorders>
              <w:top w:val="nil"/>
              <w:left w:val="nil"/>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 xml:space="preserve">296.00 </w:t>
            </w:r>
          </w:p>
        </w:tc>
        <w:tc>
          <w:tcPr>
            <w:tcW w:w="3459" w:type="dxa"/>
            <w:tcBorders>
              <w:top w:val="nil"/>
              <w:left w:val="nil"/>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 xml:space="preserve">272.50 </w:t>
            </w:r>
          </w:p>
        </w:tc>
      </w:tr>
      <w:tr>
        <w:tblPrEx>
          <w:tblLayout w:type="fixed"/>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cs="Times New Roman"/>
                <w:sz w:val="20"/>
                <w:szCs w:val="20"/>
              </w:rPr>
            </w:pPr>
            <w:r>
              <w:rPr>
                <w:sz w:val="20"/>
                <w:szCs w:val="20"/>
              </w:rPr>
              <w:t>5</w:t>
            </w:r>
            <w:r>
              <w:rPr>
                <w:rFonts w:hint="eastAsia"/>
                <w:sz w:val="20"/>
                <w:szCs w:val="20"/>
              </w:rPr>
              <w:t>月</w:t>
            </w:r>
            <w:r>
              <w:rPr>
                <w:sz w:val="20"/>
                <w:szCs w:val="20"/>
              </w:rPr>
              <w:t>1</w:t>
            </w:r>
            <w:r>
              <w:rPr>
                <w:rFonts w:hint="eastAsia"/>
                <w:sz w:val="20"/>
                <w:szCs w:val="20"/>
              </w:rPr>
              <w:t>日</w:t>
            </w:r>
          </w:p>
        </w:tc>
        <w:tc>
          <w:tcPr>
            <w:tcW w:w="3048" w:type="dxa"/>
            <w:tcBorders>
              <w:top w:val="nil"/>
              <w:left w:val="nil"/>
              <w:bottom w:val="single" w:color="auto" w:sz="4" w:space="0"/>
              <w:right w:val="single" w:color="auto" w:sz="4" w:space="0"/>
            </w:tcBorders>
            <w:shd w:val="clear" w:color="auto" w:fill="FFFFFF"/>
            <w:vAlign w:val="center"/>
          </w:tcPr>
          <w:p>
            <w:pPr>
              <w:jc w:val="center"/>
              <w:rPr>
                <w:rFonts w:cs="Times New Roman"/>
                <w:sz w:val="20"/>
                <w:szCs w:val="20"/>
              </w:rPr>
            </w:pPr>
            <w:r>
              <w:rPr>
                <w:rFonts w:hint="eastAsia"/>
                <w:sz w:val="20"/>
                <w:szCs w:val="20"/>
              </w:rPr>
              <w:t>休市</w:t>
            </w:r>
          </w:p>
        </w:tc>
        <w:tc>
          <w:tcPr>
            <w:tcW w:w="3459" w:type="dxa"/>
            <w:tcBorders>
              <w:top w:val="nil"/>
              <w:left w:val="nil"/>
              <w:bottom w:val="single" w:color="auto" w:sz="4" w:space="0"/>
              <w:right w:val="single" w:color="auto" w:sz="4" w:space="0"/>
            </w:tcBorders>
            <w:shd w:val="clear" w:color="auto" w:fill="FFFFFF"/>
            <w:vAlign w:val="center"/>
          </w:tcPr>
          <w:p>
            <w:pPr>
              <w:jc w:val="center"/>
              <w:rPr>
                <w:rFonts w:cs="Times New Roman"/>
                <w:sz w:val="20"/>
                <w:szCs w:val="20"/>
              </w:rPr>
            </w:pPr>
            <w:r>
              <w:rPr>
                <w:rFonts w:hint="eastAsia"/>
                <w:sz w:val="20"/>
                <w:szCs w:val="20"/>
              </w:rPr>
              <w:t>休市</w:t>
            </w:r>
          </w:p>
        </w:tc>
      </w:tr>
    </w:tbl>
    <w:p>
      <w:pPr>
        <w:rPr>
          <w:rFonts w:cs="Times New Roman"/>
        </w:rPr>
      </w:pPr>
    </w:p>
    <w:p>
      <w:pPr>
        <w:rPr>
          <w:rFonts w:cs="Times New Roman"/>
        </w:rPr>
      </w:pPr>
    </w:p>
    <w:p>
      <w:pPr>
        <w:rPr>
          <w:rFonts w:cs="Times New Roman"/>
        </w:rPr>
      </w:pPr>
    </w:p>
    <w:bookmarkEnd w:id="15"/>
    <w:p>
      <w:pPr>
        <w:pStyle w:val="2"/>
        <w:spacing w:before="120" w:after="0" w:line="240" w:lineRule="auto"/>
        <w:rPr>
          <w:rFonts w:cs="Times New Roman"/>
          <w:color w:val="FF0000"/>
          <w:sz w:val="28"/>
          <w:szCs w:val="28"/>
        </w:rPr>
      </w:pPr>
      <w:bookmarkStart w:id="22" w:name="_Toc283387079"/>
      <w:bookmarkStart w:id="23" w:name="_Toc152134473"/>
      <w:bookmarkStart w:id="24" w:name="_Toc164759956"/>
      <w:bookmarkStart w:id="25" w:name="_Toc436380338"/>
      <w:r>
        <w:rPr>
          <w:rFonts w:hint="eastAsia"/>
          <w:color w:val="FF0000"/>
          <w:sz w:val="28"/>
          <w:szCs w:val="28"/>
        </w:rPr>
        <w:t>二、</w:t>
      </w:r>
      <w:bookmarkEnd w:id="22"/>
      <w:bookmarkEnd w:id="23"/>
      <w:bookmarkEnd w:id="24"/>
      <w:r>
        <w:rPr>
          <w:rFonts w:hint="eastAsia"/>
          <w:color w:val="FF0000"/>
          <w:sz w:val="28"/>
          <w:szCs w:val="28"/>
        </w:rPr>
        <w:t>国内燃料油市场动态</w:t>
      </w:r>
      <w:bookmarkEnd w:id="25"/>
    </w:p>
    <w:p>
      <w:pPr>
        <w:pStyle w:val="3"/>
        <w:spacing w:before="240" w:after="240" w:line="240" w:lineRule="auto"/>
        <w:rPr>
          <w:rFonts w:ascii="宋体" w:hAnsi="宋体" w:eastAsia="宋体" w:cs="Times New Roman"/>
          <w:sz w:val="24"/>
          <w:szCs w:val="24"/>
        </w:rPr>
      </w:pPr>
      <w:bookmarkStart w:id="26" w:name="_Toc283387080"/>
      <w:bookmarkStart w:id="27" w:name="_Toc164759957"/>
      <w:bookmarkStart w:id="28" w:name="_Toc152134474"/>
      <w:bookmarkStart w:id="29" w:name="_Toc436380339"/>
      <w:r>
        <w:rPr>
          <w:rFonts w:ascii="宋体" w:hAnsi="宋体" w:eastAsia="宋体" w:cs="宋体"/>
          <w:sz w:val="24"/>
          <w:szCs w:val="24"/>
        </w:rPr>
        <w:t xml:space="preserve">2.1  </w:t>
      </w:r>
      <w:bookmarkEnd w:id="26"/>
      <w:bookmarkEnd w:id="27"/>
      <w:bookmarkEnd w:id="28"/>
      <w:r>
        <w:rPr>
          <w:rFonts w:hint="eastAsia" w:ascii="宋体" w:hAnsi="宋体" w:eastAsia="宋体" w:cs="宋体"/>
          <w:sz w:val="24"/>
          <w:szCs w:val="24"/>
        </w:rPr>
        <w:t>华南地区燃料油市场行情</w:t>
      </w:r>
      <w:bookmarkEnd w:id="29"/>
    </w:p>
    <w:p>
      <w:pPr>
        <w:rPr>
          <w:rFonts w:hint="eastAsia"/>
          <w:sz w:val="21"/>
          <w:szCs w:val="21"/>
        </w:rPr>
      </w:pPr>
      <w:bookmarkStart w:id="30" w:name="_Toc436380341"/>
      <w:r>
        <w:rPr>
          <w:rFonts w:hint="eastAsia"/>
          <w:sz w:val="21"/>
          <w:szCs w:val="21"/>
        </w:rPr>
        <w:t>　　周五（5月5日）市场悲观氛围加剧，非标油零星走跌。</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美国炼油商向市场大量供应汽油，加剧了油价今春的下跌，最近油市的抛盘已经令原油结算价跌至每桶50美元下方，且抹去了油市在欧佩克2016年11月份同意减产后录得的涨幅，原油价格周四下跌至五个月低点。周五国内市场华南船用油市场（以广州、深圳和福建为基准）国产混调180CST库提估价为3270-3420元/吨（详见船用油日评）。</w:t>
      </w:r>
    </w:p>
    <w:p>
      <w:pPr>
        <w:rPr>
          <w:rFonts w:hint="eastAsia"/>
          <w:sz w:val="21"/>
          <w:szCs w:val="21"/>
        </w:rPr>
      </w:pPr>
    </w:p>
    <w:p>
      <w:pPr>
        <w:rPr>
          <w:rFonts w:hint="eastAsia"/>
          <w:sz w:val="21"/>
          <w:szCs w:val="21"/>
        </w:rPr>
      </w:pPr>
      <w:r>
        <w:rPr>
          <w:rFonts w:hint="eastAsia"/>
          <w:sz w:val="21"/>
          <w:szCs w:val="21"/>
        </w:rPr>
        <w:t xml:space="preserve">    区内燃料油市场行情延续之前平稳走势，业者心态未起较大波澜，商家报价守稳为主，市场购销气氛较为平稳。截止目前，区内国产油浆市场估价2200-2300元/吨，沥青料市场估价2400-2500元/吨，均较前一工作日持平。</w:t>
      </w:r>
    </w:p>
    <w:p>
      <w:pPr>
        <w:rPr>
          <w:rFonts w:hint="eastAsia"/>
          <w:sz w:val="21"/>
          <w:szCs w:val="21"/>
        </w:rPr>
      </w:pPr>
    </w:p>
    <w:p>
      <w:pPr>
        <w:rPr>
          <w:rFonts w:hint="eastAsia"/>
          <w:sz w:val="21"/>
          <w:szCs w:val="21"/>
        </w:rPr>
      </w:pPr>
      <w:r>
        <w:rPr>
          <w:rFonts w:hint="eastAsia"/>
          <w:sz w:val="21"/>
          <w:szCs w:val="21"/>
        </w:rPr>
        <w:t xml:space="preserve">    非标油市场，近期区内非标油市场价格持续承压于原油结算价，商家多持谨慎观望态度，市场走势偏弱，看涨氛围薄弱，昨日原油价格大幅下跌至五个月低点，区内非标油走势也随之下行，商家报价走跌，东莞东长车用调和柴油(密度0.845，闪点65，十六烷值53，燃料油票)报跌50元至5000元/吨，市场交投气氛清淡。</w:t>
      </w: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pStyle w:val="3"/>
        <w:spacing w:before="240" w:after="240" w:line="240" w:lineRule="auto"/>
        <w:rPr>
          <w:rFonts w:ascii="宋体" w:hAnsi="宋体" w:eastAsia="宋体" w:cs="Times New Roman"/>
          <w:sz w:val="24"/>
          <w:szCs w:val="24"/>
        </w:rPr>
      </w:pPr>
      <w:bookmarkStart w:id="31" w:name="_Toc436380340"/>
      <w:r>
        <w:rPr>
          <w:rFonts w:ascii="宋体" w:hAnsi="宋体" w:eastAsia="宋体" w:cs="宋体"/>
          <w:sz w:val="24"/>
          <w:szCs w:val="24"/>
        </w:rPr>
        <w:t>2.2</w:t>
      </w:r>
      <w:r>
        <w:rPr>
          <w:rFonts w:hint="eastAsia" w:ascii="宋体" w:hAnsi="宋体" w:eastAsia="宋体" w:cs="宋体"/>
          <w:sz w:val="24"/>
          <w:szCs w:val="24"/>
        </w:rPr>
        <w:t>华东地区燃料油市场行情</w:t>
      </w:r>
      <w:bookmarkEnd w:id="31"/>
    </w:p>
    <w:p>
      <w:pPr>
        <w:rPr>
          <w:rFonts w:hint="eastAsia"/>
          <w:sz w:val="21"/>
          <w:szCs w:val="21"/>
        </w:rPr>
      </w:pPr>
      <w:r>
        <w:rPr>
          <w:rFonts w:hint="eastAsia"/>
          <w:sz w:val="21"/>
          <w:szCs w:val="21"/>
        </w:rPr>
        <w:t xml:space="preserve">　　周五（5月5日），燃料油市场利空加码，沥青料价格刷新低价。 </w:t>
      </w:r>
    </w:p>
    <w:p>
      <w:pPr>
        <w:rPr>
          <w:rFonts w:hint="eastAsia"/>
          <w:sz w:val="21"/>
          <w:szCs w:val="21"/>
        </w:rPr>
      </w:pPr>
    </w:p>
    <w:p>
      <w:pPr>
        <w:rPr>
          <w:rFonts w:hint="eastAsia"/>
          <w:sz w:val="21"/>
          <w:szCs w:val="21"/>
        </w:rPr>
      </w:pPr>
      <w:r>
        <w:rPr>
          <w:rFonts w:hint="eastAsia"/>
          <w:sz w:val="21"/>
          <w:szCs w:val="21"/>
        </w:rPr>
        <w:t xml:space="preserve">    周四，油价下挫至五个月低点，因为在美国原油产量和库存高企的情况下，投资者们愈加怀疑欧佩克缓解全球供应过剩问题的能力，也宣告了减产协议的破产，对燃料油市场而言，利空压力或将持续加码。在地炼陆续恢复开工后，市场上的资源有增加的趋势，沥青料、非标油等原料出货承压，炼厂正加速报跌中，而其他资源也难免受到波及。</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沥青料市场，华东主流沥青料的成交价在2600-2700元/吨，价格较昨日走跌50元，炼厂出货有较大压力。自山东地区的焦化料价格下行后，场内沥青料的出货承压增加。据悉，宁波某大型炼厂的优质200#沥青的最新出货价在2600元/吨，再度拉低主流成交价。</w:t>
      </w:r>
    </w:p>
    <w:p>
      <w:pPr>
        <w:rPr>
          <w:rFonts w:hint="eastAsia"/>
          <w:sz w:val="21"/>
          <w:szCs w:val="21"/>
        </w:rPr>
      </w:pPr>
    </w:p>
    <w:p>
      <w:pPr>
        <w:rPr>
          <w:rFonts w:hint="eastAsia"/>
          <w:sz w:val="21"/>
          <w:szCs w:val="21"/>
        </w:rPr>
      </w:pPr>
      <w:r>
        <w:rPr>
          <w:rFonts w:hint="eastAsia"/>
          <w:sz w:val="21"/>
          <w:szCs w:val="21"/>
        </w:rPr>
        <w:t xml:space="preserve">    油浆市场，华东油浆（密度1.1左右）的主流成交价在2270-2370元/吨，价格较昨日持平，炼厂出货较为顺畅。日前在燃料油市场跌跌不休的大氛围下，油浆以低库存和做防水沥青需求较为稳定的利好走势较为稳定。不过，周边地区价格已经下倾，华东油浆恐难独善其身。</w:t>
      </w:r>
    </w:p>
    <w:p>
      <w:pPr>
        <w:rPr>
          <w:rFonts w:hint="eastAsia"/>
          <w:sz w:val="21"/>
          <w:szCs w:val="21"/>
        </w:rPr>
      </w:pPr>
    </w:p>
    <w:p>
      <w:pPr>
        <w:spacing w:before="100" w:beforeAutospacing="1" w:after="100" w:afterAutospacing="1"/>
        <w:rPr>
          <w:rFonts w:cs="Times New Roman"/>
          <w:sz w:val="21"/>
          <w:szCs w:val="21"/>
        </w:rPr>
      </w:pPr>
      <w:r>
        <w:rPr>
          <w:rFonts w:hint="eastAsia"/>
          <w:sz w:val="21"/>
          <w:szCs w:val="21"/>
        </w:rPr>
        <w:t xml:space="preserve">    上海市场，低金属船用180CST（密度0.98左右，硫含量1.0以内）自提成交估价在3310-3410元/吨；宁波市场，低金属船用180CST（密度0.98左右，硫含量1.0以内）自提成交估价在3310-3400元/吨；南通市场，低金属船用180CST（密度0.98左右，硫含量1.0以内）自提成交估价在3300-3390元/吨，均较昨日持平。</w:t>
      </w:r>
    </w:p>
    <w:p>
      <w:pPr>
        <w:spacing w:before="100" w:beforeAutospacing="1" w:after="100" w:afterAutospacing="1"/>
        <w:rPr>
          <w:rFonts w:cs="Times New Roman"/>
          <w:sz w:val="21"/>
          <w:szCs w:val="21"/>
        </w:rPr>
      </w:pPr>
    </w:p>
    <w:p>
      <w:pPr>
        <w:pStyle w:val="23"/>
        <w:rPr>
          <w:rFonts w:cs="Times New Roman"/>
          <w:b/>
          <w:bCs/>
        </w:rPr>
      </w:pPr>
      <w:r>
        <w:rPr>
          <w:b/>
          <w:bCs/>
        </w:rPr>
        <w:t>2.3</w:t>
      </w:r>
      <w:r>
        <w:rPr>
          <w:rFonts w:hint="eastAsia"/>
          <w:b/>
          <w:bCs/>
        </w:rPr>
        <w:t>山东地区燃料油市场行情</w:t>
      </w:r>
      <w:bookmarkEnd w:id="30"/>
      <w:bookmarkStart w:id="32" w:name="_Toc164759962"/>
      <w:bookmarkStart w:id="33" w:name="_Toc152134478"/>
    </w:p>
    <w:p>
      <w:pPr>
        <w:rPr>
          <w:rFonts w:hint="eastAsia"/>
          <w:sz w:val="21"/>
          <w:szCs w:val="21"/>
        </w:rPr>
      </w:pPr>
      <w:r>
        <w:rPr>
          <w:rFonts w:hint="eastAsia"/>
          <w:sz w:val="21"/>
          <w:szCs w:val="21"/>
        </w:rPr>
        <w:t>　</w:t>
      </w:r>
      <w:bookmarkStart w:id="34" w:name="_Toc436380342"/>
      <w:r>
        <w:rPr>
          <w:rFonts w:hint="eastAsia"/>
          <w:sz w:val="21"/>
          <w:szCs w:val="21"/>
        </w:rPr>
        <w:t>　周五（5月5日），国际原油大幅下行，山东油浆继续补跌。</w:t>
      </w:r>
    </w:p>
    <w:p>
      <w:pPr>
        <w:rPr>
          <w:rFonts w:hint="eastAsia"/>
          <w:sz w:val="21"/>
          <w:szCs w:val="21"/>
        </w:rPr>
      </w:pPr>
    </w:p>
    <w:p>
      <w:pPr>
        <w:rPr>
          <w:rFonts w:hint="eastAsia"/>
          <w:sz w:val="21"/>
          <w:szCs w:val="21"/>
        </w:rPr>
      </w:pPr>
      <w:r>
        <w:rPr>
          <w:rFonts w:hint="eastAsia"/>
          <w:sz w:val="21"/>
          <w:szCs w:val="21"/>
        </w:rPr>
        <w:t xml:space="preserve">    进口燃料油市场，在美国原油产量和库存高企情况下，投资者愈怀疑欧佩克缓解全球供应过剩问题的能力，且欧佩克和其他产油国看似排除了加大减产力度以缓和供应持续过剩局面的可能性，美国炼油商向市场大量供应汽油加剧油价下跌，周四油价下挫至五个月低点，纽交所六月交割的轻质低硫原油期货合约价至45.52美元，伦敦洲际交易所布伦特原油期货合约价至48.38美元。俄罗斯M100成交估价3810-3910元/吨，贴水34-36美元/吨，马瑞原油（含重质油票）成交估价2660-2720元/吨，稀释沥青（沥青票 密度0.98）主流成交价2660-2720元/吨。</w:t>
      </w:r>
    </w:p>
    <w:p>
      <w:pPr>
        <w:rPr>
          <w:rFonts w:hint="eastAsia"/>
          <w:sz w:val="21"/>
          <w:szCs w:val="21"/>
        </w:rPr>
      </w:pPr>
    </w:p>
    <w:p>
      <w:pPr>
        <w:rPr>
          <w:rFonts w:hint="eastAsia"/>
          <w:sz w:val="21"/>
          <w:szCs w:val="21"/>
        </w:rPr>
      </w:pPr>
      <w:r>
        <w:rPr>
          <w:rFonts w:hint="eastAsia"/>
          <w:sz w:val="21"/>
          <w:szCs w:val="21"/>
        </w:rPr>
        <w:t xml:space="preserve">    焦化料市场，周五山东地区优质焦化料（沥青票，密度1.0左右，硫含量1.0左右）市场估价在2600-2700元/吨，渣油票市场估价为2700-2800元/吨，较前一工作日持平，周内最后一工作日区内减渣报价无明显调整，市场气氛平平，业者谨慎保守持币观望居多。</w:t>
      </w:r>
    </w:p>
    <w:p>
      <w:pPr>
        <w:rPr>
          <w:rFonts w:hint="eastAsia"/>
          <w:sz w:val="21"/>
          <w:szCs w:val="21"/>
        </w:rPr>
      </w:pPr>
    </w:p>
    <w:p>
      <w:pPr>
        <w:rPr>
          <w:rFonts w:hint="eastAsia"/>
          <w:sz w:val="21"/>
          <w:szCs w:val="21"/>
        </w:rPr>
      </w:pPr>
      <w:r>
        <w:rPr>
          <w:rFonts w:hint="eastAsia"/>
          <w:sz w:val="21"/>
          <w:szCs w:val="21"/>
        </w:rPr>
        <w:t xml:space="preserve">    油浆市场，周五山东地区高密油浆市场成交估价2170-2270元/吨，低密油浆成交估价2250-2350元/吨，均较前一工作日跌30元，外盘周四国际原油大幅走低，再次挫伤山东油浆信心，今炼厂油浆报价继续下降，未来短期看跌趋势或难改观。</w:t>
      </w:r>
    </w:p>
    <w:p>
      <w:pPr>
        <w:rPr>
          <w:rFonts w:hint="eastAsia"/>
          <w:sz w:val="21"/>
          <w:szCs w:val="21"/>
        </w:rPr>
      </w:pPr>
    </w:p>
    <w:p>
      <w:pPr>
        <w:rPr>
          <w:rFonts w:hint="eastAsia"/>
          <w:sz w:val="21"/>
          <w:szCs w:val="21"/>
        </w:rPr>
      </w:pPr>
      <w:r>
        <w:rPr>
          <w:rFonts w:hint="eastAsia"/>
          <w:sz w:val="21"/>
          <w:szCs w:val="21"/>
        </w:rPr>
        <w:t xml:space="preserve">    山东地炼常减压开工率：截至5月5日，山东地区地方炼厂常减压开工率为53.4%，较上周下降0.1%，较去年同期增长1.0%。据了解上周末联合石化常减压停工检修复工时间待定、万通石化全厂检修开工待定、利津石化周三全厂停工暂无开工计划，本周岚桥石化检修完毕全厂复工外加个别炼厂提高开工负荷，综合来看本周地炼常减压开工率较上周窄幅下降，海右石化常减压或月中复工，暂无其他炼厂加工开停工行列消息，预计下周山东地炼常减压开工率或窄幅推涨。</w:t>
      </w:r>
    </w:p>
    <w:p>
      <w:pPr>
        <w:spacing w:before="100" w:beforeAutospacing="1" w:after="100" w:afterAutospacing="1"/>
        <w:rPr>
          <w:rFonts w:cs="Times New Roman"/>
          <w:sz w:val="21"/>
          <w:szCs w:val="21"/>
        </w:rPr>
      </w:pPr>
    </w:p>
    <w:p>
      <w:pPr>
        <w:pStyle w:val="23"/>
        <w:rPr>
          <w:rFonts w:cs="Times New Roman"/>
          <w:b/>
          <w:bCs/>
        </w:rPr>
      </w:pPr>
      <w:r>
        <w:rPr>
          <w:b/>
          <w:bCs/>
        </w:rPr>
        <w:t>2.4</w:t>
      </w:r>
      <w:r>
        <w:rPr>
          <w:rFonts w:hint="eastAsia"/>
          <w:b/>
          <w:bCs/>
        </w:rPr>
        <w:t>国内各地区燃料油市场价格</w:t>
      </w:r>
      <w:bookmarkEnd w:id="34"/>
    </w:p>
    <w:p>
      <w:pPr>
        <w:rPr>
          <w:rFonts w:cs="Times New Roman"/>
        </w:rPr>
      </w:pPr>
      <w:r>
        <w:rPr>
          <w:rFonts w:hint="eastAsia"/>
        </w:rPr>
        <w:t>单位：元</w:t>
      </w:r>
      <w:r>
        <w:t>/</w:t>
      </w:r>
      <w:r>
        <w:rPr>
          <w:rFonts w:hint="eastAsia"/>
        </w:rPr>
        <w:t>吨</w:t>
      </w:r>
      <w:bookmarkStart w:id="35" w:name="_Toc436380343"/>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963"/>
        <w:gridCol w:w="2533"/>
        <w:gridCol w:w="820"/>
        <w:gridCol w:w="964"/>
        <w:gridCol w:w="964"/>
        <w:gridCol w:w="2284"/>
      </w:tblGrid>
      <w:tr>
        <w:tblPrEx>
          <w:tblLayout w:type="fixed"/>
          <w:tblCellMar>
            <w:top w:w="0" w:type="dxa"/>
            <w:left w:w="108" w:type="dxa"/>
            <w:bottom w:w="0" w:type="dxa"/>
            <w:right w:w="108" w:type="dxa"/>
          </w:tblCellMar>
        </w:tblPrEx>
        <w:trPr>
          <w:trHeight w:val="285" w:hRule="atLeast"/>
        </w:trPr>
        <w:tc>
          <w:tcPr>
            <w:tcW w:w="963"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地区</w:t>
            </w:r>
          </w:p>
        </w:tc>
        <w:tc>
          <w:tcPr>
            <w:tcW w:w="2533"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型号</w:t>
            </w:r>
          </w:p>
        </w:tc>
        <w:tc>
          <w:tcPr>
            <w:tcW w:w="820" w:type="dxa"/>
            <w:tcBorders>
              <w:top w:val="single" w:color="auto" w:sz="4" w:space="0"/>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b/>
                <w:bCs/>
                <w:sz w:val="20"/>
                <w:szCs w:val="20"/>
              </w:rPr>
            </w:pPr>
            <w:r>
              <w:rPr>
                <w:rFonts w:hint="eastAsia" w:ascii="宋体" w:hAnsi="宋体" w:eastAsia="宋体" w:cs="宋体"/>
                <w:b/>
                <w:i w:val="0"/>
                <w:color w:val="000000"/>
                <w:kern w:val="0"/>
                <w:sz w:val="20"/>
                <w:szCs w:val="20"/>
                <w:u w:val="none"/>
                <w:lang w:val="en-US" w:eastAsia="zh-CN" w:bidi="ar"/>
              </w:rPr>
              <w:t>涨跌</w:t>
            </w:r>
          </w:p>
        </w:tc>
        <w:tc>
          <w:tcPr>
            <w:tcW w:w="964" w:type="dxa"/>
            <w:tcBorders>
              <w:top w:val="single" w:color="auto" w:sz="4" w:space="0"/>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hint="eastAsia" w:ascii="宋体" w:hAnsi="宋体" w:eastAsia="宋体" w:cs="宋体"/>
                <w:b/>
                <w:bCs/>
                <w:sz w:val="20"/>
                <w:szCs w:val="20"/>
              </w:rPr>
            </w:pPr>
            <w:r>
              <w:rPr>
                <w:rFonts w:hint="eastAsia" w:ascii="宋体" w:hAnsi="宋体" w:eastAsia="宋体" w:cs="宋体"/>
                <w:b/>
                <w:i w:val="0"/>
                <w:color w:val="000000"/>
                <w:kern w:val="0"/>
                <w:sz w:val="20"/>
                <w:szCs w:val="20"/>
                <w:u w:val="none"/>
                <w:lang w:val="en-US" w:eastAsia="zh-CN" w:bidi="ar"/>
              </w:rPr>
              <w:t>5月5日</w:t>
            </w:r>
          </w:p>
        </w:tc>
        <w:tc>
          <w:tcPr>
            <w:tcW w:w="964" w:type="dxa"/>
            <w:tcBorders>
              <w:top w:val="single" w:color="auto" w:sz="4" w:space="0"/>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hint="eastAsia" w:eastAsia="宋体"/>
                <w:b/>
                <w:bCs/>
                <w:sz w:val="20"/>
                <w:szCs w:val="20"/>
                <w:lang w:val="en-US" w:eastAsia="zh-CN"/>
              </w:rPr>
            </w:pPr>
            <w:r>
              <w:rPr>
                <w:rFonts w:hint="eastAsia" w:ascii="宋体" w:hAnsi="宋体" w:eastAsia="宋体" w:cs="宋体"/>
                <w:b/>
                <w:i w:val="0"/>
                <w:color w:val="000000"/>
                <w:kern w:val="0"/>
                <w:sz w:val="20"/>
                <w:szCs w:val="20"/>
                <w:u w:val="none"/>
                <w:lang w:val="en-US" w:eastAsia="zh-CN" w:bidi="ar"/>
              </w:rPr>
              <w:t>5月4日</w:t>
            </w:r>
          </w:p>
        </w:tc>
        <w:tc>
          <w:tcPr>
            <w:tcW w:w="2284"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提货方式</w:t>
            </w:r>
          </w:p>
        </w:tc>
      </w:tr>
      <w:tr>
        <w:tblPrEx>
          <w:tblLayout w:type="fixed"/>
          <w:tblCellMar>
            <w:top w:w="0" w:type="dxa"/>
            <w:left w:w="108" w:type="dxa"/>
            <w:bottom w:w="0" w:type="dxa"/>
            <w:right w:w="108" w:type="dxa"/>
          </w:tblCellMar>
        </w:tblPrEx>
        <w:trPr>
          <w:trHeight w:val="285" w:hRule="atLeast"/>
        </w:trPr>
        <w:tc>
          <w:tcPr>
            <w:tcW w:w="963" w:type="dxa"/>
            <w:vMerge w:val="restart"/>
            <w:tcBorders>
              <w:top w:val="nil"/>
              <w:left w:val="single" w:color="auto" w:sz="4" w:space="0"/>
              <w:bottom w:val="single" w:color="000000" w:sz="4" w:space="0"/>
              <w:right w:val="single" w:color="auto" w:sz="4" w:space="0"/>
            </w:tcBorders>
            <w:vAlign w:val="center"/>
          </w:tcPr>
          <w:p>
            <w:pPr>
              <w:jc w:val="center"/>
              <w:rPr>
                <w:rFonts w:cs="Times New Roman"/>
                <w:b/>
                <w:bCs/>
                <w:sz w:val="20"/>
                <w:szCs w:val="20"/>
              </w:rPr>
            </w:pPr>
            <w:r>
              <w:rPr>
                <w:rFonts w:hint="eastAsia"/>
                <w:b/>
                <w:bCs/>
                <w:sz w:val="20"/>
                <w:szCs w:val="20"/>
              </w:rPr>
              <w:t>黄埔市场</w:t>
            </w: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上期所规格</w:t>
            </w:r>
            <w:r>
              <w:rPr>
                <w:sz w:val="20"/>
                <w:szCs w:val="20"/>
              </w:rPr>
              <w:t>180CST </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000FF"/>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3645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3645</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库提价（即期）</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船用标准</w:t>
            </w:r>
            <w:r>
              <w:rPr>
                <w:sz w:val="20"/>
                <w:szCs w:val="20"/>
              </w:rPr>
              <w:t>180CST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000FF"/>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3420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3420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库提价（广州</w:t>
            </w:r>
            <w:r>
              <w:rPr>
                <w:sz w:val="20"/>
                <w:szCs w:val="20"/>
              </w:rPr>
              <w:t>-</w:t>
            </w:r>
            <w:r>
              <w:rPr>
                <w:rFonts w:hint="eastAsia"/>
                <w:sz w:val="20"/>
                <w:szCs w:val="20"/>
              </w:rPr>
              <w:t>海口）</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沥青料</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000FF"/>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2735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2735</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库提价</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新加坡混调高硫</w:t>
            </w:r>
            <w:r>
              <w:rPr>
                <w:sz w:val="20"/>
                <w:szCs w:val="20"/>
              </w:rPr>
              <w:t>180CST</w:t>
            </w:r>
            <w:r>
              <w:rPr>
                <w:rFonts w:hint="eastAsia"/>
                <w:sz w:val="20"/>
                <w:szCs w:val="20"/>
              </w:rPr>
              <w:t>贴水</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rPr>
            </w:pPr>
            <w:r>
              <w:rPr>
                <w:rFonts w:hint="eastAsia" w:ascii="宋体" w:hAnsi="宋体" w:eastAsia="宋体" w:cs="宋体"/>
                <w:i w:val="0"/>
                <w:color w:val="000000"/>
                <w:kern w:val="0"/>
                <w:sz w:val="20"/>
                <w:szCs w:val="20"/>
                <w:u w:val="none"/>
                <w:lang w:val="en-US" w:eastAsia="zh-CN" w:bidi="ar"/>
              </w:rPr>
              <w:t>8</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8</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黄埔（（</w:t>
            </w:r>
            <w:r>
              <w:rPr>
                <w:sz w:val="20"/>
                <w:szCs w:val="20"/>
              </w:rPr>
              <w:t>5</w:t>
            </w:r>
            <w:r>
              <w:rPr>
                <w:rFonts w:hint="eastAsia"/>
                <w:sz w:val="20"/>
                <w:szCs w:val="20"/>
              </w:rPr>
              <w:t>月下</w:t>
            </w:r>
            <w:r>
              <w:rPr>
                <w:sz w:val="20"/>
                <w:szCs w:val="20"/>
              </w:rPr>
              <w:t>6</w:t>
            </w:r>
            <w:r>
              <w:rPr>
                <w:rFonts w:hint="eastAsia"/>
                <w:sz w:val="20"/>
                <w:szCs w:val="20"/>
              </w:rPr>
              <w:t>月上旬）</w:t>
            </w:r>
          </w:p>
        </w:tc>
      </w:tr>
      <w:tr>
        <w:tblPrEx>
          <w:tblLayout w:type="fixed"/>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新加坡高硫</w:t>
            </w:r>
            <w:r>
              <w:rPr>
                <w:sz w:val="20"/>
                <w:szCs w:val="20"/>
              </w:rPr>
              <w:t>180CST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FF0000"/>
                <w:sz w:val="20"/>
                <w:szCs w:val="20"/>
                <w:lang w:val="en-US" w:eastAsia="zh-CN"/>
              </w:rPr>
            </w:pPr>
            <w:r>
              <w:rPr>
                <w:rFonts w:hint="eastAsia" w:ascii="宋体" w:hAnsi="宋体" w:eastAsia="宋体" w:cs="宋体"/>
                <w:i w:val="0"/>
                <w:color w:val="FF0000"/>
                <w:kern w:val="0"/>
                <w:sz w:val="20"/>
                <w:szCs w:val="20"/>
                <w:u w:val="none"/>
                <w:lang w:val="en-US" w:eastAsia="zh-CN" w:bidi="ar"/>
              </w:rPr>
              <w:t>-7.25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FF0000"/>
                <w:sz w:val="20"/>
                <w:szCs w:val="20"/>
                <w:lang w:val="en-US" w:eastAsia="zh-CN"/>
              </w:rPr>
            </w:pPr>
            <w:r>
              <w:rPr>
                <w:rFonts w:hint="eastAsia" w:ascii="宋体" w:hAnsi="宋体" w:eastAsia="宋体" w:cs="宋体"/>
                <w:i w:val="0"/>
                <w:color w:val="FF0000"/>
                <w:kern w:val="0"/>
                <w:sz w:val="20"/>
                <w:szCs w:val="20"/>
                <w:u w:val="none"/>
                <w:lang w:val="en-US" w:eastAsia="zh-CN" w:bidi="ar"/>
              </w:rPr>
              <w:t>302.25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b w:val="0"/>
                <w:bCs w:val="0"/>
                <w:i w:val="0"/>
                <w:color w:val="FF0000"/>
                <w:kern w:val="0"/>
                <w:sz w:val="20"/>
                <w:szCs w:val="20"/>
                <w:u w:val="none"/>
                <w:lang w:val="en-US" w:eastAsia="zh-CN" w:bidi="ar"/>
              </w:rPr>
              <w:t>309.50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黄埔（美元</w:t>
            </w:r>
            <w:r>
              <w:rPr>
                <w:sz w:val="20"/>
                <w:szCs w:val="20"/>
              </w:rPr>
              <w:t>/</w:t>
            </w:r>
            <w:r>
              <w:rPr>
                <w:rFonts w:hint="eastAsia"/>
                <w:sz w:val="20"/>
                <w:szCs w:val="20"/>
              </w:rPr>
              <w:t>吨）</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新加坡高硫</w:t>
            </w:r>
            <w:r>
              <w:rPr>
                <w:sz w:val="20"/>
                <w:szCs w:val="20"/>
              </w:rPr>
              <w:t>380CST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4743E5"/>
                <w:sz w:val="20"/>
                <w:szCs w:val="20"/>
                <w:lang w:val="en-US" w:eastAsia="zh-CN"/>
              </w:rPr>
            </w:pPr>
            <w:r>
              <w:rPr>
                <w:rFonts w:hint="eastAsia" w:ascii="宋体" w:hAnsi="宋体" w:eastAsia="宋体" w:cs="宋体"/>
                <w:i w:val="0"/>
                <w:color w:val="0000FF"/>
                <w:kern w:val="0"/>
                <w:sz w:val="20"/>
                <w:szCs w:val="20"/>
                <w:u w:val="none"/>
                <w:lang w:val="en-US" w:eastAsia="zh-CN" w:bidi="ar"/>
              </w:rPr>
              <w:t>-8.75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4743E5"/>
                <w:sz w:val="20"/>
                <w:szCs w:val="20"/>
                <w:lang w:val="en-US" w:eastAsia="zh-CN"/>
              </w:rPr>
            </w:pPr>
            <w:r>
              <w:rPr>
                <w:rFonts w:hint="eastAsia" w:ascii="宋体" w:hAnsi="宋体" w:eastAsia="宋体" w:cs="宋体"/>
                <w:i w:val="0"/>
                <w:color w:val="0000FF"/>
                <w:kern w:val="0"/>
                <w:sz w:val="20"/>
                <w:szCs w:val="20"/>
                <w:u w:val="none"/>
                <w:lang w:val="en-US" w:eastAsia="zh-CN" w:bidi="ar"/>
              </w:rPr>
              <w:t xml:space="preserve"> 290.25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4743E5"/>
                <w:sz w:val="20"/>
                <w:szCs w:val="20"/>
                <w:lang w:val="en-US" w:eastAsia="zh-CN"/>
              </w:rPr>
            </w:pPr>
            <w:r>
              <w:rPr>
                <w:rFonts w:hint="eastAsia" w:ascii="宋体" w:hAnsi="宋体" w:eastAsia="宋体" w:cs="宋体"/>
                <w:b w:val="0"/>
                <w:bCs w:val="0"/>
                <w:i w:val="0"/>
                <w:color w:val="0000FF"/>
                <w:kern w:val="0"/>
                <w:sz w:val="20"/>
                <w:szCs w:val="20"/>
                <w:u w:val="none"/>
                <w:lang w:val="en-US" w:eastAsia="zh-CN" w:bidi="ar"/>
              </w:rPr>
              <w:t xml:space="preserve"> 299.00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黄埔（美元</w:t>
            </w:r>
            <w:r>
              <w:rPr>
                <w:sz w:val="20"/>
                <w:szCs w:val="20"/>
              </w:rPr>
              <w:t>/</w:t>
            </w:r>
            <w:r>
              <w:rPr>
                <w:rFonts w:hint="eastAsia"/>
                <w:sz w:val="20"/>
                <w:szCs w:val="20"/>
              </w:rPr>
              <w:t>吨）</w:t>
            </w:r>
          </w:p>
        </w:tc>
      </w:tr>
      <w:tr>
        <w:tblPrEx>
          <w:tblLayout w:type="fixed"/>
          <w:tblCellMar>
            <w:top w:w="0" w:type="dxa"/>
            <w:left w:w="108" w:type="dxa"/>
            <w:bottom w:w="0" w:type="dxa"/>
            <w:right w:w="108" w:type="dxa"/>
          </w:tblCellMar>
        </w:tblPrEx>
        <w:trPr>
          <w:trHeight w:val="285" w:hRule="atLeast"/>
        </w:trPr>
        <w:tc>
          <w:tcPr>
            <w:tcW w:w="963" w:type="dxa"/>
            <w:vMerge w:val="restart"/>
            <w:tcBorders>
              <w:top w:val="nil"/>
              <w:left w:val="single" w:color="auto" w:sz="4" w:space="0"/>
              <w:bottom w:val="single" w:color="000000" w:sz="4" w:space="0"/>
              <w:right w:val="single" w:color="auto" w:sz="4" w:space="0"/>
            </w:tcBorders>
            <w:vAlign w:val="center"/>
          </w:tcPr>
          <w:p>
            <w:pPr>
              <w:jc w:val="center"/>
              <w:rPr>
                <w:rFonts w:cs="Times New Roman"/>
                <w:b/>
                <w:bCs/>
                <w:sz w:val="20"/>
                <w:szCs w:val="20"/>
              </w:rPr>
            </w:pPr>
            <w:r>
              <w:rPr>
                <w:rFonts w:hint="eastAsia"/>
                <w:b/>
                <w:bCs/>
                <w:sz w:val="20"/>
                <w:szCs w:val="20"/>
              </w:rPr>
              <w:t>华东市场</w:t>
            </w: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华东国产混调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3415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3415</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上海国产混调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3570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3570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宁波国产混调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3550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3550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南通国产混调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3450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3450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PrEx>
        <w:trPr>
          <w:trHeight w:val="342"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nil"/>
              <w:right w:val="nil"/>
            </w:tcBorders>
            <w:vAlign w:val="center"/>
          </w:tcPr>
          <w:p>
            <w:pPr>
              <w:jc w:val="center"/>
              <w:rPr>
                <w:rFonts w:cs="Times New Roman"/>
                <w:sz w:val="20"/>
                <w:szCs w:val="20"/>
              </w:rPr>
            </w:pPr>
            <w:r>
              <w:rPr>
                <w:rFonts w:hint="eastAsia"/>
                <w:sz w:val="20"/>
                <w:szCs w:val="20"/>
              </w:rPr>
              <w:t>俄罗斯</w:t>
            </w:r>
            <w:r>
              <w:rPr>
                <w:sz w:val="20"/>
                <w:szCs w:val="20"/>
              </w:rPr>
              <w:t>M100</w:t>
            </w:r>
          </w:p>
        </w:tc>
        <w:tc>
          <w:tcPr>
            <w:tcW w:w="820" w:type="dxa"/>
            <w:tcBorders>
              <w:top w:val="nil"/>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color w:val="4743E5"/>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4743E5"/>
                <w:sz w:val="20"/>
                <w:szCs w:val="20"/>
              </w:rPr>
            </w:pPr>
            <w:r>
              <w:rPr>
                <w:rFonts w:hint="eastAsia" w:ascii="宋体" w:hAnsi="宋体" w:eastAsia="宋体" w:cs="宋体"/>
                <w:i w:val="0"/>
                <w:color w:val="000000"/>
                <w:kern w:val="0"/>
                <w:sz w:val="20"/>
                <w:szCs w:val="20"/>
                <w:u w:val="none"/>
                <w:lang w:val="en-US" w:eastAsia="zh-CN" w:bidi="ar"/>
              </w:rPr>
              <w:t>3940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4743E5"/>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3940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single" w:color="auto" w:sz="4" w:space="0"/>
              <w:left w:val="nil"/>
              <w:bottom w:val="single" w:color="auto" w:sz="4" w:space="0"/>
              <w:right w:val="single" w:color="auto" w:sz="4" w:space="0"/>
            </w:tcBorders>
            <w:shd w:val="clear" w:color="auto" w:fill="FFFFFF"/>
            <w:vAlign w:val="center"/>
          </w:tcPr>
          <w:p>
            <w:pPr>
              <w:jc w:val="center"/>
              <w:rPr>
                <w:rFonts w:cs="Times New Roman"/>
                <w:sz w:val="20"/>
                <w:szCs w:val="20"/>
              </w:rPr>
            </w:pPr>
            <w:r>
              <w:rPr>
                <w:rFonts w:hint="eastAsia"/>
                <w:sz w:val="20"/>
                <w:szCs w:val="20"/>
              </w:rPr>
              <w:t>俄罗斯</w:t>
            </w:r>
            <w:r>
              <w:rPr>
                <w:sz w:val="20"/>
                <w:szCs w:val="20"/>
              </w:rPr>
              <w:t>M100</w:t>
            </w:r>
            <w:r>
              <w:rPr>
                <w:rFonts w:hint="eastAsia"/>
                <w:sz w:val="20"/>
                <w:szCs w:val="20"/>
              </w:rPr>
              <w:t>贴水（美元）</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cs="宋体"/>
                <w:i w:val="0"/>
                <w:color w:val="000000"/>
                <w:kern w:val="0"/>
                <w:sz w:val="20"/>
                <w:szCs w:val="20"/>
                <w:u w:val="none"/>
                <w:lang w:val="en-US" w:eastAsia="zh-CN" w:bidi="ar"/>
              </w:rPr>
              <w:t>35-</w:t>
            </w:r>
            <w:r>
              <w:rPr>
                <w:rFonts w:hint="eastAsia" w:ascii="宋体" w:hAnsi="宋体" w:eastAsia="宋体" w:cs="宋体"/>
                <w:i w:val="0"/>
                <w:color w:val="000000"/>
                <w:kern w:val="0"/>
                <w:sz w:val="20"/>
                <w:szCs w:val="20"/>
                <w:u w:val="none"/>
                <w:lang w:val="en-US" w:eastAsia="zh-CN" w:bidi="ar"/>
              </w:rPr>
              <w:t>39</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35-39</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华东（</w:t>
            </w:r>
            <w:r>
              <w:rPr>
                <w:sz w:val="20"/>
                <w:szCs w:val="20"/>
              </w:rPr>
              <w:t>5</w:t>
            </w:r>
            <w:r>
              <w:rPr>
                <w:rFonts w:hint="eastAsia"/>
                <w:sz w:val="20"/>
                <w:szCs w:val="20"/>
              </w:rPr>
              <w:t>月下</w:t>
            </w:r>
            <w:r>
              <w:rPr>
                <w:sz w:val="20"/>
                <w:szCs w:val="20"/>
              </w:rPr>
              <w:t>6</w:t>
            </w:r>
            <w:r>
              <w:rPr>
                <w:rFonts w:hint="eastAsia"/>
                <w:sz w:val="20"/>
                <w:szCs w:val="20"/>
              </w:rPr>
              <w:t>月上旬）</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国产调和</w:t>
            </w:r>
            <w:r>
              <w:rPr>
                <w:sz w:val="20"/>
                <w:szCs w:val="20"/>
              </w:rPr>
              <w:t>250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FF"/>
                <w:kern w:val="0"/>
                <w:sz w:val="20"/>
                <w:szCs w:val="20"/>
                <w:u w:val="none"/>
                <w:lang w:val="en-US" w:eastAsia="zh-CN" w:bidi="ar"/>
              </w:rPr>
              <w:t>-50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FF"/>
                <w:kern w:val="0"/>
                <w:sz w:val="20"/>
                <w:szCs w:val="20"/>
                <w:u w:val="none"/>
                <w:lang w:val="en-US" w:eastAsia="zh-CN" w:bidi="ar"/>
              </w:rPr>
              <w:t>2850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i w:val="0"/>
                <w:color w:val="0000FF"/>
                <w:kern w:val="0"/>
                <w:sz w:val="20"/>
                <w:szCs w:val="20"/>
                <w:u w:val="none"/>
                <w:lang w:val="en-US" w:eastAsia="zh-CN" w:bidi="ar"/>
              </w:rPr>
              <w:t>2900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华东油浆</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2370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2370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restart"/>
            <w:tcBorders>
              <w:top w:val="nil"/>
              <w:left w:val="single" w:color="auto" w:sz="4" w:space="0"/>
              <w:bottom w:val="single" w:color="000000" w:sz="4" w:space="0"/>
              <w:right w:val="single" w:color="auto" w:sz="4" w:space="0"/>
            </w:tcBorders>
            <w:vAlign w:val="center"/>
          </w:tcPr>
          <w:p>
            <w:pPr>
              <w:jc w:val="center"/>
              <w:rPr>
                <w:rFonts w:cs="Times New Roman"/>
                <w:b/>
                <w:bCs/>
                <w:sz w:val="20"/>
                <w:szCs w:val="20"/>
              </w:rPr>
            </w:pPr>
            <w:r>
              <w:rPr>
                <w:rFonts w:hint="eastAsia"/>
                <w:b/>
                <w:bCs/>
                <w:sz w:val="20"/>
                <w:szCs w:val="20"/>
              </w:rPr>
              <w:t>山东市场</w:t>
            </w: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直馏高硫</w:t>
            </w:r>
            <w:r>
              <w:rPr>
                <w:sz w:val="20"/>
                <w:szCs w:val="20"/>
              </w:rPr>
              <w:t>180CST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FF0000"/>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FF0000"/>
                <w:sz w:val="20"/>
                <w:szCs w:val="20"/>
              </w:rPr>
            </w:pPr>
            <w:r>
              <w:rPr>
                <w:rFonts w:hint="eastAsia" w:ascii="宋体" w:hAnsi="宋体" w:eastAsia="宋体" w:cs="宋体"/>
                <w:i w:val="0"/>
                <w:color w:val="000000"/>
                <w:kern w:val="0"/>
                <w:sz w:val="20"/>
                <w:szCs w:val="20"/>
                <w:u w:val="none"/>
                <w:lang w:val="en-US" w:eastAsia="zh-CN" w:bidi="ar"/>
              </w:rPr>
              <w:t>3710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3710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俄罗斯</w:t>
            </w:r>
            <w:r>
              <w:rPr>
                <w:sz w:val="20"/>
                <w:szCs w:val="20"/>
              </w:rPr>
              <w:t>M100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FF"/>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4743E5"/>
                <w:sz w:val="20"/>
                <w:szCs w:val="20"/>
              </w:rPr>
            </w:pPr>
            <w:r>
              <w:rPr>
                <w:rFonts w:hint="eastAsia" w:ascii="宋体" w:hAnsi="宋体" w:eastAsia="宋体" w:cs="宋体"/>
                <w:i w:val="0"/>
                <w:color w:val="000000"/>
                <w:kern w:val="0"/>
                <w:sz w:val="20"/>
                <w:szCs w:val="20"/>
                <w:u w:val="none"/>
                <w:lang w:val="en-US" w:eastAsia="zh-CN" w:bidi="ar"/>
              </w:rPr>
              <w:t>3910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4743E5"/>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3910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俄罗斯</w:t>
            </w:r>
            <w:r>
              <w:rPr>
                <w:sz w:val="20"/>
                <w:szCs w:val="20"/>
              </w:rPr>
              <w:t>M100</w:t>
            </w:r>
            <w:r>
              <w:rPr>
                <w:rFonts w:hint="eastAsia"/>
                <w:sz w:val="20"/>
                <w:szCs w:val="20"/>
              </w:rPr>
              <w:t>贴水（美元）</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cs="宋体"/>
                <w:i w:val="0"/>
                <w:color w:val="000000"/>
                <w:kern w:val="0"/>
                <w:sz w:val="20"/>
                <w:szCs w:val="20"/>
                <w:u w:val="none"/>
                <w:lang w:val="en-US" w:eastAsia="zh-CN" w:bidi="ar"/>
              </w:rPr>
              <w:t>34-</w:t>
            </w:r>
            <w:r>
              <w:rPr>
                <w:rFonts w:hint="eastAsia" w:ascii="宋体" w:hAnsi="宋体" w:eastAsia="宋体" w:cs="宋体"/>
                <w:i w:val="0"/>
                <w:color w:val="000000"/>
                <w:kern w:val="0"/>
                <w:sz w:val="20"/>
                <w:szCs w:val="20"/>
                <w:u w:val="none"/>
                <w:lang w:val="en-US" w:eastAsia="zh-CN" w:bidi="ar"/>
              </w:rPr>
              <w:t>36</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34-36</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山东（</w:t>
            </w:r>
            <w:r>
              <w:rPr>
                <w:sz w:val="20"/>
                <w:szCs w:val="20"/>
              </w:rPr>
              <w:t>5</w:t>
            </w:r>
            <w:r>
              <w:rPr>
                <w:rFonts w:hint="eastAsia"/>
                <w:sz w:val="20"/>
                <w:szCs w:val="20"/>
              </w:rPr>
              <w:t>月下</w:t>
            </w:r>
            <w:r>
              <w:rPr>
                <w:sz w:val="20"/>
                <w:szCs w:val="20"/>
              </w:rPr>
              <w:t>6</w:t>
            </w:r>
            <w:r>
              <w:rPr>
                <w:rFonts w:hint="eastAsia"/>
                <w:sz w:val="20"/>
                <w:szCs w:val="20"/>
              </w:rPr>
              <w:t>月上旬）</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焦化原料（带沥青票）</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2800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i w:val="0"/>
                <w:color w:val="000000"/>
                <w:kern w:val="0"/>
                <w:sz w:val="20"/>
                <w:szCs w:val="20"/>
                <w:u w:val="none"/>
                <w:lang w:val="en-US" w:eastAsia="zh-CN" w:bidi="ar"/>
              </w:rPr>
              <w:t>2800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油浆（密度密度</w:t>
            </w:r>
            <w:r>
              <w:rPr>
                <w:sz w:val="20"/>
                <w:szCs w:val="20"/>
              </w:rPr>
              <w:t>1.03-1.06</w:t>
            </w:r>
            <w:r>
              <w:rPr>
                <w:rFonts w:hint="eastAsia"/>
                <w:sz w:val="20"/>
                <w:szCs w:val="20"/>
              </w:rPr>
              <w:t>沥青票）</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000FF"/>
                <w:sz w:val="20"/>
                <w:szCs w:val="20"/>
                <w:lang w:val="en-US" w:eastAsia="zh-CN"/>
              </w:rPr>
            </w:pPr>
            <w:r>
              <w:rPr>
                <w:rFonts w:hint="eastAsia" w:ascii="宋体" w:hAnsi="宋体" w:eastAsia="宋体" w:cs="宋体"/>
                <w:i w:val="0"/>
                <w:color w:val="FF0000"/>
                <w:kern w:val="0"/>
                <w:sz w:val="20"/>
                <w:szCs w:val="20"/>
                <w:u w:val="none"/>
                <w:lang w:val="en-US" w:eastAsia="zh-CN" w:bidi="ar"/>
              </w:rPr>
              <w:t>-30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4743E5"/>
                <w:sz w:val="20"/>
                <w:szCs w:val="20"/>
                <w:lang w:val="en-US" w:eastAsia="zh-CN"/>
              </w:rPr>
            </w:pPr>
            <w:r>
              <w:rPr>
                <w:rFonts w:hint="eastAsia" w:ascii="宋体" w:hAnsi="宋体" w:eastAsia="宋体" w:cs="宋体"/>
                <w:i w:val="0"/>
                <w:color w:val="FF0000"/>
                <w:kern w:val="0"/>
                <w:sz w:val="20"/>
                <w:szCs w:val="20"/>
                <w:u w:val="none"/>
                <w:lang w:val="en-US" w:eastAsia="zh-CN" w:bidi="ar"/>
              </w:rPr>
              <w:t>2350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4743E5"/>
                <w:sz w:val="20"/>
                <w:szCs w:val="20"/>
                <w:lang w:val="en-US" w:eastAsia="zh-CN"/>
              </w:rPr>
            </w:pPr>
            <w:r>
              <w:rPr>
                <w:rFonts w:hint="eastAsia" w:ascii="宋体" w:hAnsi="宋体" w:eastAsia="宋体" w:cs="宋体"/>
                <w:b w:val="0"/>
                <w:bCs w:val="0"/>
                <w:i w:val="0"/>
                <w:color w:val="FF0000"/>
                <w:kern w:val="0"/>
                <w:sz w:val="20"/>
                <w:szCs w:val="20"/>
                <w:u w:val="none"/>
                <w:lang w:val="en-US" w:eastAsia="zh-CN" w:bidi="ar"/>
              </w:rPr>
              <w:t>2380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油浆（密度</w:t>
            </w:r>
            <w:r>
              <w:rPr>
                <w:sz w:val="20"/>
                <w:szCs w:val="20"/>
              </w:rPr>
              <w:t>1.1</w:t>
            </w:r>
            <w:r>
              <w:rPr>
                <w:rFonts w:hint="eastAsia"/>
                <w:sz w:val="20"/>
                <w:szCs w:val="20"/>
              </w:rPr>
              <w:t>左右沥青票</w:t>
            </w:r>
            <w:r>
              <w:rPr>
                <w:rFonts w:hint="eastAsia"/>
                <w:sz w:val="21"/>
                <w:szCs w:val="21"/>
              </w:rPr>
              <w: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000FF"/>
                <w:sz w:val="20"/>
                <w:szCs w:val="20"/>
                <w:lang w:val="en-US" w:eastAsia="zh-CN"/>
              </w:rPr>
            </w:pPr>
            <w:r>
              <w:rPr>
                <w:rFonts w:hint="eastAsia" w:ascii="宋体" w:hAnsi="宋体" w:eastAsia="宋体" w:cs="宋体"/>
                <w:i w:val="0"/>
                <w:color w:val="0000FF"/>
                <w:kern w:val="0"/>
                <w:sz w:val="20"/>
                <w:szCs w:val="20"/>
                <w:u w:val="none"/>
                <w:lang w:val="en-US" w:eastAsia="zh-CN" w:bidi="ar"/>
              </w:rPr>
              <w:t>-30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0000FF"/>
                <w:sz w:val="20"/>
                <w:szCs w:val="20"/>
                <w:lang w:val="en-US" w:eastAsia="zh-CN"/>
              </w:rPr>
            </w:pPr>
            <w:r>
              <w:rPr>
                <w:rFonts w:hint="eastAsia" w:ascii="宋体" w:hAnsi="宋体" w:eastAsia="宋体" w:cs="宋体"/>
                <w:i w:val="0"/>
                <w:color w:val="0000FF"/>
                <w:kern w:val="0"/>
                <w:sz w:val="20"/>
                <w:szCs w:val="20"/>
                <w:u w:val="none"/>
                <w:lang w:val="en-US" w:eastAsia="zh-CN" w:bidi="ar"/>
              </w:rPr>
              <w:t>2270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0000FF"/>
                <w:sz w:val="20"/>
                <w:szCs w:val="20"/>
                <w:lang w:val="en-US" w:eastAsia="zh-CN"/>
              </w:rPr>
            </w:pPr>
            <w:r>
              <w:rPr>
                <w:rFonts w:hint="eastAsia" w:ascii="宋体" w:hAnsi="宋体" w:eastAsia="宋体" w:cs="宋体"/>
                <w:b w:val="0"/>
                <w:bCs w:val="0"/>
                <w:i w:val="0"/>
                <w:color w:val="0000FF"/>
                <w:kern w:val="0"/>
                <w:sz w:val="20"/>
                <w:szCs w:val="20"/>
                <w:u w:val="none"/>
                <w:lang w:val="en-US" w:eastAsia="zh-CN" w:bidi="ar"/>
              </w:rPr>
              <w:t>2300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nil"/>
              <w:right w:val="single" w:color="auto" w:sz="4" w:space="0"/>
            </w:tcBorders>
            <w:vAlign w:val="center"/>
          </w:tcPr>
          <w:p>
            <w:pPr>
              <w:rPr>
                <w:rFonts w:cs="Times New Roman"/>
                <w:b/>
                <w:bCs/>
                <w:sz w:val="20"/>
                <w:szCs w:val="20"/>
              </w:rPr>
            </w:pPr>
          </w:p>
        </w:tc>
        <w:tc>
          <w:tcPr>
            <w:tcW w:w="2533" w:type="dxa"/>
            <w:tcBorders>
              <w:top w:val="nil"/>
              <w:left w:val="nil"/>
              <w:bottom w:val="nil"/>
              <w:right w:val="single" w:color="auto" w:sz="4" w:space="0"/>
            </w:tcBorders>
            <w:vAlign w:val="center"/>
          </w:tcPr>
          <w:p>
            <w:pPr>
              <w:jc w:val="center"/>
              <w:rPr>
                <w:rFonts w:cs="Times New Roman"/>
                <w:sz w:val="20"/>
                <w:szCs w:val="20"/>
              </w:rPr>
            </w:pPr>
            <w:r>
              <w:rPr>
                <w:rFonts w:hint="eastAsia"/>
                <w:sz w:val="20"/>
                <w:szCs w:val="20"/>
              </w:rPr>
              <w:t>常渣（密度</w:t>
            </w:r>
            <w:r>
              <w:rPr>
                <w:sz w:val="20"/>
                <w:szCs w:val="20"/>
              </w:rPr>
              <w:t>0.95</w:t>
            </w:r>
            <w:r>
              <w:rPr>
                <w:rFonts w:hint="eastAsia"/>
                <w:sz w:val="20"/>
                <w:szCs w:val="20"/>
              </w:rPr>
              <w:t>左右）</w:t>
            </w:r>
          </w:p>
        </w:tc>
        <w:tc>
          <w:tcPr>
            <w:tcW w:w="820" w:type="dxa"/>
            <w:tcBorders>
              <w:top w:val="nil"/>
              <w:left w:val="nil"/>
              <w:bottom w:val="nil"/>
              <w:right w:val="single" w:color="auto" w:sz="4" w:space="0"/>
            </w:tcBorders>
            <w:shd w:val="clear" w:color="auto" w:fill="FFFFFF"/>
            <w:vAlign w:val="center"/>
          </w:tcPr>
          <w:p>
            <w:pPr>
              <w:jc w:val="center"/>
              <w:rPr>
                <w:rFonts w:cs="Times New Roman"/>
                <w:sz w:val="20"/>
                <w:szCs w:val="20"/>
              </w:rPr>
            </w:pPr>
            <w:r>
              <w:rPr>
                <w:sz w:val="20"/>
                <w:szCs w:val="20"/>
              </w:rPr>
              <w:t>0</w:t>
            </w:r>
          </w:p>
        </w:tc>
        <w:tc>
          <w:tcPr>
            <w:tcW w:w="964" w:type="dxa"/>
            <w:tcBorders>
              <w:top w:val="nil"/>
              <w:left w:val="nil"/>
              <w:bottom w:val="nil"/>
              <w:right w:val="single" w:color="auto" w:sz="4" w:space="0"/>
            </w:tcBorders>
            <w:shd w:val="clear" w:color="auto" w:fill="FFFFFF"/>
            <w:textDirection w:val="lrTb"/>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N/A</w:t>
            </w:r>
          </w:p>
        </w:tc>
        <w:tc>
          <w:tcPr>
            <w:tcW w:w="964" w:type="dxa"/>
            <w:tcBorders>
              <w:top w:val="nil"/>
              <w:left w:val="nil"/>
              <w:bottom w:val="nil"/>
              <w:right w:val="single" w:color="auto" w:sz="4" w:space="0"/>
            </w:tcBorders>
            <w:shd w:val="clear" w:color="auto" w:fill="FFFFFF"/>
            <w:textDirection w:val="lrTb"/>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color w:val="000000"/>
                <w:kern w:val="0"/>
                <w:sz w:val="20"/>
                <w:szCs w:val="20"/>
                <w:u w:val="none"/>
                <w:lang w:val="en-US" w:eastAsia="zh-CN" w:bidi="ar"/>
              </w:rPr>
              <w:t>N/A</w:t>
            </w:r>
          </w:p>
        </w:tc>
        <w:tc>
          <w:tcPr>
            <w:tcW w:w="2284" w:type="dxa"/>
            <w:tcBorders>
              <w:top w:val="nil"/>
              <w:left w:val="nil"/>
              <w:bottom w:val="nil"/>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1658" w:hRule="atLeast"/>
        </w:trPr>
        <w:tc>
          <w:tcPr>
            <w:tcW w:w="963" w:type="dxa"/>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7565" w:type="dxa"/>
            <w:gridSpan w:val="5"/>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1"/>
                <w:szCs w:val="21"/>
              </w:rPr>
              <w:t>备注：</w:t>
            </w:r>
            <w:r>
              <w:rPr>
                <w:sz w:val="21"/>
                <w:szCs w:val="21"/>
              </w:rPr>
              <w:t>1</w:t>
            </w:r>
            <w:r>
              <w:rPr>
                <w:rFonts w:hint="eastAsia"/>
                <w:sz w:val="21"/>
                <w:szCs w:val="21"/>
              </w:rPr>
              <w:t>自</w:t>
            </w:r>
            <w:r>
              <w:rPr>
                <w:sz w:val="21"/>
                <w:szCs w:val="21"/>
              </w:rPr>
              <w:t>2015</w:t>
            </w:r>
            <w:r>
              <w:rPr>
                <w:rFonts w:hint="eastAsia"/>
                <w:sz w:val="21"/>
                <w:szCs w:val="21"/>
              </w:rPr>
              <w:t>年</w:t>
            </w:r>
            <w:r>
              <w:rPr>
                <w:sz w:val="21"/>
                <w:szCs w:val="21"/>
              </w:rPr>
              <w:t>6</w:t>
            </w:r>
            <w:r>
              <w:rPr>
                <w:rFonts w:hint="eastAsia"/>
                <w:sz w:val="21"/>
                <w:szCs w:val="21"/>
              </w:rPr>
              <w:t>月</w:t>
            </w:r>
            <w:r>
              <w:rPr>
                <w:sz w:val="21"/>
                <w:szCs w:val="21"/>
              </w:rPr>
              <w:t>10</w:t>
            </w:r>
            <w:r>
              <w:rPr>
                <w:rFonts w:hint="eastAsia"/>
                <w:sz w:val="21"/>
                <w:szCs w:val="21"/>
              </w:rPr>
              <w:t>日起，新增进口稀释沥青估价，该估价含沥青票，为港口库船提价格。</w:t>
            </w:r>
            <w:r>
              <w:rPr>
                <w:rFonts w:cs="Times New Roman"/>
                <w:sz w:val="21"/>
                <w:szCs w:val="21"/>
              </w:rPr>
              <w:br w:type="textWrapping"/>
            </w:r>
            <w:r>
              <w:rPr>
                <w:sz w:val="21"/>
                <w:szCs w:val="21"/>
              </w:rPr>
              <w:t xml:space="preserve">      2</w:t>
            </w:r>
            <w:r>
              <w:rPr>
                <w:rFonts w:hint="eastAsia"/>
                <w:sz w:val="21"/>
                <w:szCs w:val="21"/>
              </w:rPr>
              <w:t>、近期山东地区常渣外销量稀少，于</w:t>
            </w:r>
            <w:r>
              <w:rPr>
                <w:sz w:val="21"/>
                <w:szCs w:val="21"/>
              </w:rPr>
              <w:t>2016</w:t>
            </w:r>
            <w:r>
              <w:rPr>
                <w:rFonts w:hint="eastAsia"/>
                <w:sz w:val="21"/>
                <w:szCs w:val="21"/>
              </w:rPr>
              <w:t>年</w:t>
            </w:r>
            <w:r>
              <w:rPr>
                <w:sz w:val="21"/>
                <w:szCs w:val="21"/>
              </w:rPr>
              <w:t>3</w:t>
            </w:r>
            <w:r>
              <w:rPr>
                <w:rFonts w:hint="eastAsia"/>
                <w:sz w:val="21"/>
                <w:szCs w:val="21"/>
              </w:rPr>
              <w:t>月</w:t>
            </w:r>
            <w:r>
              <w:rPr>
                <w:sz w:val="21"/>
                <w:szCs w:val="21"/>
              </w:rPr>
              <w:t>22</w:t>
            </w:r>
            <w:r>
              <w:rPr>
                <w:rFonts w:hint="eastAsia"/>
                <w:sz w:val="21"/>
                <w:szCs w:val="21"/>
              </w:rPr>
              <w:t>日起暂停常渣成交估价。</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spacing w:before="240" w:after="240" w:line="240" w:lineRule="auto"/>
        <w:rPr>
          <w:rFonts w:ascii="宋体" w:hAnsi="宋体" w:eastAsia="宋体" w:cs="Times New Roman"/>
          <w:sz w:val="24"/>
          <w:szCs w:val="24"/>
        </w:rPr>
      </w:pPr>
      <w:r>
        <w:rPr>
          <w:rFonts w:ascii="宋体" w:hAnsi="宋体" w:eastAsia="宋体" w:cs="宋体"/>
          <w:sz w:val="24"/>
          <w:szCs w:val="24"/>
        </w:rPr>
        <w:t>2.5</w:t>
      </w:r>
      <w:r>
        <w:rPr>
          <w:rFonts w:hint="eastAsia" w:ascii="宋体" w:hAnsi="宋体" w:eastAsia="宋体" w:cs="宋体"/>
          <w:sz w:val="24"/>
          <w:szCs w:val="24"/>
        </w:rPr>
        <w:t>上海期货交易所收盘数据</w:t>
      </w:r>
      <w:bookmarkEnd w:id="35"/>
    </w:p>
    <w:tbl>
      <w:tblPr>
        <w:tblStyle w:val="29"/>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733"/>
        <w:gridCol w:w="733"/>
        <w:gridCol w:w="732"/>
        <w:gridCol w:w="732"/>
        <w:gridCol w:w="732"/>
        <w:gridCol w:w="732"/>
        <w:gridCol w:w="560"/>
        <w:gridCol w:w="732"/>
        <w:gridCol w:w="73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4" w:hRule="atLeast"/>
        </w:trPr>
        <w:tc>
          <w:tcPr>
            <w:tcW w:w="8528" w:type="dxa"/>
            <w:gridSpan w:val="11"/>
            <w:vAlign w:val="center"/>
          </w:tcPr>
          <w:p>
            <w:pPr>
              <w:rPr>
                <w:rFonts w:cs="Times New Roman"/>
                <w:sz w:val="20"/>
                <w:szCs w:val="20"/>
              </w:rPr>
            </w:pPr>
            <w:r>
              <w:rPr>
                <w:rFonts w:hint="eastAsia"/>
                <w:sz w:val="20"/>
                <w:szCs w:val="20"/>
              </w:rPr>
              <w:t>交易货币：人民币</w:t>
            </w:r>
            <w:r>
              <w:rPr>
                <w:rFonts w:cs="Times New Roman"/>
                <w:sz w:val="20"/>
                <w:szCs w:val="20"/>
              </w:rPr>
              <w:t>  </w:t>
            </w:r>
            <w:r>
              <w:rPr>
                <w:rFonts w:hint="eastAsia"/>
                <w:sz w:val="20"/>
                <w:szCs w:val="20"/>
              </w:rPr>
              <w:t>交易单位：</w:t>
            </w:r>
            <w:r>
              <w:rPr>
                <w:sz w:val="20"/>
                <w:szCs w:val="20"/>
              </w:rPr>
              <w:t>50</w:t>
            </w:r>
            <w:r>
              <w:rPr>
                <w:rFonts w:hint="eastAsia"/>
                <w:sz w:val="20"/>
                <w:szCs w:val="20"/>
              </w:rPr>
              <w:t>吨</w:t>
            </w:r>
            <w:r>
              <w:rPr>
                <w:sz w:val="20"/>
                <w:szCs w:val="20"/>
              </w:rPr>
              <w:t>/</w:t>
            </w:r>
            <w:r>
              <w:rPr>
                <w:rFonts w:hint="eastAsia"/>
                <w:sz w:val="20"/>
                <w:szCs w:val="20"/>
              </w:rPr>
              <w:t>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shd w:val="clear" w:color="auto" w:fill="99CCFF"/>
          </w:tcPr>
          <w:p>
            <w:pPr>
              <w:jc w:val="center"/>
              <w:rPr>
                <w:rFonts w:ascii="Arial" w:hAnsi="Arial" w:cs="Arial"/>
                <w:color w:val="000000"/>
                <w:sz w:val="20"/>
                <w:szCs w:val="20"/>
              </w:rPr>
            </w:pPr>
            <w:r>
              <w:rPr>
                <w:rFonts w:hint="eastAsia" w:ascii="Arial" w:hAnsi="Arial"/>
                <w:color w:val="000000"/>
                <w:sz w:val="20"/>
                <w:szCs w:val="20"/>
              </w:rPr>
              <w:t>品种名</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昨结算</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今开盘</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最低价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收盘价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结算价</w:t>
            </w:r>
          </w:p>
        </w:tc>
        <w:tc>
          <w:tcPr>
            <w:tcW w:w="560" w:type="dxa"/>
            <w:shd w:val="clear" w:color="auto" w:fill="99CCFF"/>
          </w:tcPr>
          <w:p>
            <w:pPr>
              <w:jc w:val="center"/>
              <w:rPr>
                <w:rFonts w:cs="Times New Roman"/>
                <w:color w:val="000000"/>
                <w:sz w:val="20"/>
                <w:szCs w:val="20"/>
              </w:rPr>
            </w:pPr>
            <w:r>
              <w:rPr>
                <w:rFonts w:hint="eastAsia"/>
                <w:color w:val="000000"/>
                <w:sz w:val="20"/>
                <w:szCs w:val="20"/>
              </w:rPr>
              <w:t>升跌</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成交量</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持仓量</w:t>
            </w:r>
          </w:p>
        </w:tc>
        <w:tc>
          <w:tcPr>
            <w:tcW w:w="990" w:type="dxa"/>
            <w:shd w:val="clear" w:color="auto" w:fill="99CCFF"/>
          </w:tcPr>
          <w:p>
            <w:pPr>
              <w:jc w:val="center"/>
              <w:rPr>
                <w:rFonts w:ascii="Arial" w:hAnsi="Arial" w:cs="Arial"/>
                <w:color w:val="000000"/>
                <w:sz w:val="20"/>
                <w:szCs w:val="20"/>
              </w:rPr>
            </w:pPr>
            <w:r>
              <w:rPr>
                <w:rFonts w:hint="eastAsia" w:ascii="Arial" w:hAnsi="Arial"/>
                <w:color w:val="000000"/>
                <w:sz w:val="20"/>
                <w:szCs w:val="2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vAlign w:val="center"/>
          </w:tcPr>
          <w:p>
            <w:pPr>
              <w:jc w:val="right"/>
              <w:rPr>
                <w:rFonts w:cs="Times New Roman"/>
                <w:sz w:val="20"/>
                <w:szCs w:val="20"/>
              </w:rPr>
            </w:pPr>
            <w:r>
              <w:rPr>
                <w:rFonts w:hint="eastAsia"/>
                <w:sz w:val="20"/>
                <w:szCs w:val="20"/>
              </w:rPr>
              <w:t>燃料油</w:t>
            </w:r>
            <w:r>
              <w:rPr>
                <w:sz w:val="20"/>
                <w:szCs w:val="20"/>
              </w:rPr>
              <w:t>1711</w:t>
            </w:r>
          </w:p>
        </w:tc>
        <w:tc>
          <w:tcPr>
            <w:tcW w:w="733" w:type="dxa"/>
            <w:vAlign w:val="center"/>
          </w:tcPr>
          <w:p>
            <w:pPr>
              <w:jc w:val="right"/>
              <w:rPr>
                <w:rFonts w:cs="Times New Roman"/>
                <w:sz w:val="20"/>
                <w:szCs w:val="20"/>
              </w:rPr>
            </w:pPr>
            <w:r>
              <w:rPr>
                <w:sz w:val="20"/>
                <w:szCs w:val="20"/>
              </w:rPr>
              <w:t>3</w:t>
            </w:r>
            <w:r>
              <w:rPr>
                <w:rFonts w:hint="eastAsia"/>
                <w:sz w:val="20"/>
                <w:szCs w:val="20"/>
                <w:lang w:val="en-US" w:eastAsia="zh-CN"/>
              </w:rPr>
              <w:t>823</w:t>
            </w:r>
          </w:p>
        </w:tc>
        <w:tc>
          <w:tcPr>
            <w:tcW w:w="733" w:type="dxa"/>
            <w:vAlign w:val="center"/>
          </w:tcPr>
          <w:p>
            <w:pPr>
              <w:jc w:val="right"/>
              <w:rPr>
                <w:rFonts w:cs="Times New Roman"/>
                <w:sz w:val="20"/>
                <w:szCs w:val="20"/>
              </w:rPr>
            </w:pPr>
            <w:r>
              <w:rPr>
                <w:sz w:val="20"/>
                <w:szCs w:val="20"/>
              </w:rPr>
              <w:t>38</w:t>
            </w:r>
            <w:r>
              <w:rPr>
                <w:rFonts w:hint="eastAsia"/>
                <w:sz w:val="20"/>
                <w:szCs w:val="20"/>
                <w:lang w:val="en-US" w:eastAsia="zh-CN"/>
              </w:rPr>
              <w:t>35</w:t>
            </w:r>
          </w:p>
        </w:tc>
        <w:tc>
          <w:tcPr>
            <w:tcW w:w="732" w:type="dxa"/>
          </w:tcPr>
          <w:p>
            <w:pPr>
              <w:rPr>
                <w:rFonts w:cs="Times New Roman"/>
              </w:rPr>
            </w:pPr>
            <w:r>
              <w:rPr>
                <w:sz w:val="20"/>
                <w:szCs w:val="20"/>
              </w:rPr>
              <w:t>38</w:t>
            </w:r>
            <w:r>
              <w:rPr>
                <w:rFonts w:hint="eastAsia"/>
                <w:sz w:val="20"/>
                <w:szCs w:val="20"/>
                <w:lang w:val="en-US" w:eastAsia="zh-CN"/>
              </w:rPr>
              <w:t>35</w:t>
            </w:r>
          </w:p>
        </w:tc>
        <w:tc>
          <w:tcPr>
            <w:tcW w:w="732" w:type="dxa"/>
          </w:tcPr>
          <w:p>
            <w:pPr>
              <w:rPr>
                <w:rFonts w:cs="Times New Roman"/>
              </w:rPr>
            </w:pPr>
            <w:r>
              <w:rPr>
                <w:sz w:val="20"/>
                <w:szCs w:val="20"/>
              </w:rPr>
              <w:t>37</w:t>
            </w:r>
            <w:r>
              <w:rPr>
                <w:rFonts w:hint="eastAsia"/>
                <w:sz w:val="20"/>
                <w:szCs w:val="20"/>
                <w:lang w:val="en-US" w:eastAsia="zh-CN"/>
              </w:rPr>
              <w:t>86</w:t>
            </w:r>
          </w:p>
        </w:tc>
        <w:tc>
          <w:tcPr>
            <w:tcW w:w="732" w:type="dxa"/>
          </w:tcPr>
          <w:p>
            <w:pPr>
              <w:rPr>
                <w:rFonts w:cs="Times New Roman"/>
              </w:rPr>
            </w:pPr>
            <w:r>
              <w:rPr>
                <w:sz w:val="20"/>
                <w:szCs w:val="20"/>
              </w:rPr>
              <w:t>37</w:t>
            </w:r>
            <w:r>
              <w:rPr>
                <w:rFonts w:hint="eastAsia"/>
                <w:sz w:val="20"/>
                <w:szCs w:val="20"/>
                <w:lang w:val="en-US" w:eastAsia="zh-CN"/>
              </w:rPr>
              <w:t>86</w:t>
            </w:r>
          </w:p>
        </w:tc>
        <w:tc>
          <w:tcPr>
            <w:tcW w:w="732" w:type="dxa"/>
          </w:tcPr>
          <w:p>
            <w:pPr>
              <w:rPr>
                <w:rFonts w:cs="Times New Roman"/>
              </w:rPr>
            </w:pPr>
            <w:r>
              <w:rPr>
                <w:sz w:val="20"/>
                <w:szCs w:val="20"/>
              </w:rPr>
              <w:t>38</w:t>
            </w:r>
            <w:r>
              <w:rPr>
                <w:rFonts w:hint="eastAsia"/>
                <w:sz w:val="20"/>
                <w:szCs w:val="20"/>
                <w:lang w:val="en-US" w:eastAsia="zh-CN"/>
              </w:rPr>
              <w:t>16</w:t>
            </w:r>
          </w:p>
        </w:tc>
        <w:tc>
          <w:tcPr>
            <w:tcW w:w="560"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-37</w:t>
            </w:r>
          </w:p>
        </w:tc>
        <w:tc>
          <w:tcPr>
            <w:tcW w:w="732" w:type="dxa"/>
            <w:vAlign w:val="center"/>
          </w:tcPr>
          <w:p>
            <w:pPr>
              <w:jc w:val="right"/>
              <w:rPr>
                <w:rFonts w:cs="Times New Roman"/>
                <w:sz w:val="20"/>
                <w:szCs w:val="20"/>
              </w:rPr>
            </w:pPr>
            <w:r>
              <w:rPr>
                <w:sz w:val="20"/>
                <w:szCs w:val="20"/>
              </w:rPr>
              <w:t>10</w:t>
            </w:r>
          </w:p>
        </w:tc>
        <w:tc>
          <w:tcPr>
            <w:tcW w:w="732"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2</w:t>
            </w:r>
          </w:p>
        </w:tc>
        <w:tc>
          <w:tcPr>
            <w:tcW w:w="990" w:type="dxa"/>
            <w:vAlign w:val="center"/>
          </w:tcPr>
          <w:p>
            <w:pPr>
              <w:jc w:val="right"/>
              <w:rPr>
                <w:rFonts w:cs="Times New Roman"/>
                <w:sz w:val="20"/>
                <w:szCs w:val="20"/>
              </w:rPr>
            </w:pPr>
            <w:r>
              <w:rPr>
                <w:rFonts w:hint="eastAsia"/>
                <w:sz w:val="20"/>
                <w:szCs w:val="20"/>
                <w:lang w:val="en-US" w:eastAsia="zh-CN"/>
              </w:rPr>
              <w:t>5</w:t>
            </w:r>
            <w:r>
              <w:rPr>
                <w:sz w:val="20"/>
                <w:szCs w:val="20"/>
              </w:rPr>
              <w:t>May17</w:t>
            </w:r>
          </w:p>
        </w:tc>
      </w:tr>
    </w:tbl>
    <w:p>
      <w:pPr>
        <w:rPr>
          <w:rFonts w:ascii="Arial" w:hAnsi="Arial" w:cs="Arial"/>
          <w:sz w:val="21"/>
          <w:szCs w:val="21"/>
        </w:rPr>
      </w:pPr>
    </w:p>
    <w:p>
      <w:pPr>
        <w:rPr>
          <w:rFonts w:hint="eastAsia" w:ascii="Arial" w:hAnsi="Arial"/>
          <w:sz w:val="21"/>
          <w:szCs w:val="21"/>
        </w:rPr>
      </w:pPr>
    </w:p>
    <w:p>
      <w:pPr>
        <w:rPr>
          <w:rFonts w:hint="eastAsia" w:ascii="Arial" w:hAnsi="Arial"/>
          <w:sz w:val="21"/>
          <w:szCs w:val="21"/>
        </w:rPr>
      </w:pPr>
    </w:p>
    <w:p>
      <w:pPr>
        <w:pStyle w:val="3"/>
        <w:spacing w:before="240" w:after="240" w:line="240" w:lineRule="auto"/>
        <w:rPr>
          <w:rFonts w:ascii="宋体" w:hAnsi="宋体" w:eastAsia="宋体" w:cs="Times New Roman"/>
          <w:sz w:val="24"/>
          <w:szCs w:val="24"/>
        </w:rPr>
      </w:pPr>
      <w:bookmarkStart w:id="36" w:name="_Toc436380344"/>
      <w:r>
        <w:rPr>
          <w:rFonts w:ascii="宋体" w:hAnsi="宋体" w:eastAsia="宋体" w:cs="宋体"/>
          <w:sz w:val="24"/>
          <w:szCs w:val="24"/>
        </w:rPr>
        <w:t>2. 6</w:t>
      </w:r>
      <w:r>
        <w:rPr>
          <w:rFonts w:hint="eastAsia" w:ascii="宋体" w:hAnsi="宋体" w:eastAsia="宋体" w:cs="宋体"/>
          <w:sz w:val="24"/>
          <w:szCs w:val="24"/>
        </w:rPr>
        <w:t>上海期货交易所收盘报告</w:t>
      </w:r>
      <w:bookmarkStart w:id="42" w:name="_GoBack"/>
      <w:bookmarkEnd w:id="42"/>
    </w:p>
    <w:bookmarkEnd w:id="32"/>
    <w:bookmarkEnd w:id="33"/>
    <w:bookmarkEnd w:id="36"/>
    <w:p>
      <w:pPr>
        <w:wordWrap w:val="0"/>
        <w:spacing w:after="90" w:line="288" w:lineRule="auto"/>
        <w:ind w:firstLine="480"/>
        <w:rPr>
          <w:rFonts w:cs="Times New Roman"/>
        </w:rPr>
      </w:pPr>
      <w:bookmarkStart w:id="37" w:name="_Toc436380345"/>
      <w:r>
        <w:rPr>
          <w:rFonts w:hint="eastAsia" w:ascii="Arial" w:hAnsi="Arial"/>
          <w:sz w:val="21"/>
          <w:szCs w:val="21"/>
        </w:rPr>
        <w:t>周</w:t>
      </w:r>
      <w:r>
        <w:rPr>
          <w:rFonts w:hint="eastAsia" w:ascii="Arial" w:hAnsi="Arial"/>
          <w:sz w:val="21"/>
          <w:szCs w:val="21"/>
          <w:lang w:eastAsia="zh-CN"/>
        </w:rPr>
        <w:t>五</w:t>
      </w:r>
      <w:r>
        <w:rPr>
          <w:rFonts w:hint="eastAsia" w:ascii="Arial" w:hAnsi="Arial"/>
          <w:sz w:val="21"/>
          <w:szCs w:val="21"/>
        </w:rPr>
        <w:t>上期所燃料油期货无成交</w:t>
      </w:r>
    </w:p>
    <w:p>
      <w:pPr>
        <w:wordWrap w:val="0"/>
        <w:spacing w:after="90" w:line="288" w:lineRule="auto"/>
        <w:ind w:firstLine="480"/>
        <w:rPr>
          <w:rFonts w:cs="Times New Roman"/>
          <w:sz w:val="21"/>
          <w:szCs w:val="21"/>
        </w:rPr>
      </w:pPr>
    </w:p>
    <w:p>
      <w:pPr>
        <w:pStyle w:val="23"/>
        <w:rPr>
          <w:rFonts w:cs="Times New Roman"/>
          <w:sz w:val="20"/>
          <w:szCs w:val="20"/>
        </w:rPr>
      </w:pPr>
    </w:p>
    <w:p>
      <w:pPr>
        <w:pStyle w:val="23"/>
        <w:rPr>
          <w:rFonts w:cs="Times New Roman"/>
          <w:sz w:val="20"/>
          <w:szCs w:val="20"/>
        </w:rPr>
      </w:pPr>
    </w:p>
    <w:p>
      <w:pPr>
        <w:pStyle w:val="23"/>
        <w:rPr>
          <w:rFonts w:cs="Times New Roman"/>
          <w:sz w:val="20"/>
          <w:szCs w:val="20"/>
        </w:rPr>
      </w:pPr>
    </w:p>
    <w:p>
      <w:pPr>
        <w:pStyle w:val="2"/>
        <w:spacing w:before="120" w:after="0" w:line="240" w:lineRule="auto"/>
        <w:rPr>
          <w:rFonts w:cs="Times New Roman"/>
          <w:color w:val="FF0000"/>
          <w:sz w:val="28"/>
          <w:szCs w:val="28"/>
        </w:rPr>
      </w:pPr>
      <w:r>
        <w:rPr>
          <w:rFonts w:hint="eastAsia"/>
          <w:color w:val="FF0000"/>
          <w:sz w:val="28"/>
          <w:szCs w:val="28"/>
        </w:rPr>
        <w:t>三、国内燃料油船期预报</w:t>
      </w:r>
      <w:bookmarkEnd w:id="37"/>
    </w:p>
    <w:p>
      <w:pPr>
        <w:pStyle w:val="3"/>
        <w:numPr>
          <w:ilvl w:val="1"/>
          <w:numId w:val="3"/>
        </w:numPr>
        <w:spacing w:before="240" w:after="240" w:line="240" w:lineRule="auto"/>
        <w:rPr>
          <w:rFonts w:ascii="宋体" w:hAnsi="宋体" w:eastAsia="宋体" w:cs="Times New Roman"/>
          <w:sz w:val="24"/>
          <w:szCs w:val="24"/>
        </w:rPr>
      </w:pPr>
      <w:r>
        <w:rPr>
          <w:rFonts w:hint="eastAsia" w:ascii="宋体" w:hAnsi="宋体" w:eastAsia="宋体" w:cs="宋体"/>
          <w:sz w:val="24"/>
          <w:szCs w:val="24"/>
        </w:rPr>
        <w:t>华南燃料油船期预报</w:t>
      </w:r>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618"/>
        <w:gridCol w:w="1421"/>
        <w:gridCol w:w="1406"/>
        <w:gridCol w:w="1406"/>
        <w:gridCol w:w="1476"/>
        <w:gridCol w:w="1066"/>
        <w:gridCol w:w="1135"/>
      </w:tblGrid>
      <w:tr>
        <w:tblPrEx>
          <w:tblLayout w:type="fixed"/>
          <w:tblCellMar>
            <w:top w:w="0" w:type="dxa"/>
            <w:left w:w="108" w:type="dxa"/>
            <w:bottom w:w="0" w:type="dxa"/>
            <w:right w:w="108" w:type="dxa"/>
          </w:tblCellMar>
        </w:tblPrEx>
        <w:trPr>
          <w:trHeight w:val="360" w:hRule="atLeast"/>
        </w:trPr>
        <w:tc>
          <w:tcPr>
            <w:tcW w:w="618"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航线</w:t>
            </w:r>
          </w:p>
        </w:tc>
        <w:tc>
          <w:tcPr>
            <w:tcW w:w="147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船名</w:t>
            </w:r>
          </w:p>
        </w:tc>
        <w:tc>
          <w:tcPr>
            <w:tcW w:w="106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3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Layout w:type="fixed"/>
          <w:tblCellMar>
            <w:top w:w="0" w:type="dxa"/>
            <w:left w:w="108" w:type="dxa"/>
            <w:bottom w:w="0" w:type="dxa"/>
            <w:right w:w="108" w:type="dxa"/>
          </w:tblCellMar>
        </w:tblPrEx>
        <w:trPr>
          <w:trHeight w:val="345" w:hRule="atLeast"/>
        </w:trPr>
        <w:tc>
          <w:tcPr>
            <w:tcW w:w="618" w:type="dxa"/>
            <w:tcBorders>
              <w:top w:val="nil"/>
              <w:left w:val="single" w:color="auto" w:sz="4" w:space="0"/>
              <w:bottom w:val="single" w:color="auto" w:sz="4" w:space="0"/>
              <w:right w:val="single" w:color="auto" w:sz="4" w:space="0"/>
            </w:tcBorders>
            <w:vAlign w:val="center"/>
          </w:tcPr>
          <w:p>
            <w:pPr>
              <w:jc w:val="center"/>
              <w:rPr>
                <w:sz w:val="20"/>
                <w:szCs w:val="20"/>
              </w:rPr>
            </w:pPr>
            <w:r>
              <w:rPr>
                <w:sz w:val="20"/>
                <w:szCs w:val="20"/>
              </w:rPr>
              <w:t>1</w:t>
            </w:r>
          </w:p>
        </w:tc>
        <w:tc>
          <w:tcPr>
            <w:tcW w:w="1421"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5</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4,500.00</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r>
              <w:rPr>
                <w:rFonts w:hint="eastAsia" w:ascii="Calibri" w:hAnsi="Calibri"/>
                <w:sz w:val="20"/>
                <w:szCs w:val="20"/>
              </w:rPr>
              <w:t>广州</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泓富</w:t>
            </w:r>
            <w:r>
              <w:rPr>
                <w:rFonts w:ascii="Calibri" w:hAnsi="Calibri" w:cs="Calibri"/>
                <w:sz w:val="20"/>
                <w:szCs w:val="20"/>
              </w:rPr>
              <w:t>6</w:t>
            </w:r>
            <w:r>
              <w:rPr>
                <w:rFonts w:ascii="Calibri" w:hAnsi="Calibri" w:cs="Calibri"/>
                <w:sz w:val="20"/>
                <w:szCs w:val="20"/>
              </w:rPr>
              <w:tab/>
            </w:r>
          </w:p>
        </w:tc>
        <w:tc>
          <w:tcPr>
            <w:tcW w:w="106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sz w:val="20"/>
                <w:szCs w:val="20"/>
              </w:rPr>
              <w:t>2</w:t>
            </w:r>
          </w:p>
        </w:tc>
        <w:tc>
          <w:tcPr>
            <w:tcW w:w="1421"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6</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2,500.00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r>
              <w:rPr>
                <w:rFonts w:hint="eastAsia" w:ascii="Calibri" w:hAnsi="Calibri"/>
                <w:sz w:val="20"/>
                <w:szCs w:val="20"/>
              </w:rPr>
              <w:t>广州</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龙光</w:t>
            </w:r>
            <w:r>
              <w:rPr>
                <w:rFonts w:ascii="Calibri" w:hAnsi="Calibri" w:cs="Calibri"/>
                <w:sz w:val="20"/>
                <w:szCs w:val="20"/>
              </w:rPr>
              <w:t>688</w:t>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sz w:val="20"/>
                <w:szCs w:val="20"/>
              </w:rPr>
              <w:t>3</w:t>
            </w:r>
          </w:p>
        </w:tc>
        <w:tc>
          <w:tcPr>
            <w:tcW w:w="1421"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7</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2,978.00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r>
              <w:rPr>
                <w:rFonts w:hint="eastAsia" w:ascii="Calibri" w:hAnsi="Calibri"/>
                <w:sz w:val="20"/>
                <w:szCs w:val="20"/>
              </w:rPr>
              <w:t>广州</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大富</w:t>
            </w:r>
            <w:r>
              <w:rPr>
                <w:rFonts w:ascii="Calibri" w:hAnsi="Calibri" w:cs="Calibri"/>
                <w:sz w:val="20"/>
                <w:szCs w:val="20"/>
              </w:rPr>
              <w:t>1</w:t>
            </w:r>
            <w:r>
              <w:rPr>
                <w:rFonts w:ascii="Calibri" w:hAnsi="Calibri" w:cs="Calibri"/>
                <w:sz w:val="20"/>
                <w:szCs w:val="20"/>
              </w:rPr>
              <w:tab/>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sz w:val="20"/>
                <w:szCs w:val="20"/>
              </w:rPr>
              <w:t>4</w:t>
            </w:r>
          </w:p>
        </w:tc>
        <w:tc>
          <w:tcPr>
            <w:tcW w:w="1421"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7</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500.00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r>
              <w:rPr>
                <w:rFonts w:hint="eastAsia" w:ascii="Calibri" w:hAnsi="Calibri"/>
                <w:sz w:val="20"/>
                <w:szCs w:val="20"/>
              </w:rPr>
              <w:t>珠海</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湛海供</w:t>
            </w:r>
            <w:r>
              <w:rPr>
                <w:rFonts w:ascii="Calibri" w:hAnsi="Calibri" w:cs="Calibri"/>
                <w:sz w:val="20"/>
                <w:szCs w:val="20"/>
              </w:rPr>
              <w:t>166</w:t>
            </w:r>
            <w:r>
              <w:rPr>
                <w:rFonts w:ascii="Calibri" w:hAnsi="Calibri" w:cs="Calibri"/>
                <w:sz w:val="20"/>
                <w:szCs w:val="20"/>
              </w:rPr>
              <w:tab/>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21"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rFonts w:hint="eastAsia"/>
                <w:b/>
                <w:bCs/>
                <w:sz w:val="20"/>
                <w:szCs w:val="20"/>
              </w:rPr>
              <w:t>合计</w:t>
            </w:r>
          </w:p>
        </w:tc>
        <w:tc>
          <w:tcPr>
            <w:tcW w:w="1406"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b/>
                <w:bCs/>
                <w:sz w:val="20"/>
                <w:szCs w:val="20"/>
              </w:rPr>
              <w:t>10</w:t>
            </w:r>
            <w:r>
              <w:rPr>
                <w:rFonts w:hint="eastAsia"/>
                <w:b/>
                <w:bCs/>
                <w:sz w:val="20"/>
                <w:szCs w:val="20"/>
              </w:rPr>
              <w:t>，</w:t>
            </w:r>
            <w:r>
              <w:rPr>
                <w:b/>
                <w:bCs/>
                <w:sz w:val="20"/>
                <w:szCs w:val="20"/>
              </w:rPr>
              <w:t>478.00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7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r>
    </w:tbl>
    <w:p>
      <w:pPr>
        <w:rPr>
          <w:rFonts w:cs="Times New Roman"/>
        </w:rPr>
      </w:pPr>
    </w:p>
    <w:p>
      <w:pPr>
        <w:rPr>
          <w:rFonts w:cs="Times New Roman"/>
        </w:rPr>
      </w:pPr>
    </w:p>
    <w:p>
      <w:pPr>
        <w:rPr>
          <w:rFonts w:cs="Times New Roman"/>
        </w:rPr>
      </w:pPr>
    </w:p>
    <w:p>
      <w:pPr>
        <w:pStyle w:val="3"/>
        <w:numPr>
          <w:ilvl w:val="1"/>
          <w:numId w:val="3"/>
        </w:numPr>
        <w:spacing w:before="240" w:after="240" w:line="240" w:lineRule="auto"/>
        <w:rPr>
          <w:rFonts w:ascii="宋体" w:hAnsi="宋体" w:eastAsia="宋体" w:cs="Times New Roman"/>
          <w:sz w:val="24"/>
          <w:szCs w:val="24"/>
        </w:rPr>
      </w:pPr>
      <w:bookmarkStart w:id="38" w:name="_Toc436380347"/>
      <w:r>
        <w:rPr>
          <w:rFonts w:hint="eastAsia" w:ascii="宋体" w:hAnsi="宋体" w:eastAsia="宋体" w:cs="宋体"/>
          <w:sz w:val="24"/>
          <w:szCs w:val="24"/>
        </w:rPr>
        <w:t>华东燃料油船期预报</w:t>
      </w:r>
      <w:bookmarkEnd w:id="38"/>
    </w:p>
    <w:tbl>
      <w:tblPr>
        <w:tblStyle w:val="29"/>
        <w:tblW w:w="8528" w:type="dxa"/>
        <w:tblInd w:w="-106" w:type="dxa"/>
        <w:tblLayout w:type="fixed"/>
        <w:tblCellMar>
          <w:top w:w="0" w:type="dxa"/>
          <w:left w:w="108" w:type="dxa"/>
          <w:bottom w:w="0" w:type="dxa"/>
          <w:right w:w="108" w:type="dxa"/>
        </w:tblCellMar>
      </w:tblPr>
      <w:tblGrid>
        <w:gridCol w:w="618"/>
        <w:gridCol w:w="1421"/>
        <w:gridCol w:w="1406"/>
        <w:gridCol w:w="1406"/>
        <w:gridCol w:w="1462"/>
        <w:gridCol w:w="1080"/>
        <w:gridCol w:w="1135"/>
      </w:tblGrid>
      <w:tr>
        <w:tblPrEx>
          <w:tblLayout w:type="fixed"/>
          <w:tblCellMar>
            <w:top w:w="0" w:type="dxa"/>
            <w:left w:w="108" w:type="dxa"/>
            <w:bottom w:w="0" w:type="dxa"/>
            <w:right w:w="108" w:type="dxa"/>
          </w:tblCellMar>
        </w:tblPrEx>
        <w:trPr>
          <w:trHeight w:val="360" w:hRule="atLeast"/>
        </w:trPr>
        <w:tc>
          <w:tcPr>
            <w:tcW w:w="618"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航线</w:t>
            </w:r>
          </w:p>
        </w:tc>
        <w:tc>
          <w:tcPr>
            <w:tcW w:w="1462"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船名</w:t>
            </w:r>
          </w:p>
        </w:tc>
        <w:tc>
          <w:tcPr>
            <w:tcW w:w="1080"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3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Layout w:type="fixed"/>
          <w:tblCellMar>
            <w:top w:w="0" w:type="dxa"/>
            <w:left w:w="108" w:type="dxa"/>
            <w:bottom w:w="0" w:type="dxa"/>
            <w:right w:w="108" w:type="dxa"/>
          </w:tblCellMar>
        </w:tblPrEx>
        <w:trPr>
          <w:trHeight w:val="345" w:hRule="atLeast"/>
        </w:trPr>
        <w:tc>
          <w:tcPr>
            <w:tcW w:w="618" w:type="dxa"/>
            <w:tcBorders>
              <w:top w:val="nil"/>
              <w:left w:val="single" w:color="auto" w:sz="4" w:space="0"/>
              <w:bottom w:val="single" w:color="auto" w:sz="4" w:space="0"/>
              <w:right w:val="single" w:color="auto" w:sz="4" w:space="0"/>
            </w:tcBorders>
            <w:vAlign w:val="center"/>
          </w:tcPr>
          <w:p>
            <w:pPr>
              <w:jc w:val="center"/>
              <w:rPr>
                <w:sz w:val="20"/>
                <w:szCs w:val="20"/>
              </w:rPr>
            </w:pPr>
            <w:r>
              <w:rPr>
                <w:sz w:val="20"/>
                <w:szCs w:val="20"/>
              </w:rPr>
              <w:t>1</w:t>
            </w:r>
          </w:p>
        </w:tc>
        <w:tc>
          <w:tcPr>
            <w:tcW w:w="1421"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12</w:t>
            </w:r>
            <w:r>
              <w:rPr>
                <w:rFonts w:hint="eastAsia" w:ascii="Calibri" w:hAnsi="Calibri"/>
                <w:sz w:val="20"/>
                <w:szCs w:val="20"/>
              </w:rPr>
              <w:t>月</w:t>
            </w:r>
            <w:r>
              <w:rPr>
                <w:rFonts w:ascii="Calibri" w:hAnsi="Calibri" w:cs="Calibri"/>
                <w:sz w:val="20"/>
                <w:szCs w:val="20"/>
              </w:rPr>
              <w:t>3</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40,000.00</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p>
        </w:tc>
        <w:tc>
          <w:tcPr>
            <w:tcW w:w="1462"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安定号</w:t>
            </w:r>
          </w:p>
        </w:tc>
        <w:tc>
          <w:tcPr>
            <w:tcW w:w="1080"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混调</w:t>
            </w:r>
          </w:p>
        </w:tc>
      </w:tr>
      <w:tr>
        <w:tblPrEx>
          <w:tblLayout w:type="fixed"/>
          <w:tblCellMar>
            <w:top w:w="0" w:type="dxa"/>
            <w:left w:w="108" w:type="dxa"/>
            <w:bottom w:w="0" w:type="dxa"/>
            <w:right w:w="108" w:type="dxa"/>
          </w:tblCellMar>
        </w:tblPrEx>
        <w:trPr>
          <w:trHeight w:val="345"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21"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rFonts w:hint="eastAsia"/>
                <w:b/>
                <w:bCs/>
                <w:sz w:val="20"/>
                <w:szCs w:val="20"/>
              </w:rPr>
              <w:t>合计</w:t>
            </w:r>
          </w:p>
        </w:tc>
        <w:tc>
          <w:tcPr>
            <w:tcW w:w="1406"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b/>
                <w:bCs/>
                <w:sz w:val="20"/>
                <w:szCs w:val="20"/>
              </w:rPr>
              <w:t>40</w:t>
            </w:r>
            <w:r>
              <w:rPr>
                <w:rFonts w:hint="eastAsia"/>
                <w:b/>
                <w:bCs/>
                <w:sz w:val="20"/>
                <w:szCs w:val="20"/>
              </w:rPr>
              <w:t>，</w:t>
            </w:r>
            <w:r>
              <w:rPr>
                <w:b/>
                <w:bCs/>
                <w:sz w:val="20"/>
                <w:szCs w:val="20"/>
              </w:rPr>
              <w:t>000.00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62"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080"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r>
    </w:tbl>
    <w:p>
      <w:pPr>
        <w:rPr>
          <w:rFonts w:cs="Times New Roman"/>
        </w:rPr>
      </w:pPr>
    </w:p>
    <w:p>
      <w:pPr>
        <w:rPr>
          <w:rFonts w:cs="Times New Roman"/>
        </w:rPr>
      </w:pPr>
    </w:p>
    <w:p>
      <w:pPr>
        <w:rPr>
          <w:rFonts w:cs="Times New Roman"/>
        </w:rPr>
      </w:pPr>
    </w:p>
    <w:p>
      <w:pPr>
        <w:pStyle w:val="3"/>
        <w:numPr>
          <w:ilvl w:val="1"/>
          <w:numId w:val="3"/>
        </w:numPr>
        <w:tabs>
          <w:tab w:val="left" w:pos="4860"/>
        </w:tabs>
        <w:spacing w:before="240" w:after="240" w:line="240" w:lineRule="auto"/>
        <w:rPr>
          <w:rFonts w:ascii="宋体" w:hAnsi="宋体" w:eastAsia="宋体" w:cs="Times New Roman"/>
          <w:sz w:val="24"/>
          <w:szCs w:val="24"/>
        </w:rPr>
      </w:pPr>
      <w:bookmarkStart w:id="39" w:name="_Toc436380348"/>
      <w:r>
        <w:rPr>
          <w:rFonts w:hint="eastAsia" w:ascii="宋体" w:hAnsi="宋体" w:eastAsia="宋体" w:cs="宋体"/>
          <w:sz w:val="24"/>
          <w:szCs w:val="24"/>
        </w:rPr>
        <w:t>山东燃料油船期预报</w:t>
      </w:r>
      <w:bookmarkEnd w:id="39"/>
    </w:p>
    <w:p>
      <w:pPr>
        <w:rPr>
          <w:rFonts w:cs="Times New Roman"/>
          <w:sz w:val="21"/>
          <w:szCs w:val="21"/>
        </w:rPr>
      </w:pPr>
    </w:p>
    <w:tbl>
      <w:tblPr>
        <w:tblStyle w:val="29"/>
        <w:tblW w:w="8528" w:type="dxa"/>
        <w:tblInd w:w="-106" w:type="dxa"/>
        <w:tblLayout w:type="fixed"/>
        <w:tblCellMar>
          <w:top w:w="0" w:type="dxa"/>
          <w:left w:w="108" w:type="dxa"/>
          <w:bottom w:w="0" w:type="dxa"/>
          <w:right w:w="108" w:type="dxa"/>
        </w:tblCellMar>
      </w:tblPr>
      <w:tblGrid>
        <w:gridCol w:w="785"/>
        <w:gridCol w:w="1421"/>
        <w:gridCol w:w="1220"/>
        <w:gridCol w:w="1216"/>
        <w:gridCol w:w="1605"/>
        <w:gridCol w:w="1172"/>
        <w:gridCol w:w="1109"/>
      </w:tblGrid>
      <w:tr>
        <w:tblPrEx>
          <w:tblLayout w:type="fixed"/>
          <w:tblCellMar>
            <w:top w:w="0" w:type="dxa"/>
            <w:left w:w="108" w:type="dxa"/>
            <w:bottom w:w="0" w:type="dxa"/>
            <w:right w:w="108" w:type="dxa"/>
          </w:tblCellMar>
        </w:tblPrEx>
        <w:trPr>
          <w:trHeight w:val="300" w:hRule="atLeast"/>
        </w:trPr>
        <w:tc>
          <w:tcPr>
            <w:tcW w:w="785" w:type="dxa"/>
            <w:tcBorders>
              <w:top w:val="single" w:color="auto" w:sz="8" w:space="0"/>
              <w:left w:val="single" w:color="auto" w:sz="8" w:space="0"/>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220"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216"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航线</w:t>
            </w:r>
          </w:p>
        </w:tc>
        <w:tc>
          <w:tcPr>
            <w:tcW w:w="1605"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船名</w:t>
            </w:r>
          </w:p>
        </w:tc>
        <w:tc>
          <w:tcPr>
            <w:tcW w:w="1172"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09"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Layout w:type="fixed"/>
          <w:tblCellMar>
            <w:top w:w="0" w:type="dxa"/>
            <w:left w:w="108" w:type="dxa"/>
            <w:bottom w:w="0" w:type="dxa"/>
            <w:right w:w="108" w:type="dxa"/>
          </w:tblCellMar>
        </w:tblPrEx>
        <w:trPr>
          <w:trHeight w:val="300" w:hRule="atLeast"/>
        </w:trPr>
        <w:tc>
          <w:tcPr>
            <w:tcW w:w="785" w:type="dxa"/>
            <w:tcBorders>
              <w:top w:val="nil"/>
              <w:left w:val="single" w:color="auto" w:sz="8" w:space="0"/>
              <w:bottom w:val="single" w:color="auto" w:sz="8" w:space="0"/>
              <w:right w:val="single" w:color="auto" w:sz="8" w:space="0"/>
            </w:tcBorders>
            <w:vAlign w:val="center"/>
          </w:tcPr>
          <w:p>
            <w:pPr>
              <w:jc w:val="center"/>
              <w:rPr>
                <w:rFonts w:cs="Times New Roman"/>
                <w:sz w:val="20"/>
                <w:szCs w:val="20"/>
              </w:rPr>
            </w:pPr>
            <w:r>
              <w:rPr>
                <w:sz w:val="20"/>
                <w:szCs w:val="20"/>
              </w:rPr>
              <w:t>1</w:t>
            </w:r>
          </w:p>
        </w:tc>
        <w:tc>
          <w:tcPr>
            <w:tcW w:w="1421"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4</w:t>
            </w:r>
            <w:r>
              <w:rPr>
                <w:rFonts w:hint="eastAsia"/>
                <w:sz w:val="20"/>
                <w:szCs w:val="20"/>
              </w:rPr>
              <w:t>月</w:t>
            </w:r>
            <w:r>
              <w:rPr>
                <w:sz w:val="20"/>
                <w:szCs w:val="20"/>
              </w:rPr>
              <w:t>4</w:t>
            </w:r>
            <w:r>
              <w:rPr>
                <w:rFonts w:hint="eastAsia"/>
                <w:sz w:val="20"/>
                <w:szCs w:val="20"/>
              </w:rPr>
              <w:t>日</w:t>
            </w:r>
          </w:p>
        </w:tc>
        <w:tc>
          <w:tcPr>
            <w:tcW w:w="1220"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12,000.00</w:t>
            </w:r>
          </w:p>
        </w:tc>
        <w:tc>
          <w:tcPr>
            <w:tcW w:w="1216"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r>
              <w:rPr>
                <w:rFonts w:hint="eastAsia"/>
                <w:sz w:val="20"/>
                <w:szCs w:val="20"/>
              </w:rPr>
              <w:t>青岛港</w:t>
            </w:r>
          </w:p>
        </w:tc>
        <w:tc>
          <w:tcPr>
            <w:tcW w:w="1605"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72"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09"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直馏油</w:t>
            </w:r>
          </w:p>
        </w:tc>
      </w:tr>
      <w:tr>
        <w:tblPrEx>
          <w:tblLayout w:type="fixed"/>
          <w:tblCellMar>
            <w:top w:w="0" w:type="dxa"/>
            <w:left w:w="108" w:type="dxa"/>
            <w:bottom w:w="0" w:type="dxa"/>
            <w:right w:w="108" w:type="dxa"/>
          </w:tblCellMar>
        </w:tblPrEx>
        <w:trPr>
          <w:trHeight w:val="300" w:hRule="atLeast"/>
        </w:trPr>
        <w:tc>
          <w:tcPr>
            <w:tcW w:w="785" w:type="dxa"/>
            <w:tcBorders>
              <w:top w:val="nil"/>
              <w:left w:val="single" w:color="auto" w:sz="8" w:space="0"/>
              <w:bottom w:val="single" w:color="auto" w:sz="8" w:space="0"/>
              <w:right w:val="single" w:color="auto" w:sz="8" w:space="0"/>
            </w:tcBorders>
            <w:vAlign w:val="center"/>
          </w:tcPr>
          <w:p>
            <w:pPr>
              <w:jc w:val="center"/>
              <w:rPr>
                <w:rFonts w:cs="Times New Roman"/>
                <w:sz w:val="20"/>
                <w:szCs w:val="20"/>
              </w:rPr>
            </w:pPr>
            <w:r>
              <w:rPr>
                <w:sz w:val="20"/>
                <w:szCs w:val="20"/>
              </w:rPr>
              <w:t>2</w:t>
            </w:r>
          </w:p>
        </w:tc>
        <w:tc>
          <w:tcPr>
            <w:tcW w:w="1421"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4</w:t>
            </w:r>
            <w:r>
              <w:rPr>
                <w:rFonts w:hint="eastAsia"/>
                <w:sz w:val="20"/>
                <w:szCs w:val="20"/>
              </w:rPr>
              <w:t>月中旬</w:t>
            </w:r>
          </w:p>
        </w:tc>
        <w:tc>
          <w:tcPr>
            <w:tcW w:w="1220"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67,000.00</w:t>
            </w:r>
          </w:p>
        </w:tc>
        <w:tc>
          <w:tcPr>
            <w:tcW w:w="1216"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r>
              <w:rPr>
                <w:rFonts w:hint="eastAsia"/>
                <w:sz w:val="20"/>
                <w:szCs w:val="20"/>
              </w:rPr>
              <w:t>青岛港</w:t>
            </w:r>
          </w:p>
        </w:tc>
        <w:tc>
          <w:tcPr>
            <w:tcW w:w="1605"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72"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09"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稀释沥青</w:t>
            </w:r>
          </w:p>
        </w:tc>
      </w:tr>
      <w:tr>
        <w:tblPrEx>
          <w:tblLayout w:type="fixed"/>
          <w:tblCellMar>
            <w:top w:w="0" w:type="dxa"/>
            <w:left w:w="108" w:type="dxa"/>
            <w:bottom w:w="0" w:type="dxa"/>
            <w:right w:w="108" w:type="dxa"/>
          </w:tblCellMar>
        </w:tblPrEx>
        <w:trPr>
          <w:trHeight w:val="300" w:hRule="atLeast"/>
        </w:trPr>
        <w:tc>
          <w:tcPr>
            <w:tcW w:w="785" w:type="dxa"/>
            <w:tcBorders>
              <w:top w:val="nil"/>
              <w:left w:val="single" w:color="auto" w:sz="8" w:space="0"/>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421" w:type="dxa"/>
            <w:tcBorders>
              <w:top w:val="nil"/>
              <w:left w:val="nil"/>
              <w:bottom w:val="single" w:color="auto" w:sz="8" w:space="0"/>
              <w:right w:val="single" w:color="auto" w:sz="8" w:space="0"/>
            </w:tcBorders>
            <w:vAlign w:val="center"/>
          </w:tcPr>
          <w:p>
            <w:pPr>
              <w:jc w:val="center"/>
              <w:rPr>
                <w:rFonts w:cs="Times New Roman"/>
                <w:b/>
                <w:bCs/>
                <w:sz w:val="20"/>
                <w:szCs w:val="20"/>
              </w:rPr>
            </w:pPr>
            <w:r>
              <w:rPr>
                <w:rFonts w:hint="eastAsia"/>
                <w:b/>
                <w:bCs/>
                <w:sz w:val="20"/>
                <w:szCs w:val="20"/>
              </w:rPr>
              <w:t>合计</w:t>
            </w:r>
          </w:p>
        </w:tc>
        <w:tc>
          <w:tcPr>
            <w:tcW w:w="1220" w:type="dxa"/>
            <w:tcBorders>
              <w:top w:val="nil"/>
              <w:left w:val="nil"/>
              <w:bottom w:val="single" w:color="auto" w:sz="8" w:space="0"/>
              <w:right w:val="single" w:color="auto" w:sz="8" w:space="0"/>
            </w:tcBorders>
            <w:vAlign w:val="center"/>
          </w:tcPr>
          <w:p>
            <w:pPr>
              <w:jc w:val="center"/>
              <w:rPr>
                <w:rFonts w:cs="Times New Roman"/>
                <w:b/>
                <w:bCs/>
                <w:sz w:val="20"/>
                <w:szCs w:val="20"/>
              </w:rPr>
            </w:pPr>
            <w:r>
              <w:rPr>
                <w:b/>
                <w:bCs/>
                <w:sz w:val="20"/>
                <w:szCs w:val="20"/>
              </w:rPr>
              <w:t>79,000.00</w:t>
            </w:r>
          </w:p>
        </w:tc>
        <w:tc>
          <w:tcPr>
            <w:tcW w:w="1216"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605"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172"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109"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r>
    </w:tbl>
    <w:p>
      <w:pPr>
        <w:rPr>
          <w:rFonts w:cs="Times New Roman"/>
          <w:sz w:val="21"/>
          <w:szCs w:val="21"/>
        </w:rPr>
      </w:pPr>
    </w:p>
    <w:p>
      <w:pPr>
        <w:rPr>
          <w:rFonts w:cs="Times New Roman"/>
          <w:sz w:val="21"/>
          <w:szCs w:val="21"/>
        </w:rPr>
      </w:pPr>
    </w:p>
    <w:p>
      <w:pPr>
        <w:pStyle w:val="3"/>
        <w:numPr>
          <w:ilvl w:val="1"/>
          <w:numId w:val="3"/>
        </w:numPr>
        <w:tabs>
          <w:tab w:val="left" w:pos="4860"/>
        </w:tabs>
        <w:spacing w:before="240" w:after="240" w:line="240" w:lineRule="auto"/>
        <w:rPr>
          <w:rFonts w:ascii="宋体" w:hAnsi="宋体" w:eastAsia="宋体" w:cs="Times New Roman"/>
          <w:sz w:val="24"/>
          <w:szCs w:val="24"/>
        </w:rPr>
      </w:pPr>
      <w:bookmarkStart w:id="40" w:name="_Toc436380349"/>
      <w:r>
        <w:rPr>
          <w:rFonts w:hint="eastAsia" w:ascii="宋体" w:hAnsi="宋体" w:eastAsia="宋体" w:cs="宋体"/>
          <w:sz w:val="24"/>
          <w:szCs w:val="24"/>
        </w:rPr>
        <w:t>山东原油船期预报</w:t>
      </w:r>
      <w:bookmarkEnd w:id="40"/>
    </w:p>
    <w:tbl>
      <w:tblPr>
        <w:tblStyle w:val="29"/>
        <w:tblW w:w="8528" w:type="dxa"/>
        <w:tblInd w:w="-106" w:type="dxa"/>
        <w:tblLayout w:type="fixed"/>
        <w:tblCellMar>
          <w:top w:w="0" w:type="dxa"/>
          <w:left w:w="108" w:type="dxa"/>
          <w:bottom w:w="0" w:type="dxa"/>
          <w:right w:w="108" w:type="dxa"/>
        </w:tblCellMar>
      </w:tblPr>
      <w:tblGrid>
        <w:gridCol w:w="394"/>
        <w:gridCol w:w="937"/>
        <w:gridCol w:w="1112"/>
        <w:gridCol w:w="1630"/>
        <w:gridCol w:w="1748"/>
        <w:gridCol w:w="1817"/>
        <w:gridCol w:w="890"/>
      </w:tblGrid>
      <w:tr>
        <w:tblPrEx>
          <w:tblLayout w:type="fixed"/>
          <w:tblCellMar>
            <w:top w:w="0" w:type="dxa"/>
            <w:left w:w="108" w:type="dxa"/>
            <w:bottom w:w="0" w:type="dxa"/>
            <w:right w:w="108" w:type="dxa"/>
          </w:tblCellMar>
        </w:tblPrEx>
        <w:trPr>
          <w:trHeight w:val="525" w:hRule="atLeast"/>
        </w:trPr>
        <w:tc>
          <w:tcPr>
            <w:tcW w:w="394" w:type="dxa"/>
            <w:tcBorders>
              <w:top w:val="single" w:color="auto" w:sz="8" w:space="0"/>
              <w:left w:val="single" w:color="auto" w:sz="8" w:space="0"/>
              <w:bottom w:val="single" w:color="auto" w:sz="8" w:space="0"/>
              <w:right w:val="single" w:color="auto" w:sz="8" w:space="0"/>
            </w:tcBorders>
            <w:shd w:val="clear" w:color="auto" w:fill="99CCFF"/>
            <w:vAlign w:val="bottom"/>
          </w:tcPr>
          <w:p>
            <w:pPr>
              <w:jc w:val="center"/>
              <w:rPr>
                <w:rFonts w:cs="Times New Roman"/>
                <w:sz w:val="21"/>
                <w:szCs w:val="21"/>
              </w:rPr>
            </w:pPr>
            <w:bookmarkStart w:id="41" w:name="_PictureBullets"/>
            <w:r>
              <w:rPr>
                <w:rFonts w:hint="eastAsia"/>
                <w:sz w:val="21"/>
                <w:szCs w:val="21"/>
              </w:rPr>
              <w:t>序号</w:t>
            </w:r>
          </w:p>
        </w:tc>
        <w:tc>
          <w:tcPr>
            <w:tcW w:w="937"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预计到港日期</w:t>
            </w:r>
          </w:p>
        </w:tc>
        <w:tc>
          <w:tcPr>
            <w:tcW w:w="1112"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数量（吨）</w:t>
            </w:r>
          </w:p>
        </w:tc>
        <w:tc>
          <w:tcPr>
            <w:tcW w:w="1630"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航线</w:t>
            </w:r>
          </w:p>
        </w:tc>
        <w:tc>
          <w:tcPr>
            <w:tcW w:w="1748"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船名</w:t>
            </w:r>
          </w:p>
        </w:tc>
        <w:tc>
          <w:tcPr>
            <w:tcW w:w="1817"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接货公司</w:t>
            </w:r>
          </w:p>
        </w:tc>
        <w:tc>
          <w:tcPr>
            <w:tcW w:w="890"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备注</w:t>
            </w:r>
          </w:p>
        </w:tc>
      </w:tr>
      <w:tr>
        <w:tblPrEx>
          <w:tblLayout w:type="fixed"/>
          <w:tblCellMar>
            <w:top w:w="0" w:type="dxa"/>
            <w:left w:w="108" w:type="dxa"/>
            <w:bottom w:w="0" w:type="dxa"/>
            <w:right w:w="108" w:type="dxa"/>
          </w:tblCellMar>
        </w:tblPrEx>
        <w:trPr>
          <w:trHeight w:val="255" w:hRule="atLeast"/>
        </w:trPr>
        <w:tc>
          <w:tcPr>
            <w:tcW w:w="394" w:type="dxa"/>
            <w:tcBorders>
              <w:top w:val="single" w:color="auto" w:sz="4" w:space="0"/>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w:t>
            </w:r>
          </w:p>
        </w:tc>
        <w:tc>
          <w:tcPr>
            <w:tcW w:w="937"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w:t>
            </w:r>
            <w:r>
              <w:rPr>
                <w:rFonts w:hint="eastAsia" w:ascii="Calibri" w:hAnsi="Calibri"/>
                <w:sz w:val="20"/>
                <w:szCs w:val="20"/>
              </w:rPr>
              <w:t>日</w:t>
            </w:r>
          </w:p>
        </w:tc>
        <w:tc>
          <w:tcPr>
            <w:tcW w:w="1112"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81,000.00</w:t>
            </w:r>
          </w:p>
        </w:tc>
        <w:tc>
          <w:tcPr>
            <w:tcW w:w="1630" w:type="dxa"/>
            <w:tcBorders>
              <w:top w:val="single" w:color="auto" w:sz="4" w:space="0"/>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阿曼</w:t>
            </w:r>
            <w:r>
              <w:rPr>
                <w:rFonts w:ascii="Calibri" w:hAnsi="Calibri" w:cs="Calibri"/>
                <w:sz w:val="20"/>
                <w:szCs w:val="20"/>
              </w:rPr>
              <w:t>/</w:t>
            </w:r>
            <w:r>
              <w:rPr>
                <w:rFonts w:hint="eastAsia"/>
                <w:sz w:val="20"/>
                <w:szCs w:val="20"/>
              </w:rPr>
              <w:t>莱州港</w:t>
            </w:r>
          </w:p>
        </w:tc>
        <w:tc>
          <w:tcPr>
            <w:tcW w:w="1748"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MARIA PRINC</w:t>
            </w:r>
          </w:p>
        </w:tc>
        <w:tc>
          <w:tcPr>
            <w:tcW w:w="1817"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single" w:color="auto" w:sz="4" w:space="0"/>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印度尼西亚</w:t>
            </w:r>
            <w:r>
              <w:rPr>
                <w:rFonts w:ascii="Calibri" w:hAnsi="Calibri" w:cs="Calibri"/>
                <w:sz w:val="20"/>
                <w:szCs w:val="20"/>
              </w:rPr>
              <w:t>/</w:t>
            </w:r>
            <w:r>
              <w:rPr>
                <w:rFonts w:hint="eastAsia"/>
                <w:sz w:val="20"/>
                <w:szCs w:val="20"/>
              </w:rPr>
              <w:t>龙口</w:t>
            </w:r>
            <w:r>
              <w:rPr>
                <w:rFonts w:ascii="Calibri" w:hAnsi="Calibri" w:cs="Calibri"/>
                <w:sz w:val="20"/>
                <w:szCs w:val="20"/>
              </w:rPr>
              <w:t xml:space="preserve"> </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PEAK SPIRIT</w:t>
            </w:r>
            <w:r>
              <w:rPr>
                <w:rFonts w:hint="eastAsia"/>
                <w:sz w:val="20"/>
                <w:szCs w:val="20"/>
              </w:rPr>
              <w:t>匹克精神</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sz w:val="20"/>
                <w:szCs w:val="20"/>
              </w:rPr>
              <w:t xml:space="preserve"> N/A </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重质原油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3</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100,000.00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俄罗斯</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HS MEDEA</w:t>
            </w:r>
            <w:r>
              <w:rPr>
                <w:rFonts w:hint="eastAsia"/>
                <w:sz w:val="20"/>
                <w:szCs w:val="20"/>
              </w:rPr>
              <w:t>美狄亚</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华星石化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90,000.00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ALMI SPIRIT</w:t>
            </w:r>
            <w:r>
              <w:rPr>
                <w:rFonts w:hint="eastAsia"/>
                <w:sz w:val="20"/>
                <w:szCs w:val="20"/>
              </w:rPr>
              <w:t>阿米尔</w:t>
            </w:r>
            <w:r>
              <w:rPr>
                <w:rFonts w:ascii="Calibri" w:hAnsi="Calibri" w:cs="Calibri"/>
                <w:sz w:val="20"/>
                <w:szCs w:val="20"/>
              </w:rPr>
              <w:t xml:space="preserve">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5</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264,000.00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董家口港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GENERB ETHOS</w:t>
            </w:r>
            <w:r>
              <w:rPr>
                <w:rFonts w:hint="eastAsia"/>
                <w:sz w:val="20"/>
                <w:szCs w:val="20"/>
              </w:rPr>
              <w:t>吉恩</w:t>
            </w:r>
            <w:r>
              <w:rPr>
                <w:rFonts w:ascii="Calibri" w:hAnsi="Calibri" w:cs="Calibri"/>
                <w:sz w:val="20"/>
                <w:szCs w:val="20"/>
              </w:rPr>
              <w:t xml:space="preserve">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齐润化工</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6</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143,000.00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巴西</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SUEZ RAJAN</w:t>
            </w:r>
            <w:r>
              <w:rPr>
                <w:rFonts w:hint="eastAsia"/>
                <w:sz w:val="20"/>
                <w:szCs w:val="20"/>
              </w:rPr>
              <w:t>苏雷加</w:t>
            </w:r>
            <w:r>
              <w:rPr>
                <w:rFonts w:ascii="Calibri" w:hAnsi="Calibri" w:cs="Calibri"/>
                <w:sz w:val="20"/>
                <w:szCs w:val="20"/>
              </w:rPr>
              <w:t xml:space="preserve">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鲁清石化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7</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114,000.00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阿曼</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新通洋</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中化弘润</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10</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50,000.00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榆林湾</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玉皇化工</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9</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278,000.00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科威特</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GENERB HECT</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中化弘润</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10</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120,000.00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委内瑞拉</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NECTAR</w:t>
            </w:r>
            <w:r>
              <w:rPr>
                <w:rFonts w:hint="eastAsia"/>
                <w:sz w:val="20"/>
                <w:szCs w:val="20"/>
              </w:rPr>
              <w:t>纳卡达</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中油</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马瑞原油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11</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135,000.00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巴西</w:t>
            </w:r>
            <w:r>
              <w:rPr>
                <w:rFonts w:ascii="Calibri" w:hAnsi="Calibri" w:cs="Calibri"/>
                <w:sz w:val="20"/>
                <w:szCs w:val="20"/>
              </w:rPr>
              <w:t>/</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宙斯</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东明石化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12</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38,000.00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百池</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汇丰石化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70,000.00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NEW ODYSSEY</w:t>
            </w:r>
            <w:r>
              <w:rPr>
                <w:rFonts w:hint="eastAsia"/>
                <w:sz w:val="20"/>
                <w:szCs w:val="20"/>
              </w:rPr>
              <w:t>凯途</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中国化工</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14</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巴西</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SEEB</w:t>
            </w:r>
            <w:r>
              <w:rPr>
                <w:rFonts w:hint="eastAsia"/>
                <w:sz w:val="20"/>
                <w:szCs w:val="20"/>
              </w:rPr>
              <w:t>喜报</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鲁清石化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15</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美国</w:t>
            </w:r>
            <w:r>
              <w:rPr>
                <w:rFonts w:ascii="Calibri" w:hAnsi="Calibri" w:cs="Calibri"/>
                <w:sz w:val="20"/>
                <w:szCs w:val="20"/>
              </w:rPr>
              <w:t>/</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Shaybah</w:t>
            </w:r>
            <w:r>
              <w:rPr>
                <w:rFonts w:hint="eastAsia"/>
                <w:sz w:val="20"/>
                <w:szCs w:val="20"/>
              </w:rPr>
              <w:t>沙巴</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东明石化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16</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33,000.00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中国</w:t>
            </w:r>
            <w:r>
              <w:rPr>
                <w:rFonts w:ascii="Calibri" w:hAnsi="Calibri" w:cs="Calibri"/>
                <w:sz w:val="20"/>
                <w:szCs w:val="20"/>
              </w:rPr>
              <w:t>/</w:t>
            </w:r>
            <w:r>
              <w:rPr>
                <w:rFonts w:hint="eastAsia"/>
                <w:sz w:val="20"/>
                <w:szCs w:val="20"/>
              </w:rPr>
              <w:t>东营港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达池</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N/A</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17</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16</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中国</w:t>
            </w:r>
            <w:r>
              <w:rPr>
                <w:rFonts w:ascii="Calibri" w:hAnsi="Calibri" w:cs="Calibri"/>
                <w:sz w:val="20"/>
                <w:szCs w:val="20"/>
              </w:rPr>
              <w:t>/</w:t>
            </w:r>
            <w:r>
              <w:rPr>
                <w:rFonts w:hint="eastAsia"/>
                <w:sz w:val="20"/>
                <w:szCs w:val="20"/>
              </w:rPr>
              <w:t>东营港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平池</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N/A</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18</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17</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美国</w:t>
            </w:r>
            <w:r>
              <w:rPr>
                <w:rFonts w:ascii="Calibri" w:hAnsi="Calibri" w:cs="Calibri"/>
                <w:sz w:val="20"/>
                <w:szCs w:val="20"/>
              </w:rPr>
              <w:t>/</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Cap Guillaume</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汇丰石化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19</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19</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NORDIC DISC</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中化弘润</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20</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19</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100,000.00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俄罗斯</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HS MEDEA</w:t>
            </w:r>
            <w:r>
              <w:rPr>
                <w:rFonts w:hint="eastAsia"/>
                <w:sz w:val="20"/>
                <w:szCs w:val="20"/>
              </w:rPr>
              <w:t>美狄亚</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21</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271,000.00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委内瑞拉</w:t>
            </w:r>
            <w:r>
              <w:rPr>
                <w:rFonts w:ascii="Calibri" w:hAnsi="Calibri" w:cs="Calibri"/>
                <w:sz w:val="20"/>
                <w:szCs w:val="20"/>
              </w:rPr>
              <w:t>/</w:t>
            </w:r>
            <w:r>
              <w:rPr>
                <w:rFonts w:hint="eastAsia"/>
                <w:sz w:val="20"/>
                <w:szCs w:val="20"/>
              </w:rPr>
              <w:t>董家口港</w:t>
            </w:r>
            <w:r>
              <w:rPr>
                <w:rFonts w:ascii="Calibri" w:hAnsi="Calibri" w:cs="Calibri"/>
                <w:sz w:val="20"/>
                <w:szCs w:val="20"/>
              </w:rPr>
              <w:t xml:space="preserve">    </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sz w:val="20"/>
                <w:szCs w:val="20"/>
              </w:rPr>
              <w:t>NEW COURAGE</w:t>
            </w:r>
            <w:r>
              <w:rPr>
                <w:rFonts w:hint="eastAsia"/>
                <w:sz w:val="20"/>
                <w:szCs w:val="20"/>
              </w:rPr>
              <w:t>凯升</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sz w:val="20"/>
                <w:szCs w:val="20"/>
              </w:rPr>
              <w:t xml:space="preserve"> </w:t>
            </w:r>
            <w:r>
              <w:rPr>
                <w:rFonts w:hint="eastAsia"/>
                <w:sz w:val="20"/>
                <w:szCs w:val="20"/>
              </w:rPr>
              <w:t>中油</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马瑞原油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22</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50,000.00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俄罗斯</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OCEAN PEGAS</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23</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85,000.00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SAPPORO PRI</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利津石化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重质原油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24</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25</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90,000.00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BRIGHTOIL L</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93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合计</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2,752,000.00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r>
    </w:tbl>
    <w:p>
      <w:pPr>
        <w:rPr>
          <w:rFonts w:cs="Times New Roman"/>
        </w:rPr>
      </w:pPr>
      <w:r>
        <w:rPr>
          <w:rFonts w:ascii="Times New Roman" w:hAnsi="Times New Roman" w:cs="Times New Roman"/>
          <w:vanish/>
        </w:rPr>
        <w:t xml:space="preserve"> </w:t>
      </w:r>
      <w:r>
        <w:rPr>
          <w:rFonts w:ascii="Times New Roman" w:hAnsi="Times New Roman" w:cs="Times New Roman"/>
          <w:vanish/>
        </w:rPr>
        <w:pict>
          <v:shape id="_x0000_i1026" o:spt="75" type="#_x0000_t75" style="height:11.25pt;width:11.25pt;" filled="f" o:preferrelative="t" stroked="f" coordsize="21600,21600">
            <v:path/>
            <v:fill on="f" focussize="0,0"/>
            <v:stroke on="f" joinstyle="miter"/>
            <v:imagedata r:id="rId10" o:title=""/>
            <o:lock v:ext="edit" aspectratio="t"/>
            <w10:wrap type="none"/>
            <w10:anchorlock/>
          </v:shape>
        </w:pict>
      </w:r>
      <w:bookmarkEnd w:id="41"/>
    </w:p>
    <w:sectPr>
      <w:headerReference r:id="rId4" w:type="first"/>
      <w:headerReference r:id="rId3" w:type="default"/>
      <w:footerReference r:id="rId5" w:type="default"/>
      <w:pgSz w:w="11906" w:h="16838"/>
      <w:pgMar w:top="1440" w:right="1797" w:bottom="1418" w:left="1797" w:header="851" w:footer="992" w:gutter="0"/>
      <w:pgBorders w:display="notFirstPage" w:offsetFrom="page">
        <w:top w:val="thinThickLargeGap" w:color="00CCFF" w:sz="24" w:space="24"/>
        <w:left w:val="thinThickLargeGap" w:color="00CCFF" w:sz="24" w:space="24"/>
        <w:bottom w:val="thinThickLargeGap" w:color="00CCFF" w:sz="24" w:space="24"/>
        <w:right w:val="thinThickLargeGap" w:color="00CCFF" w:sz="2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274" w:h="266" w:hRule="exact" w:wrap="around" w:vAnchor="text" w:hAnchor="margin" w:xAlign="center" w:y="5"/>
      <w:jc w:val="center"/>
      <w:rPr>
        <w:rStyle w:val="26"/>
        <w:rFonts w:cs="Times New Roman"/>
        <w:sz w:val="21"/>
        <w:szCs w:val="21"/>
      </w:rPr>
    </w:pPr>
    <w:r>
      <w:rPr>
        <w:rStyle w:val="26"/>
        <w:sz w:val="21"/>
        <w:szCs w:val="21"/>
      </w:rPr>
      <w:fldChar w:fldCharType="begin"/>
    </w:r>
    <w:r>
      <w:rPr>
        <w:rStyle w:val="26"/>
        <w:sz w:val="21"/>
        <w:szCs w:val="21"/>
      </w:rPr>
      <w:instrText xml:space="preserve">PAGE  </w:instrText>
    </w:r>
    <w:r>
      <w:rPr>
        <w:rStyle w:val="26"/>
        <w:sz w:val="21"/>
        <w:szCs w:val="21"/>
      </w:rPr>
      <w:fldChar w:fldCharType="separate"/>
    </w:r>
    <w:r>
      <w:rPr>
        <w:rStyle w:val="26"/>
        <w:sz w:val="21"/>
        <w:szCs w:val="21"/>
      </w:rPr>
      <w:t>2</w:t>
    </w:r>
    <w:r>
      <w:rPr>
        <w:rStyle w:val="26"/>
        <w:sz w:val="21"/>
        <w:szCs w:val="21"/>
      </w:rPr>
      <w:fldChar w:fldCharType="end"/>
    </w:r>
  </w:p>
  <w:p>
    <w:pPr>
      <w:rPr>
        <w:rFonts w:cs="Times New Roman"/>
        <w:color w:val="FF66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Tahoma" w:hAnsi="Tahoma" w:cs="Tahoma"/>
        <w:b/>
        <w:bCs/>
        <w:shadow/>
        <w:color w:val="000080"/>
        <w:sz w:val="30"/>
        <w:szCs w:val="30"/>
      </w:rPr>
    </w:pPr>
  </w:p>
  <w:p>
    <w:pPr>
      <w:pStyle w:val="15"/>
      <w:jc w:val="both"/>
      <w:rPr>
        <w:rFonts w:cs="Times New Roman"/>
        <w:b/>
        <w:bCs/>
        <w:color w:val="808080"/>
        <w:sz w:val="21"/>
        <w:szCs w:val="21"/>
      </w:rPr>
    </w:pPr>
    <w:r>
      <w:pict>
        <v:shape id="PowerPlusWaterMarkObject3" o:spid="_x0000_s2049" o:spt="136" type="#_x0000_t136" style="position:absolute;left:0pt;height:117.1pt;width:46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r>
      <w:rPr>
        <w:rFonts w:ascii="Tahoma" w:hAnsi="Tahoma" w:cs="Tahoma"/>
        <w:b/>
        <w:bCs/>
        <w:shadow/>
        <w:color w:val="000080"/>
        <w:sz w:val="30"/>
        <w:szCs w:val="30"/>
      </w:rPr>
      <w:t xml:space="preserve"> Chinaccm </w:t>
    </w:r>
    <w:r>
      <w:rPr>
        <w:rFonts w:ascii="Tahoma" w:hAnsi="Tahoma" w:cs="Tahoma"/>
        <w:b/>
        <w:bCs/>
        <w:shadow/>
        <w:color w:val="FF0000"/>
        <w:sz w:val="36"/>
        <w:szCs w:val="36"/>
      </w:rPr>
      <w:t>VIP</w:t>
    </w:r>
    <w:r>
      <w:rPr>
        <w:rFonts w:ascii="Tahoma" w:hAnsi="Tahoma" w:cs="Tahoma"/>
        <w:b/>
        <w:bCs/>
        <w:shadow/>
        <w:color w:val="000080"/>
        <w:sz w:val="30"/>
        <w:szCs w:val="30"/>
      </w:rPr>
      <w:t xml:space="preserve"> day report</w:t>
    </w:r>
    <w:r>
      <w:rPr>
        <w:b/>
        <w:bCs/>
        <w:color w:val="808080"/>
        <w:sz w:val="21"/>
        <w:szCs w:val="21"/>
      </w:rPr>
      <w:t>—</w:t>
    </w:r>
    <w:r>
      <w:rPr>
        <w:rFonts w:hint="eastAsia"/>
        <w:b/>
        <w:bCs/>
        <w:color w:val="FF0000"/>
        <w:sz w:val="21"/>
        <w:szCs w:val="21"/>
      </w:rPr>
      <w:t>燃料油</w:t>
    </w:r>
    <w:r>
      <w:rPr>
        <w:rFonts w:hint="eastAsia"/>
        <w:color w:val="0000FF"/>
        <w:sz w:val="21"/>
        <w:szCs w:val="21"/>
      </w:rPr>
      <w:t>信息咨询及订购热线：</w:t>
    </w:r>
    <w:r>
      <w:rPr>
        <w:color w:val="0000FF"/>
        <w:sz w:val="21"/>
        <w:szCs w:val="21"/>
      </w:rPr>
      <w:t>010-58303560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cs="Times New Roman"/>
      </w:rPr>
    </w:pPr>
    <w:r>
      <w:pict>
        <v:shape id="PowerPlusWaterMarkObject1" o:spid="_x0000_s2050" o:spt="136" type="#_x0000_t136" style="position:absolute;left:0pt;height:117.1pt;width:46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69"/>
    <w:multiLevelType w:val="multilevel"/>
    <w:tmpl w:val="0E864C69"/>
    <w:lvl w:ilvl="0" w:tentative="0">
      <w:start w:val="1"/>
      <w:numFmt w:val="decimal"/>
      <w:lvlText w:val="%1"/>
      <w:lvlJc w:val="left"/>
      <w:pPr>
        <w:tabs>
          <w:tab w:val="left" w:pos="600"/>
        </w:tabs>
        <w:ind w:left="600" w:hanging="600"/>
      </w:pPr>
      <w:rPr>
        <w:rFonts w:hint="default"/>
      </w:rPr>
    </w:lvl>
    <w:lvl w:ilvl="1" w:tentative="0">
      <w:start w:val="2"/>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
    <w:nsid w:val="71BC0B93"/>
    <w:multiLevelType w:val="multilevel"/>
    <w:tmpl w:val="71BC0B93"/>
    <w:lvl w:ilvl="0" w:tentative="0">
      <w:start w:val="1"/>
      <w:numFmt w:val="decimal"/>
      <w:lvlText w:val="%1"/>
      <w:lvlJc w:val="left"/>
      <w:pPr>
        <w:tabs>
          <w:tab w:val="left" w:pos="600"/>
        </w:tabs>
        <w:ind w:left="600" w:hanging="600"/>
      </w:pPr>
      <w:rPr>
        <w:rFonts w:hint="default"/>
      </w:rPr>
    </w:lvl>
    <w:lvl w:ilvl="1" w:tentative="0">
      <w:start w:val="7"/>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77DE5BD7"/>
    <w:multiLevelType w:val="multilevel"/>
    <w:tmpl w:val="77DE5BD7"/>
    <w:lvl w:ilvl="0" w:tentative="0">
      <w:start w:val="3"/>
      <w:numFmt w:val="decimal"/>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isplayBackgroundShape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78C"/>
    <w:rsid w:val="00000142"/>
    <w:rsid w:val="0000039B"/>
    <w:rsid w:val="000004F7"/>
    <w:rsid w:val="0000067D"/>
    <w:rsid w:val="00000760"/>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32E"/>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E49"/>
    <w:rsid w:val="00006F4D"/>
    <w:rsid w:val="00007148"/>
    <w:rsid w:val="00007441"/>
    <w:rsid w:val="00007A20"/>
    <w:rsid w:val="00007A74"/>
    <w:rsid w:val="00007E15"/>
    <w:rsid w:val="000101D1"/>
    <w:rsid w:val="00010383"/>
    <w:rsid w:val="00010513"/>
    <w:rsid w:val="00010710"/>
    <w:rsid w:val="00010734"/>
    <w:rsid w:val="00010855"/>
    <w:rsid w:val="00010ACA"/>
    <w:rsid w:val="00010BD8"/>
    <w:rsid w:val="00010C97"/>
    <w:rsid w:val="00010DC4"/>
    <w:rsid w:val="00010E8A"/>
    <w:rsid w:val="00010FC2"/>
    <w:rsid w:val="0001147A"/>
    <w:rsid w:val="000118F9"/>
    <w:rsid w:val="00011A42"/>
    <w:rsid w:val="00011BA0"/>
    <w:rsid w:val="00011C43"/>
    <w:rsid w:val="00011D11"/>
    <w:rsid w:val="00011F60"/>
    <w:rsid w:val="0001203E"/>
    <w:rsid w:val="0001254C"/>
    <w:rsid w:val="0001295A"/>
    <w:rsid w:val="00012A7B"/>
    <w:rsid w:val="00012C94"/>
    <w:rsid w:val="00012E75"/>
    <w:rsid w:val="00013281"/>
    <w:rsid w:val="000132BF"/>
    <w:rsid w:val="000132FB"/>
    <w:rsid w:val="00013735"/>
    <w:rsid w:val="000137CC"/>
    <w:rsid w:val="00013D16"/>
    <w:rsid w:val="000143C8"/>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294"/>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9F1"/>
    <w:rsid w:val="00025CE0"/>
    <w:rsid w:val="000262DC"/>
    <w:rsid w:val="00026464"/>
    <w:rsid w:val="0002693F"/>
    <w:rsid w:val="00026CC9"/>
    <w:rsid w:val="00026F2D"/>
    <w:rsid w:val="000271F9"/>
    <w:rsid w:val="000274B1"/>
    <w:rsid w:val="00027694"/>
    <w:rsid w:val="000279DD"/>
    <w:rsid w:val="00027A99"/>
    <w:rsid w:val="000302D2"/>
    <w:rsid w:val="00030391"/>
    <w:rsid w:val="00030656"/>
    <w:rsid w:val="0003068A"/>
    <w:rsid w:val="000307C0"/>
    <w:rsid w:val="00030B9E"/>
    <w:rsid w:val="00031064"/>
    <w:rsid w:val="000312D1"/>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0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18C"/>
    <w:rsid w:val="000402AA"/>
    <w:rsid w:val="000402D9"/>
    <w:rsid w:val="00040567"/>
    <w:rsid w:val="00040823"/>
    <w:rsid w:val="00040831"/>
    <w:rsid w:val="0004089D"/>
    <w:rsid w:val="000408DF"/>
    <w:rsid w:val="00040B4E"/>
    <w:rsid w:val="0004169E"/>
    <w:rsid w:val="00041A44"/>
    <w:rsid w:val="00041D3C"/>
    <w:rsid w:val="00041DEC"/>
    <w:rsid w:val="00041E77"/>
    <w:rsid w:val="00041EEF"/>
    <w:rsid w:val="00041F1D"/>
    <w:rsid w:val="00042257"/>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36"/>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459"/>
    <w:rsid w:val="000539E9"/>
    <w:rsid w:val="00053AC2"/>
    <w:rsid w:val="00053C91"/>
    <w:rsid w:val="00053D72"/>
    <w:rsid w:val="00053FED"/>
    <w:rsid w:val="000540C4"/>
    <w:rsid w:val="000543BE"/>
    <w:rsid w:val="000544C2"/>
    <w:rsid w:val="00054601"/>
    <w:rsid w:val="00054870"/>
    <w:rsid w:val="0005506A"/>
    <w:rsid w:val="00055259"/>
    <w:rsid w:val="000553DD"/>
    <w:rsid w:val="00055529"/>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0F07"/>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3B5"/>
    <w:rsid w:val="00066885"/>
    <w:rsid w:val="00066993"/>
    <w:rsid w:val="000669DB"/>
    <w:rsid w:val="00066E63"/>
    <w:rsid w:val="000673D4"/>
    <w:rsid w:val="000674B8"/>
    <w:rsid w:val="00067599"/>
    <w:rsid w:val="000675F0"/>
    <w:rsid w:val="00067854"/>
    <w:rsid w:val="0006794F"/>
    <w:rsid w:val="00067C68"/>
    <w:rsid w:val="00067DEC"/>
    <w:rsid w:val="00067E38"/>
    <w:rsid w:val="000700D5"/>
    <w:rsid w:val="00070361"/>
    <w:rsid w:val="00070440"/>
    <w:rsid w:val="000705E3"/>
    <w:rsid w:val="0007068D"/>
    <w:rsid w:val="000706C9"/>
    <w:rsid w:val="00070851"/>
    <w:rsid w:val="00070AD9"/>
    <w:rsid w:val="00070D17"/>
    <w:rsid w:val="00070EE7"/>
    <w:rsid w:val="00071080"/>
    <w:rsid w:val="00071242"/>
    <w:rsid w:val="0007140E"/>
    <w:rsid w:val="00071487"/>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5EA3"/>
    <w:rsid w:val="000760AA"/>
    <w:rsid w:val="0007626C"/>
    <w:rsid w:val="000762CF"/>
    <w:rsid w:val="0007634E"/>
    <w:rsid w:val="000764FC"/>
    <w:rsid w:val="000765A1"/>
    <w:rsid w:val="00076805"/>
    <w:rsid w:val="00076B4D"/>
    <w:rsid w:val="00076BE7"/>
    <w:rsid w:val="0007760D"/>
    <w:rsid w:val="00077650"/>
    <w:rsid w:val="000776CA"/>
    <w:rsid w:val="00077718"/>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BED"/>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1EA"/>
    <w:rsid w:val="00090B31"/>
    <w:rsid w:val="00090BFD"/>
    <w:rsid w:val="00090ED0"/>
    <w:rsid w:val="0009120B"/>
    <w:rsid w:val="00091555"/>
    <w:rsid w:val="00091834"/>
    <w:rsid w:val="000918BC"/>
    <w:rsid w:val="00091953"/>
    <w:rsid w:val="00091964"/>
    <w:rsid w:val="00091E8B"/>
    <w:rsid w:val="00091FB0"/>
    <w:rsid w:val="000920B7"/>
    <w:rsid w:val="0009233C"/>
    <w:rsid w:val="000923AC"/>
    <w:rsid w:val="000926BF"/>
    <w:rsid w:val="0009285B"/>
    <w:rsid w:val="000929D8"/>
    <w:rsid w:val="00092E30"/>
    <w:rsid w:val="000930C7"/>
    <w:rsid w:val="000931EA"/>
    <w:rsid w:val="00093304"/>
    <w:rsid w:val="000938E8"/>
    <w:rsid w:val="00093916"/>
    <w:rsid w:val="00093C0D"/>
    <w:rsid w:val="00094130"/>
    <w:rsid w:val="00094283"/>
    <w:rsid w:val="000942F9"/>
    <w:rsid w:val="000947F1"/>
    <w:rsid w:val="00094A44"/>
    <w:rsid w:val="00094B04"/>
    <w:rsid w:val="00094D42"/>
    <w:rsid w:val="00095323"/>
    <w:rsid w:val="00095656"/>
    <w:rsid w:val="0009573B"/>
    <w:rsid w:val="00095747"/>
    <w:rsid w:val="00095966"/>
    <w:rsid w:val="00095A4A"/>
    <w:rsid w:val="00095B1D"/>
    <w:rsid w:val="00096299"/>
    <w:rsid w:val="0009634D"/>
    <w:rsid w:val="0009641E"/>
    <w:rsid w:val="00096A62"/>
    <w:rsid w:val="00096B0A"/>
    <w:rsid w:val="00096E96"/>
    <w:rsid w:val="0009705C"/>
    <w:rsid w:val="00097310"/>
    <w:rsid w:val="000975D7"/>
    <w:rsid w:val="000975DE"/>
    <w:rsid w:val="00097682"/>
    <w:rsid w:val="00097B2B"/>
    <w:rsid w:val="00097CD9"/>
    <w:rsid w:val="00097F31"/>
    <w:rsid w:val="00097FBC"/>
    <w:rsid w:val="000A0145"/>
    <w:rsid w:val="000A01A6"/>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20"/>
    <w:rsid w:val="000A43EB"/>
    <w:rsid w:val="000A461A"/>
    <w:rsid w:val="000A4726"/>
    <w:rsid w:val="000A4A5E"/>
    <w:rsid w:val="000A4E5C"/>
    <w:rsid w:val="000A5096"/>
    <w:rsid w:val="000A55E6"/>
    <w:rsid w:val="000A5DAE"/>
    <w:rsid w:val="000A609A"/>
    <w:rsid w:val="000A63DF"/>
    <w:rsid w:val="000A643F"/>
    <w:rsid w:val="000A6D9C"/>
    <w:rsid w:val="000A6F11"/>
    <w:rsid w:val="000A6F95"/>
    <w:rsid w:val="000A7409"/>
    <w:rsid w:val="000A7479"/>
    <w:rsid w:val="000A751A"/>
    <w:rsid w:val="000A75A4"/>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0E58"/>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192"/>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91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A1A"/>
    <w:rsid w:val="000D1ED6"/>
    <w:rsid w:val="000D1F51"/>
    <w:rsid w:val="000D1FBD"/>
    <w:rsid w:val="000D2000"/>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55"/>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D7A99"/>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4BD"/>
    <w:rsid w:val="000E46FA"/>
    <w:rsid w:val="000E4BF1"/>
    <w:rsid w:val="000E4D1A"/>
    <w:rsid w:val="000E4D45"/>
    <w:rsid w:val="000E4E47"/>
    <w:rsid w:val="000E50E2"/>
    <w:rsid w:val="000E542C"/>
    <w:rsid w:val="000E5489"/>
    <w:rsid w:val="000E56E8"/>
    <w:rsid w:val="000E579D"/>
    <w:rsid w:val="000E57A1"/>
    <w:rsid w:val="000E58A0"/>
    <w:rsid w:val="000E58F9"/>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0B0"/>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38C"/>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7FC"/>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4B"/>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909"/>
    <w:rsid w:val="00112A74"/>
    <w:rsid w:val="00112B00"/>
    <w:rsid w:val="00112C5C"/>
    <w:rsid w:val="00112CD5"/>
    <w:rsid w:val="00113044"/>
    <w:rsid w:val="00113230"/>
    <w:rsid w:val="0011357A"/>
    <w:rsid w:val="001136BC"/>
    <w:rsid w:val="00113B29"/>
    <w:rsid w:val="00113C06"/>
    <w:rsid w:val="00113DCA"/>
    <w:rsid w:val="00113E48"/>
    <w:rsid w:val="00113EB5"/>
    <w:rsid w:val="00114099"/>
    <w:rsid w:val="001140B5"/>
    <w:rsid w:val="00114178"/>
    <w:rsid w:val="0011421E"/>
    <w:rsid w:val="001142E6"/>
    <w:rsid w:val="001143A9"/>
    <w:rsid w:val="001147FD"/>
    <w:rsid w:val="00114A54"/>
    <w:rsid w:val="00114D28"/>
    <w:rsid w:val="00114DBF"/>
    <w:rsid w:val="00114E59"/>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045"/>
    <w:rsid w:val="0011741F"/>
    <w:rsid w:val="001175EE"/>
    <w:rsid w:val="0011765D"/>
    <w:rsid w:val="0011784F"/>
    <w:rsid w:val="00117926"/>
    <w:rsid w:val="00117A66"/>
    <w:rsid w:val="00117BA2"/>
    <w:rsid w:val="00120057"/>
    <w:rsid w:val="001203CF"/>
    <w:rsid w:val="0012072F"/>
    <w:rsid w:val="001207AB"/>
    <w:rsid w:val="001208E9"/>
    <w:rsid w:val="001209C6"/>
    <w:rsid w:val="00120E07"/>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6D6"/>
    <w:rsid w:val="0012474C"/>
    <w:rsid w:val="00124969"/>
    <w:rsid w:val="00124CB5"/>
    <w:rsid w:val="00124CCE"/>
    <w:rsid w:val="00124D8E"/>
    <w:rsid w:val="00124E08"/>
    <w:rsid w:val="00124F3C"/>
    <w:rsid w:val="00124F5C"/>
    <w:rsid w:val="0012540E"/>
    <w:rsid w:val="001254FF"/>
    <w:rsid w:val="0012566D"/>
    <w:rsid w:val="001257FB"/>
    <w:rsid w:val="00125B7A"/>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EDD"/>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74"/>
    <w:rsid w:val="00134B7A"/>
    <w:rsid w:val="00134B9F"/>
    <w:rsid w:val="00134BB2"/>
    <w:rsid w:val="00134C1F"/>
    <w:rsid w:val="00134D85"/>
    <w:rsid w:val="00134E9E"/>
    <w:rsid w:val="00134F5A"/>
    <w:rsid w:val="00134F85"/>
    <w:rsid w:val="00135176"/>
    <w:rsid w:val="001351AA"/>
    <w:rsid w:val="00135221"/>
    <w:rsid w:val="0013524F"/>
    <w:rsid w:val="00135480"/>
    <w:rsid w:val="0013548E"/>
    <w:rsid w:val="001355F6"/>
    <w:rsid w:val="00135702"/>
    <w:rsid w:val="001357BB"/>
    <w:rsid w:val="00135930"/>
    <w:rsid w:val="001359DD"/>
    <w:rsid w:val="00135B12"/>
    <w:rsid w:val="00135CD0"/>
    <w:rsid w:val="00135ECA"/>
    <w:rsid w:val="00136349"/>
    <w:rsid w:val="001363C4"/>
    <w:rsid w:val="00136562"/>
    <w:rsid w:val="001365FF"/>
    <w:rsid w:val="001367C2"/>
    <w:rsid w:val="00136884"/>
    <w:rsid w:val="001369A4"/>
    <w:rsid w:val="00136A7B"/>
    <w:rsid w:val="00136B49"/>
    <w:rsid w:val="00136E03"/>
    <w:rsid w:val="00136E07"/>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6C61"/>
    <w:rsid w:val="001471F2"/>
    <w:rsid w:val="0014729F"/>
    <w:rsid w:val="00147492"/>
    <w:rsid w:val="00147542"/>
    <w:rsid w:val="00147B74"/>
    <w:rsid w:val="00147E40"/>
    <w:rsid w:val="001501C9"/>
    <w:rsid w:val="00150406"/>
    <w:rsid w:val="00150412"/>
    <w:rsid w:val="001504E9"/>
    <w:rsid w:val="00150A07"/>
    <w:rsid w:val="00150B72"/>
    <w:rsid w:val="00150F6F"/>
    <w:rsid w:val="00151024"/>
    <w:rsid w:val="001510EF"/>
    <w:rsid w:val="00151499"/>
    <w:rsid w:val="001515FA"/>
    <w:rsid w:val="0015163E"/>
    <w:rsid w:val="00151653"/>
    <w:rsid w:val="001518EE"/>
    <w:rsid w:val="00151AB2"/>
    <w:rsid w:val="00151AB9"/>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437"/>
    <w:rsid w:val="00155814"/>
    <w:rsid w:val="00155869"/>
    <w:rsid w:val="00155CF2"/>
    <w:rsid w:val="00155D5D"/>
    <w:rsid w:val="00155E5E"/>
    <w:rsid w:val="00155E66"/>
    <w:rsid w:val="00156028"/>
    <w:rsid w:val="00156056"/>
    <w:rsid w:val="00156444"/>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7C6"/>
    <w:rsid w:val="001617D7"/>
    <w:rsid w:val="001619A9"/>
    <w:rsid w:val="00161F65"/>
    <w:rsid w:val="0016229C"/>
    <w:rsid w:val="001622C5"/>
    <w:rsid w:val="001626F6"/>
    <w:rsid w:val="00162765"/>
    <w:rsid w:val="00162841"/>
    <w:rsid w:val="00162855"/>
    <w:rsid w:val="00162856"/>
    <w:rsid w:val="00162941"/>
    <w:rsid w:val="00162A42"/>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6B5"/>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9A6"/>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46D"/>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2BE"/>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CC1"/>
    <w:rsid w:val="001A3E2B"/>
    <w:rsid w:val="001A4209"/>
    <w:rsid w:val="001A4385"/>
    <w:rsid w:val="001A4791"/>
    <w:rsid w:val="001A4969"/>
    <w:rsid w:val="001A4BA2"/>
    <w:rsid w:val="001A4C29"/>
    <w:rsid w:val="001A4C47"/>
    <w:rsid w:val="001A4E2E"/>
    <w:rsid w:val="001A56AF"/>
    <w:rsid w:val="001A58AF"/>
    <w:rsid w:val="001A58C1"/>
    <w:rsid w:val="001A5D6A"/>
    <w:rsid w:val="001A5E95"/>
    <w:rsid w:val="001A5F48"/>
    <w:rsid w:val="001A6021"/>
    <w:rsid w:val="001A60DB"/>
    <w:rsid w:val="001A6104"/>
    <w:rsid w:val="001A628A"/>
    <w:rsid w:val="001A630D"/>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0FF8"/>
    <w:rsid w:val="001B1175"/>
    <w:rsid w:val="001B11E9"/>
    <w:rsid w:val="001B1241"/>
    <w:rsid w:val="001B15A5"/>
    <w:rsid w:val="001B172B"/>
    <w:rsid w:val="001B19C0"/>
    <w:rsid w:val="001B1B47"/>
    <w:rsid w:val="001B1C7E"/>
    <w:rsid w:val="001B21B2"/>
    <w:rsid w:val="001B2261"/>
    <w:rsid w:val="001B2461"/>
    <w:rsid w:val="001B29D6"/>
    <w:rsid w:val="001B2BA5"/>
    <w:rsid w:val="001B2CC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B20"/>
    <w:rsid w:val="001B6EB1"/>
    <w:rsid w:val="001B6F76"/>
    <w:rsid w:val="001B712E"/>
    <w:rsid w:val="001B7599"/>
    <w:rsid w:val="001B7651"/>
    <w:rsid w:val="001B7BC0"/>
    <w:rsid w:val="001C002F"/>
    <w:rsid w:val="001C026D"/>
    <w:rsid w:val="001C0A8E"/>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2D"/>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9A7"/>
    <w:rsid w:val="001D4C82"/>
    <w:rsid w:val="001D4F98"/>
    <w:rsid w:val="001D53E2"/>
    <w:rsid w:val="001D5468"/>
    <w:rsid w:val="001D5677"/>
    <w:rsid w:val="001D59AA"/>
    <w:rsid w:val="001D5ABC"/>
    <w:rsid w:val="001D60E8"/>
    <w:rsid w:val="001D64A9"/>
    <w:rsid w:val="001D67EA"/>
    <w:rsid w:val="001D690F"/>
    <w:rsid w:val="001D69D4"/>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E2"/>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321"/>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AC8"/>
    <w:rsid w:val="001F3B1F"/>
    <w:rsid w:val="001F3B88"/>
    <w:rsid w:val="001F3D77"/>
    <w:rsid w:val="001F3D90"/>
    <w:rsid w:val="001F3D95"/>
    <w:rsid w:val="001F3DD4"/>
    <w:rsid w:val="001F425B"/>
    <w:rsid w:val="001F42CD"/>
    <w:rsid w:val="001F4449"/>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36"/>
    <w:rsid w:val="001F74DC"/>
    <w:rsid w:val="001F75C7"/>
    <w:rsid w:val="001F7A37"/>
    <w:rsid w:val="001F7BE1"/>
    <w:rsid w:val="00200053"/>
    <w:rsid w:val="0020041A"/>
    <w:rsid w:val="0020054B"/>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2CDF"/>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3AF6"/>
    <w:rsid w:val="00213B68"/>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6E5E"/>
    <w:rsid w:val="002170E0"/>
    <w:rsid w:val="0021714C"/>
    <w:rsid w:val="00217155"/>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CC2"/>
    <w:rsid w:val="00220F46"/>
    <w:rsid w:val="00221364"/>
    <w:rsid w:val="0022145C"/>
    <w:rsid w:val="00221571"/>
    <w:rsid w:val="00221B93"/>
    <w:rsid w:val="00222416"/>
    <w:rsid w:val="002227D6"/>
    <w:rsid w:val="002228D4"/>
    <w:rsid w:val="00222ABD"/>
    <w:rsid w:val="00222E45"/>
    <w:rsid w:val="002232B0"/>
    <w:rsid w:val="002232E4"/>
    <w:rsid w:val="00223855"/>
    <w:rsid w:val="00224168"/>
    <w:rsid w:val="0022455A"/>
    <w:rsid w:val="002247AD"/>
    <w:rsid w:val="00224899"/>
    <w:rsid w:val="00224CEC"/>
    <w:rsid w:val="00224CF3"/>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8C3"/>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5EF"/>
    <w:rsid w:val="00232643"/>
    <w:rsid w:val="002327A6"/>
    <w:rsid w:val="00232906"/>
    <w:rsid w:val="00232BA2"/>
    <w:rsid w:val="00232E83"/>
    <w:rsid w:val="00233672"/>
    <w:rsid w:val="002337BF"/>
    <w:rsid w:val="00233A15"/>
    <w:rsid w:val="00234465"/>
    <w:rsid w:val="002345B6"/>
    <w:rsid w:val="0023460B"/>
    <w:rsid w:val="0023473E"/>
    <w:rsid w:val="0023486E"/>
    <w:rsid w:val="00234897"/>
    <w:rsid w:val="00234B2B"/>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303"/>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6FD"/>
    <w:rsid w:val="0024094A"/>
    <w:rsid w:val="00240AD8"/>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2E5"/>
    <w:rsid w:val="002436E1"/>
    <w:rsid w:val="0024377A"/>
    <w:rsid w:val="0024393C"/>
    <w:rsid w:val="00243D33"/>
    <w:rsid w:val="00243DA3"/>
    <w:rsid w:val="0024469C"/>
    <w:rsid w:val="00244777"/>
    <w:rsid w:val="0024494A"/>
    <w:rsid w:val="00244B06"/>
    <w:rsid w:val="00244E07"/>
    <w:rsid w:val="00245287"/>
    <w:rsid w:val="00245351"/>
    <w:rsid w:val="002455E1"/>
    <w:rsid w:val="0024568B"/>
    <w:rsid w:val="00245AC4"/>
    <w:rsid w:val="00245CB4"/>
    <w:rsid w:val="00245CBC"/>
    <w:rsid w:val="00245DDA"/>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B7B"/>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0E9"/>
    <w:rsid w:val="00267380"/>
    <w:rsid w:val="00267419"/>
    <w:rsid w:val="002675C7"/>
    <w:rsid w:val="00267851"/>
    <w:rsid w:val="00267AC7"/>
    <w:rsid w:val="00267C8A"/>
    <w:rsid w:val="00267D11"/>
    <w:rsid w:val="00267FB2"/>
    <w:rsid w:val="0027006D"/>
    <w:rsid w:val="00270311"/>
    <w:rsid w:val="00270908"/>
    <w:rsid w:val="00270D81"/>
    <w:rsid w:val="00271076"/>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7F4"/>
    <w:rsid w:val="0028384E"/>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4F7"/>
    <w:rsid w:val="002875A0"/>
    <w:rsid w:val="0028770B"/>
    <w:rsid w:val="002877E7"/>
    <w:rsid w:val="0028788D"/>
    <w:rsid w:val="00287A11"/>
    <w:rsid w:val="00287EF1"/>
    <w:rsid w:val="00290059"/>
    <w:rsid w:val="002900F7"/>
    <w:rsid w:val="00290103"/>
    <w:rsid w:val="00290136"/>
    <w:rsid w:val="0029067F"/>
    <w:rsid w:val="00290883"/>
    <w:rsid w:val="002908B3"/>
    <w:rsid w:val="002908BF"/>
    <w:rsid w:val="002909E0"/>
    <w:rsid w:val="00290E84"/>
    <w:rsid w:val="00290F09"/>
    <w:rsid w:val="002911B7"/>
    <w:rsid w:val="0029184F"/>
    <w:rsid w:val="002918DC"/>
    <w:rsid w:val="002920F4"/>
    <w:rsid w:val="00292153"/>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83D"/>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348"/>
    <w:rsid w:val="002B245B"/>
    <w:rsid w:val="002B2501"/>
    <w:rsid w:val="002B29B2"/>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435"/>
    <w:rsid w:val="002C06D6"/>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57"/>
    <w:rsid w:val="002C358C"/>
    <w:rsid w:val="002C38AB"/>
    <w:rsid w:val="002C3B7C"/>
    <w:rsid w:val="002C3BF3"/>
    <w:rsid w:val="002C3D0D"/>
    <w:rsid w:val="002C3E32"/>
    <w:rsid w:val="002C4012"/>
    <w:rsid w:val="002C454E"/>
    <w:rsid w:val="002C4CFD"/>
    <w:rsid w:val="002C4D0F"/>
    <w:rsid w:val="002C4EE6"/>
    <w:rsid w:val="002C56AE"/>
    <w:rsid w:val="002C5C10"/>
    <w:rsid w:val="002C5D9C"/>
    <w:rsid w:val="002C5DFB"/>
    <w:rsid w:val="002C5F59"/>
    <w:rsid w:val="002C6230"/>
    <w:rsid w:val="002C65AE"/>
    <w:rsid w:val="002C6939"/>
    <w:rsid w:val="002C6C35"/>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3EF5"/>
    <w:rsid w:val="002E3F0F"/>
    <w:rsid w:val="002E4051"/>
    <w:rsid w:val="002E48A4"/>
    <w:rsid w:val="002E49A9"/>
    <w:rsid w:val="002E4D60"/>
    <w:rsid w:val="002E4E27"/>
    <w:rsid w:val="002E4E5E"/>
    <w:rsid w:val="002E4EAF"/>
    <w:rsid w:val="002E505D"/>
    <w:rsid w:val="002E5065"/>
    <w:rsid w:val="002E512D"/>
    <w:rsid w:val="002E5403"/>
    <w:rsid w:val="002E5673"/>
    <w:rsid w:val="002E5714"/>
    <w:rsid w:val="002E5A39"/>
    <w:rsid w:val="002E5AAD"/>
    <w:rsid w:val="002E5C65"/>
    <w:rsid w:val="002E5DB5"/>
    <w:rsid w:val="002E5DC6"/>
    <w:rsid w:val="002E5FDB"/>
    <w:rsid w:val="002E635A"/>
    <w:rsid w:val="002E6452"/>
    <w:rsid w:val="002E64A7"/>
    <w:rsid w:val="002E6643"/>
    <w:rsid w:val="002E68EC"/>
    <w:rsid w:val="002E6C74"/>
    <w:rsid w:val="002E6E17"/>
    <w:rsid w:val="002E6F02"/>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8FC"/>
    <w:rsid w:val="002F5BDA"/>
    <w:rsid w:val="002F5C62"/>
    <w:rsid w:val="002F5F29"/>
    <w:rsid w:val="002F6340"/>
    <w:rsid w:val="002F64C6"/>
    <w:rsid w:val="002F64F7"/>
    <w:rsid w:val="002F65D1"/>
    <w:rsid w:val="002F6683"/>
    <w:rsid w:val="002F71E8"/>
    <w:rsid w:val="002F750A"/>
    <w:rsid w:val="002F768D"/>
    <w:rsid w:val="002F77B2"/>
    <w:rsid w:val="002F78D8"/>
    <w:rsid w:val="002F79C7"/>
    <w:rsid w:val="002F7BC8"/>
    <w:rsid w:val="002F7D25"/>
    <w:rsid w:val="002F7D92"/>
    <w:rsid w:val="002F7E72"/>
    <w:rsid w:val="002F7F64"/>
    <w:rsid w:val="003001A3"/>
    <w:rsid w:val="00300328"/>
    <w:rsid w:val="00300337"/>
    <w:rsid w:val="003003C8"/>
    <w:rsid w:val="00300ED3"/>
    <w:rsid w:val="00300F4C"/>
    <w:rsid w:val="00301220"/>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BB5"/>
    <w:rsid w:val="00303C04"/>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A"/>
    <w:rsid w:val="0030724D"/>
    <w:rsid w:val="0030746B"/>
    <w:rsid w:val="003075CC"/>
    <w:rsid w:val="003076E2"/>
    <w:rsid w:val="003077FE"/>
    <w:rsid w:val="00307A5A"/>
    <w:rsid w:val="00307DD6"/>
    <w:rsid w:val="00307ED5"/>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A0F"/>
    <w:rsid w:val="00311E00"/>
    <w:rsid w:val="00311E83"/>
    <w:rsid w:val="00311F0A"/>
    <w:rsid w:val="00311F5F"/>
    <w:rsid w:val="0031221D"/>
    <w:rsid w:val="003123BE"/>
    <w:rsid w:val="0031291F"/>
    <w:rsid w:val="00312BF2"/>
    <w:rsid w:val="00312C30"/>
    <w:rsid w:val="0031310F"/>
    <w:rsid w:val="00313602"/>
    <w:rsid w:val="0031376A"/>
    <w:rsid w:val="00313AFD"/>
    <w:rsid w:val="00313E97"/>
    <w:rsid w:val="003141E8"/>
    <w:rsid w:val="003142A2"/>
    <w:rsid w:val="00314403"/>
    <w:rsid w:val="00314CD4"/>
    <w:rsid w:val="00314E17"/>
    <w:rsid w:val="00314FA8"/>
    <w:rsid w:val="003151BD"/>
    <w:rsid w:val="0031545F"/>
    <w:rsid w:val="003154B7"/>
    <w:rsid w:val="00315793"/>
    <w:rsid w:val="00315C97"/>
    <w:rsid w:val="00315E7B"/>
    <w:rsid w:val="00315FD0"/>
    <w:rsid w:val="0031631F"/>
    <w:rsid w:val="00316403"/>
    <w:rsid w:val="003165FB"/>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4F6"/>
    <w:rsid w:val="00320556"/>
    <w:rsid w:val="003207E0"/>
    <w:rsid w:val="00320C24"/>
    <w:rsid w:val="00320CDB"/>
    <w:rsid w:val="00321106"/>
    <w:rsid w:val="00321224"/>
    <w:rsid w:val="003215E8"/>
    <w:rsid w:val="00321AA4"/>
    <w:rsid w:val="00321AF6"/>
    <w:rsid w:val="00321C5F"/>
    <w:rsid w:val="00321D88"/>
    <w:rsid w:val="00321DEF"/>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186"/>
    <w:rsid w:val="00324260"/>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388"/>
    <w:rsid w:val="00326731"/>
    <w:rsid w:val="003267E3"/>
    <w:rsid w:val="00326CBD"/>
    <w:rsid w:val="00326DF1"/>
    <w:rsid w:val="00326EB8"/>
    <w:rsid w:val="00327330"/>
    <w:rsid w:val="00327597"/>
    <w:rsid w:val="00327995"/>
    <w:rsid w:val="00327BA6"/>
    <w:rsid w:val="00327BAF"/>
    <w:rsid w:val="0033032F"/>
    <w:rsid w:val="003304F1"/>
    <w:rsid w:val="00330BFB"/>
    <w:rsid w:val="00330F91"/>
    <w:rsid w:val="00330FB8"/>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DEC"/>
    <w:rsid w:val="00335E30"/>
    <w:rsid w:val="00336239"/>
    <w:rsid w:val="0033630D"/>
    <w:rsid w:val="003364C4"/>
    <w:rsid w:val="00336725"/>
    <w:rsid w:val="003369F4"/>
    <w:rsid w:val="00336E9B"/>
    <w:rsid w:val="00337164"/>
    <w:rsid w:val="003372A7"/>
    <w:rsid w:val="00337683"/>
    <w:rsid w:val="003376B9"/>
    <w:rsid w:val="003377F8"/>
    <w:rsid w:val="00337A65"/>
    <w:rsid w:val="00337D07"/>
    <w:rsid w:val="00337D0C"/>
    <w:rsid w:val="00337EFC"/>
    <w:rsid w:val="003400EB"/>
    <w:rsid w:val="0034042F"/>
    <w:rsid w:val="003404DC"/>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DC"/>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A13"/>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58"/>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06C"/>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936"/>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36"/>
    <w:rsid w:val="0037119E"/>
    <w:rsid w:val="003711F3"/>
    <w:rsid w:val="00371661"/>
    <w:rsid w:val="00371777"/>
    <w:rsid w:val="003720EF"/>
    <w:rsid w:val="00372445"/>
    <w:rsid w:val="00372596"/>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CC9"/>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5BE"/>
    <w:rsid w:val="0038281F"/>
    <w:rsid w:val="0038306A"/>
    <w:rsid w:val="00383557"/>
    <w:rsid w:val="003836EC"/>
    <w:rsid w:val="0038370F"/>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353"/>
    <w:rsid w:val="003875B9"/>
    <w:rsid w:val="00387DC7"/>
    <w:rsid w:val="00390079"/>
    <w:rsid w:val="00390366"/>
    <w:rsid w:val="0039051D"/>
    <w:rsid w:val="00390775"/>
    <w:rsid w:val="00390A50"/>
    <w:rsid w:val="00390DF8"/>
    <w:rsid w:val="0039114A"/>
    <w:rsid w:val="00391266"/>
    <w:rsid w:val="00391309"/>
    <w:rsid w:val="00391461"/>
    <w:rsid w:val="00391F2A"/>
    <w:rsid w:val="00391F5F"/>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6"/>
    <w:rsid w:val="00394AF9"/>
    <w:rsid w:val="00394C45"/>
    <w:rsid w:val="00394E39"/>
    <w:rsid w:val="00394EE8"/>
    <w:rsid w:val="00395056"/>
    <w:rsid w:val="00395642"/>
    <w:rsid w:val="00395773"/>
    <w:rsid w:val="003958D2"/>
    <w:rsid w:val="00395A8F"/>
    <w:rsid w:val="00396123"/>
    <w:rsid w:val="00396136"/>
    <w:rsid w:val="003962D4"/>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A1"/>
    <w:rsid w:val="003A7DFD"/>
    <w:rsid w:val="003B0207"/>
    <w:rsid w:val="003B047E"/>
    <w:rsid w:val="003B0BC5"/>
    <w:rsid w:val="003B107D"/>
    <w:rsid w:val="003B11EF"/>
    <w:rsid w:val="003B1341"/>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EF8"/>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500"/>
    <w:rsid w:val="003C5678"/>
    <w:rsid w:val="003C5842"/>
    <w:rsid w:val="003C61B2"/>
    <w:rsid w:val="003C6556"/>
    <w:rsid w:val="003C66F3"/>
    <w:rsid w:val="003C6BDA"/>
    <w:rsid w:val="003C6F40"/>
    <w:rsid w:val="003C6F41"/>
    <w:rsid w:val="003C7302"/>
    <w:rsid w:val="003C755C"/>
    <w:rsid w:val="003C7897"/>
    <w:rsid w:val="003C78AD"/>
    <w:rsid w:val="003C792A"/>
    <w:rsid w:val="003C7CCF"/>
    <w:rsid w:val="003C7D19"/>
    <w:rsid w:val="003D0027"/>
    <w:rsid w:val="003D067E"/>
    <w:rsid w:val="003D089F"/>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7B0"/>
    <w:rsid w:val="003D29AB"/>
    <w:rsid w:val="003D2A72"/>
    <w:rsid w:val="003D2C41"/>
    <w:rsid w:val="003D2E81"/>
    <w:rsid w:val="003D2F02"/>
    <w:rsid w:val="003D3027"/>
    <w:rsid w:val="003D315D"/>
    <w:rsid w:val="003D34F6"/>
    <w:rsid w:val="003D3761"/>
    <w:rsid w:val="003D379D"/>
    <w:rsid w:val="003D388C"/>
    <w:rsid w:val="003D3CAA"/>
    <w:rsid w:val="003D3F5E"/>
    <w:rsid w:val="003D444C"/>
    <w:rsid w:val="003D457E"/>
    <w:rsid w:val="003D47D0"/>
    <w:rsid w:val="003D47DB"/>
    <w:rsid w:val="003D48C7"/>
    <w:rsid w:val="003D4DC7"/>
    <w:rsid w:val="003D4DD1"/>
    <w:rsid w:val="003D4E9B"/>
    <w:rsid w:val="003D50DE"/>
    <w:rsid w:val="003D5396"/>
    <w:rsid w:val="003D54F5"/>
    <w:rsid w:val="003D55D0"/>
    <w:rsid w:val="003D58C1"/>
    <w:rsid w:val="003D5931"/>
    <w:rsid w:val="003D5A4E"/>
    <w:rsid w:val="003D5AE9"/>
    <w:rsid w:val="003D5C3F"/>
    <w:rsid w:val="003D5FBD"/>
    <w:rsid w:val="003D5FEF"/>
    <w:rsid w:val="003D6221"/>
    <w:rsid w:val="003D632B"/>
    <w:rsid w:val="003D63EF"/>
    <w:rsid w:val="003D6427"/>
    <w:rsid w:val="003D66A5"/>
    <w:rsid w:val="003D6C4E"/>
    <w:rsid w:val="003D6E21"/>
    <w:rsid w:val="003D6F79"/>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085"/>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4FBA"/>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A26"/>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6A6"/>
    <w:rsid w:val="003F378D"/>
    <w:rsid w:val="003F3C75"/>
    <w:rsid w:val="003F3D65"/>
    <w:rsid w:val="003F3E02"/>
    <w:rsid w:val="003F4211"/>
    <w:rsid w:val="003F4687"/>
    <w:rsid w:val="003F499F"/>
    <w:rsid w:val="003F49D3"/>
    <w:rsid w:val="003F49FD"/>
    <w:rsid w:val="003F4E76"/>
    <w:rsid w:val="003F56C6"/>
    <w:rsid w:val="003F5845"/>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88D"/>
    <w:rsid w:val="004019F8"/>
    <w:rsid w:val="00401ABE"/>
    <w:rsid w:val="00402139"/>
    <w:rsid w:val="00402197"/>
    <w:rsid w:val="004022E2"/>
    <w:rsid w:val="004024A6"/>
    <w:rsid w:val="004026DC"/>
    <w:rsid w:val="004027D4"/>
    <w:rsid w:val="00402905"/>
    <w:rsid w:val="004029CC"/>
    <w:rsid w:val="00402D1A"/>
    <w:rsid w:val="00402D3E"/>
    <w:rsid w:val="004030E2"/>
    <w:rsid w:val="00403632"/>
    <w:rsid w:val="00403A64"/>
    <w:rsid w:val="00403C8B"/>
    <w:rsid w:val="00403CD4"/>
    <w:rsid w:val="0040452A"/>
    <w:rsid w:val="00404597"/>
    <w:rsid w:val="00404A5F"/>
    <w:rsid w:val="00404BBE"/>
    <w:rsid w:val="00404CF4"/>
    <w:rsid w:val="00404FCE"/>
    <w:rsid w:val="00405014"/>
    <w:rsid w:val="00405319"/>
    <w:rsid w:val="0040532D"/>
    <w:rsid w:val="00405745"/>
    <w:rsid w:val="0040593F"/>
    <w:rsid w:val="00405D25"/>
    <w:rsid w:val="00405D29"/>
    <w:rsid w:val="00405F28"/>
    <w:rsid w:val="00405FE3"/>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0EFE"/>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C3"/>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B6E"/>
    <w:rsid w:val="00414EEC"/>
    <w:rsid w:val="00414F25"/>
    <w:rsid w:val="004156F9"/>
    <w:rsid w:val="0041595C"/>
    <w:rsid w:val="00416304"/>
    <w:rsid w:val="0041661A"/>
    <w:rsid w:val="00416691"/>
    <w:rsid w:val="00416693"/>
    <w:rsid w:val="004168E8"/>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5F4"/>
    <w:rsid w:val="00420736"/>
    <w:rsid w:val="00420A6F"/>
    <w:rsid w:val="00420AAA"/>
    <w:rsid w:val="00420FF3"/>
    <w:rsid w:val="004210DF"/>
    <w:rsid w:val="0042135E"/>
    <w:rsid w:val="004213B5"/>
    <w:rsid w:val="00421551"/>
    <w:rsid w:val="00421566"/>
    <w:rsid w:val="004216C8"/>
    <w:rsid w:val="00421BD5"/>
    <w:rsid w:val="00421E46"/>
    <w:rsid w:val="00421FB4"/>
    <w:rsid w:val="004220BC"/>
    <w:rsid w:val="004221AC"/>
    <w:rsid w:val="004221C7"/>
    <w:rsid w:val="00422328"/>
    <w:rsid w:val="00422446"/>
    <w:rsid w:val="00422742"/>
    <w:rsid w:val="0042276E"/>
    <w:rsid w:val="00422A13"/>
    <w:rsid w:val="00422A1A"/>
    <w:rsid w:val="00422B37"/>
    <w:rsid w:val="00422D6F"/>
    <w:rsid w:val="004237B5"/>
    <w:rsid w:val="00423BCC"/>
    <w:rsid w:val="00423DD1"/>
    <w:rsid w:val="00423E82"/>
    <w:rsid w:val="00423F0D"/>
    <w:rsid w:val="00424384"/>
    <w:rsid w:val="0042468E"/>
    <w:rsid w:val="0042471F"/>
    <w:rsid w:val="0042480D"/>
    <w:rsid w:val="004249B1"/>
    <w:rsid w:val="00424E62"/>
    <w:rsid w:val="00425107"/>
    <w:rsid w:val="004251B3"/>
    <w:rsid w:val="0042525A"/>
    <w:rsid w:val="00425296"/>
    <w:rsid w:val="00425307"/>
    <w:rsid w:val="00425344"/>
    <w:rsid w:val="00425553"/>
    <w:rsid w:val="0042591A"/>
    <w:rsid w:val="004259B2"/>
    <w:rsid w:val="00425A49"/>
    <w:rsid w:val="00425BF4"/>
    <w:rsid w:val="00425E6B"/>
    <w:rsid w:val="00425FC5"/>
    <w:rsid w:val="004260A3"/>
    <w:rsid w:val="004265AD"/>
    <w:rsid w:val="004266F5"/>
    <w:rsid w:val="0042677A"/>
    <w:rsid w:val="00426B15"/>
    <w:rsid w:val="00427061"/>
    <w:rsid w:val="0042727C"/>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5E8"/>
    <w:rsid w:val="00431C1F"/>
    <w:rsid w:val="00431DBB"/>
    <w:rsid w:val="00432106"/>
    <w:rsid w:val="0043213D"/>
    <w:rsid w:val="00432278"/>
    <w:rsid w:val="0043258E"/>
    <w:rsid w:val="004325C7"/>
    <w:rsid w:val="00432798"/>
    <w:rsid w:val="00432A4B"/>
    <w:rsid w:val="004331AB"/>
    <w:rsid w:val="0043329A"/>
    <w:rsid w:val="004333AB"/>
    <w:rsid w:val="004335AE"/>
    <w:rsid w:val="00433860"/>
    <w:rsid w:val="004338FB"/>
    <w:rsid w:val="00433DD0"/>
    <w:rsid w:val="00433F91"/>
    <w:rsid w:val="00434034"/>
    <w:rsid w:val="0043424B"/>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B0E"/>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1F8"/>
    <w:rsid w:val="004425B0"/>
    <w:rsid w:val="004425D5"/>
    <w:rsid w:val="00442674"/>
    <w:rsid w:val="004429B4"/>
    <w:rsid w:val="00442BD0"/>
    <w:rsid w:val="00442FFD"/>
    <w:rsid w:val="0044331F"/>
    <w:rsid w:val="00443494"/>
    <w:rsid w:val="0044358C"/>
    <w:rsid w:val="00443769"/>
    <w:rsid w:val="00443794"/>
    <w:rsid w:val="00443848"/>
    <w:rsid w:val="00443A3C"/>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8E2"/>
    <w:rsid w:val="004479C1"/>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327"/>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3DD"/>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1DA"/>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41"/>
    <w:rsid w:val="00462EDB"/>
    <w:rsid w:val="00463018"/>
    <w:rsid w:val="00463066"/>
    <w:rsid w:val="00463081"/>
    <w:rsid w:val="004630C6"/>
    <w:rsid w:val="00463160"/>
    <w:rsid w:val="004631D8"/>
    <w:rsid w:val="00463523"/>
    <w:rsid w:val="00463529"/>
    <w:rsid w:val="004635F0"/>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7D"/>
    <w:rsid w:val="00473BC7"/>
    <w:rsid w:val="0047402E"/>
    <w:rsid w:val="0047432B"/>
    <w:rsid w:val="00474549"/>
    <w:rsid w:val="004745B0"/>
    <w:rsid w:val="004745BB"/>
    <w:rsid w:val="004746CB"/>
    <w:rsid w:val="00474761"/>
    <w:rsid w:val="00474869"/>
    <w:rsid w:val="004749A1"/>
    <w:rsid w:val="00474B42"/>
    <w:rsid w:val="004758A7"/>
    <w:rsid w:val="00475A51"/>
    <w:rsid w:val="0047610D"/>
    <w:rsid w:val="004761D8"/>
    <w:rsid w:val="004763B6"/>
    <w:rsid w:val="004766F6"/>
    <w:rsid w:val="004767B0"/>
    <w:rsid w:val="0047698B"/>
    <w:rsid w:val="00476D63"/>
    <w:rsid w:val="00477095"/>
    <w:rsid w:val="004772B6"/>
    <w:rsid w:val="00477743"/>
    <w:rsid w:val="004779F4"/>
    <w:rsid w:val="00477CCE"/>
    <w:rsid w:val="00477E03"/>
    <w:rsid w:val="00477FBD"/>
    <w:rsid w:val="00477FEC"/>
    <w:rsid w:val="00480231"/>
    <w:rsid w:val="00480500"/>
    <w:rsid w:val="004805A1"/>
    <w:rsid w:val="00480E99"/>
    <w:rsid w:val="00481091"/>
    <w:rsid w:val="00481189"/>
    <w:rsid w:val="004811F9"/>
    <w:rsid w:val="0048122D"/>
    <w:rsid w:val="00481460"/>
    <w:rsid w:val="0048173C"/>
    <w:rsid w:val="004819DA"/>
    <w:rsid w:val="00481C93"/>
    <w:rsid w:val="00481F32"/>
    <w:rsid w:val="00482096"/>
    <w:rsid w:val="00482552"/>
    <w:rsid w:val="004827F2"/>
    <w:rsid w:val="00482808"/>
    <w:rsid w:val="00482945"/>
    <w:rsid w:val="00482B21"/>
    <w:rsid w:val="00482C57"/>
    <w:rsid w:val="00483251"/>
    <w:rsid w:val="00483310"/>
    <w:rsid w:val="0048353E"/>
    <w:rsid w:val="004836DA"/>
    <w:rsid w:val="004838BE"/>
    <w:rsid w:val="00483D8E"/>
    <w:rsid w:val="00484527"/>
    <w:rsid w:val="00484619"/>
    <w:rsid w:val="0048472B"/>
    <w:rsid w:val="00484844"/>
    <w:rsid w:val="00485145"/>
    <w:rsid w:val="00485426"/>
    <w:rsid w:val="00485588"/>
    <w:rsid w:val="004855FF"/>
    <w:rsid w:val="00485686"/>
    <w:rsid w:val="0048572F"/>
    <w:rsid w:val="004858FE"/>
    <w:rsid w:val="00485E4C"/>
    <w:rsid w:val="00485E7A"/>
    <w:rsid w:val="00486002"/>
    <w:rsid w:val="00486014"/>
    <w:rsid w:val="00486529"/>
    <w:rsid w:val="004869EA"/>
    <w:rsid w:val="00486A72"/>
    <w:rsid w:val="00486A8F"/>
    <w:rsid w:val="00486B26"/>
    <w:rsid w:val="0048719B"/>
    <w:rsid w:val="0048736B"/>
    <w:rsid w:val="004876B8"/>
    <w:rsid w:val="00487AEB"/>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EC5"/>
    <w:rsid w:val="00494F5E"/>
    <w:rsid w:val="004953F4"/>
    <w:rsid w:val="0049551B"/>
    <w:rsid w:val="004957ED"/>
    <w:rsid w:val="0049597B"/>
    <w:rsid w:val="00495E27"/>
    <w:rsid w:val="00495F6B"/>
    <w:rsid w:val="00495FBA"/>
    <w:rsid w:val="00496143"/>
    <w:rsid w:val="004962E1"/>
    <w:rsid w:val="00496612"/>
    <w:rsid w:val="004969CE"/>
    <w:rsid w:val="004969FB"/>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124"/>
    <w:rsid w:val="004A0867"/>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A1D"/>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D3C"/>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B7E70"/>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42B"/>
    <w:rsid w:val="004C26D3"/>
    <w:rsid w:val="004C2947"/>
    <w:rsid w:val="004C2C46"/>
    <w:rsid w:val="004C2E2F"/>
    <w:rsid w:val="004C2E65"/>
    <w:rsid w:val="004C375E"/>
    <w:rsid w:val="004C3917"/>
    <w:rsid w:val="004C3DDC"/>
    <w:rsid w:val="004C3F25"/>
    <w:rsid w:val="004C3FE9"/>
    <w:rsid w:val="004C4477"/>
    <w:rsid w:val="004C44A2"/>
    <w:rsid w:val="004C45D0"/>
    <w:rsid w:val="004C47E3"/>
    <w:rsid w:val="004C48DC"/>
    <w:rsid w:val="004C4A11"/>
    <w:rsid w:val="004C4A70"/>
    <w:rsid w:val="004C4AC5"/>
    <w:rsid w:val="004C4C08"/>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B9C"/>
    <w:rsid w:val="004D1E04"/>
    <w:rsid w:val="004D1EF3"/>
    <w:rsid w:val="004D1F2A"/>
    <w:rsid w:val="004D21E8"/>
    <w:rsid w:val="004D284A"/>
    <w:rsid w:val="004D2B72"/>
    <w:rsid w:val="004D2B75"/>
    <w:rsid w:val="004D3160"/>
    <w:rsid w:val="004D328C"/>
    <w:rsid w:val="004D3605"/>
    <w:rsid w:val="004D37C7"/>
    <w:rsid w:val="004D3931"/>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5B5"/>
    <w:rsid w:val="004E5602"/>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771"/>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3DA"/>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9BD"/>
    <w:rsid w:val="004F7C09"/>
    <w:rsid w:val="004F7FD1"/>
    <w:rsid w:val="00500113"/>
    <w:rsid w:val="00500524"/>
    <w:rsid w:val="005007F4"/>
    <w:rsid w:val="0050083B"/>
    <w:rsid w:val="00500B04"/>
    <w:rsid w:val="00500C84"/>
    <w:rsid w:val="00500CC0"/>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65"/>
    <w:rsid w:val="005031B1"/>
    <w:rsid w:val="00503641"/>
    <w:rsid w:val="005038E2"/>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832"/>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2D7F"/>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2AE"/>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28F"/>
    <w:rsid w:val="00521344"/>
    <w:rsid w:val="0052156A"/>
    <w:rsid w:val="00521733"/>
    <w:rsid w:val="00521818"/>
    <w:rsid w:val="0052195F"/>
    <w:rsid w:val="005219FD"/>
    <w:rsid w:val="00521F15"/>
    <w:rsid w:val="00521F49"/>
    <w:rsid w:val="0052219F"/>
    <w:rsid w:val="00522315"/>
    <w:rsid w:val="005229B2"/>
    <w:rsid w:val="00522ACB"/>
    <w:rsid w:val="00522B69"/>
    <w:rsid w:val="00522CD0"/>
    <w:rsid w:val="00522DCC"/>
    <w:rsid w:val="00522F5D"/>
    <w:rsid w:val="00522F86"/>
    <w:rsid w:val="00523197"/>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833"/>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93"/>
    <w:rsid w:val="005367D7"/>
    <w:rsid w:val="0053688E"/>
    <w:rsid w:val="00536A6C"/>
    <w:rsid w:val="00536D3D"/>
    <w:rsid w:val="005373D1"/>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702"/>
    <w:rsid w:val="005428CC"/>
    <w:rsid w:val="00542AC5"/>
    <w:rsid w:val="00542B45"/>
    <w:rsid w:val="005436A2"/>
    <w:rsid w:val="005438A7"/>
    <w:rsid w:val="00543AA6"/>
    <w:rsid w:val="00543B85"/>
    <w:rsid w:val="00543CBE"/>
    <w:rsid w:val="00543D82"/>
    <w:rsid w:val="005441EF"/>
    <w:rsid w:val="005445F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BB3"/>
    <w:rsid w:val="00547EE5"/>
    <w:rsid w:val="00550212"/>
    <w:rsid w:val="005503EF"/>
    <w:rsid w:val="0055040C"/>
    <w:rsid w:val="005505AB"/>
    <w:rsid w:val="00550B6A"/>
    <w:rsid w:val="00550B93"/>
    <w:rsid w:val="00550C4C"/>
    <w:rsid w:val="00550DB1"/>
    <w:rsid w:val="00550E53"/>
    <w:rsid w:val="00550E72"/>
    <w:rsid w:val="00550F99"/>
    <w:rsid w:val="0055117B"/>
    <w:rsid w:val="005512B2"/>
    <w:rsid w:val="005514D7"/>
    <w:rsid w:val="00551566"/>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1CC"/>
    <w:rsid w:val="00554235"/>
    <w:rsid w:val="0055430C"/>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9B"/>
    <w:rsid w:val="00556DCC"/>
    <w:rsid w:val="00556E62"/>
    <w:rsid w:val="00557223"/>
    <w:rsid w:val="0055731C"/>
    <w:rsid w:val="005573B7"/>
    <w:rsid w:val="00557566"/>
    <w:rsid w:val="005577B2"/>
    <w:rsid w:val="00557AD5"/>
    <w:rsid w:val="00557E09"/>
    <w:rsid w:val="00557F03"/>
    <w:rsid w:val="0056039A"/>
    <w:rsid w:val="00560431"/>
    <w:rsid w:val="00560515"/>
    <w:rsid w:val="005606AC"/>
    <w:rsid w:val="005608DC"/>
    <w:rsid w:val="00560D14"/>
    <w:rsid w:val="00561003"/>
    <w:rsid w:val="0056123B"/>
    <w:rsid w:val="00561409"/>
    <w:rsid w:val="0056166B"/>
    <w:rsid w:val="005616A0"/>
    <w:rsid w:val="00561B0A"/>
    <w:rsid w:val="00562054"/>
    <w:rsid w:val="005627DD"/>
    <w:rsid w:val="00562A43"/>
    <w:rsid w:val="00562AFF"/>
    <w:rsid w:val="00562B19"/>
    <w:rsid w:val="00562CDF"/>
    <w:rsid w:val="0056328D"/>
    <w:rsid w:val="005632D6"/>
    <w:rsid w:val="005634D9"/>
    <w:rsid w:val="0056382F"/>
    <w:rsid w:val="00563C2C"/>
    <w:rsid w:val="0056453F"/>
    <w:rsid w:val="005645CA"/>
    <w:rsid w:val="00564879"/>
    <w:rsid w:val="005648A1"/>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DCE"/>
    <w:rsid w:val="00566E1F"/>
    <w:rsid w:val="00566F60"/>
    <w:rsid w:val="0056727C"/>
    <w:rsid w:val="00567429"/>
    <w:rsid w:val="005674C3"/>
    <w:rsid w:val="005676B9"/>
    <w:rsid w:val="005676D5"/>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19"/>
    <w:rsid w:val="00574999"/>
    <w:rsid w:val="00574A32"/>
    <w:rsid w:val="00574DEE"/>
    <w:rsid w:val="00574F4A"/>
    <w:rsid w:val="00575042"/>
    <w:rsid w:val="00575053"/>
    <w:rsid w:val="0057541C"/>
    <w:rsid w:val="00575471"/>
    <w:rsid w:val="005755EC"/>
    <w:rsid w:val="005755FC"/>
    <w:rsid w:val="005756EC"/>
    <w:rsid w:val="00575892"/>
    <w:rsid w:val="0057621F"/>
    <w:rsid w:val="005766BF"/>
    <w:rsid w:val="005767BB"/>
    <w:rsid w:val="005773B5"/>
    <w:rsid w:val="0057753F"/>
    <w:rsid w:val="00577647"/>
    <w:rsid w:val="005776AD"/>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8D5"/>
    <w:rsid w:val="00582C5B"/>
    <w:rsid w:val="00582C91"/>
    <w:rsid w:val="005830F7"/>
    <w:rsid w:val="0058374E"/>
    <w:rsid w:val="00583804"/>
    <w:rsid w:val="00583998"/>
    <w:rsid w:val="00583D5A"/>
    <w:rsid w:val="00583F8F"/>
    <w:rsid w:val="00583FD8"/>
    <w:rsid w:val="005840EB"/>
    <w:rsid w:val="0058411A"/>
    <w:rsid w:val="005841A0"/>
    <w:rsid w:val="005847AB"/>
    <w:rsid w:val="0058496C"/>
    <w:rsid w:val="00584B91"/>
    <w:rsid w:val="00584C6C"/>
    <w:rsid w:val="00585155"/>
    <w:rsid w:val="005854B1"/>
    <w:rsid w:val="0058571F"/>
    <w:rsid w:val="005858CA"/>
    <w:rsid w:val="00585A9E"/>
    <w:rsid w:val="00585F64"/>
    <w:rsid w:val="00585FB0"/>
    <w:rsid w:val="005861AD"/>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BC"/>
    <w:rsid w:val="005956F4"/>
    <w:rsid w:val="00595A1E"/>
    <w:rsid w:val="00595C6B"/>
    <w:rsid w:val="00595FF8"/>
    <w:rsid w:val="005965BF"/>
    <w:rsid w:val="00596794"/>
    <w:rsid w:val="00596935"/>
    <w:rsid w:val="00596C92"/>
    <w:rsid w:val="00596C96"/>
    <w:rsid w:val="00596D92"/>
    <w:rsid w:val="00596E7E"/>
    <w:rsid w:val="00596F57"/>
    <w:rsid w:val="0059704D"/>
    <w:rsid w:val="00597526"/>
    <w:rsid w:val="00597787"/>
    <w:rsid w:val="00597839"/>
    <w:rsid w:val="005A00EE"/>
    <w:rsid w:val="005A0A65"/>
    <w:rsid w:val="005A0F76"/>
    <w:rsid w:val="005A141C"/>
    <w:rsid w:val="005A1464"/>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095"/>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3F8A"/>
    <w:rsid w:val="005A424C"/>
    <w:rsid w:val="005A4266"/>
    <w:rsid w:val="005A43ED"/>
    <w:rsid w:val="005A4418"/>
    <w:rsid w:val="005A4749"/>
    <w:rsid w:val="005A53A6"/>
    <w:rsid w:val="005A53EE"/>
    <w:rsid w:val="005A5505"/>
    <w:rsid w:val="005A5664"/>
    <w:rsid w:val="005A5C9A"/>
    <w:rsid w:val="005A647C"/>
    <w:rsid w:val="005A64A0"/>
    <w:rsid w:val="005A6502"/>
    <w:rsid w:val="005A65E6"/>
    <w:rsid w:val="005A67F2"/>
    <w:rsid w:val="005A6AD1"/>
    <w:rsid w:val="005A6F36"/>
    <w:rsid w:val="005A702F"/>
    <w:rsid w:val="005A71F3"/>
    <w:rsid w:val="005A75BE"/>
    <w:rsid w:val="005A75FB"/>
    <w:rsid w:val="005A7B7E"/>
    <w:rsid w:val="005A7F11"/>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A36"/>
    <w:rsid w:val="005B4D57"/>
    <w:rsid w:val="005B4E75"/>
    <w:rsid w:val="005B4EF1"/>
    <w:rsid w:val="005B4F2B"/>
    <w:rsid w:val="005B5048"/>
    <w:rsid w:val="005B5050"/>
    <w:rsid w:val="005B55ED"/>
    <w:rsid w:val="005B56E9"/>
    <w:rsid w:val="005B585D"/>
    <w:rsid w:val="005B5D53"/>
    <w:rsid w:val="005B62AF"/>
    <w:rsid w:val="005B677F"/>
    <w:rsid w:val="005B682B"/>
    <w:rsid w:val="005B6AE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C5D"/>
    <w:rsid w:val="005C2F03"/>
    <w:rsid w:val="005C3497"/>
    <w:rsid w:val="005C364A"/>
    <w:rsid w:val="005C38CD"/>
    <w:rsid w:val="005C391D"/>
    <w:rsid w:val="005C3A0E"/>
    <w:rsid w:val="005C3B74"/>
    <w:rsid w:val="005C3E49"/>
    <w:rsid w:val="005C3FAC"/>
    <w:rsid w:val="005C40A2"/>
    <w:rsid w:val="005C40F2"/>
    <w:rsid w:val="005C434C"/>
    <w:rsid w:val="005C43D5"/>
    <w:rsid w:val="005C43EC"/>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58D"/>
    <w:rsid w:val="005D07CA"/>
    <w:rsid w:val="005D08B2"/>
    <w:rsid w:val="005D0B3A"/>
    <w:rsid w:val="005D0B63"/>
    <w:rsid w:val="005D0B9D"/>
    <w:rsid w:val="005D0D1A"/>
    <w:rsid w:val="005D0F18"/>
    <w:rsid w:val="005D10DD"/>
    <w:rsid w:val="005D1899"/>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A64"/>
    <w:rsid w:val="005D5C59"/>
    <w:rsid w:val="005D5CFD"/>
    <w:rsid w:val="005D5D23"/>
    <w:rsid w:val="005D5E24"/>
    <w:rsid w:val="005D5EA8"/>
    <w:rsid w:val="005D6251"/>
    <w:rsid w:val="005D66F6"/>
    <w:rsid w:val="005D6894"/>
    <w:rsid w:val="005D692C"/>
    <w:rsid w:val="005D6A6E"/>
    <w:rsid w:val="005D6ACF"/>
    <w:rsid w:val="005D6E06"/>
    <w:rsid w:val="005D7041"/>
    <w:rsid w:val="005D70AD"/>
    <w:rsid w:val="005D72FB"/>
    <w:rsid w:val="005D76AC"/>
    <w:rsid w:val="005D791B"/>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12"/>
    <w:rsid w:val="005E39E6"/>
    <w:rsid w:val="005E3ABE"/>
    <w:rsid w:val="005E3B7F"/>
    <w:rsid w:val="005E3D32"/>
    <w:rsid w:val="005E3D70"/>
    <w:rsid w:val="005E3FE9"/>
    <w:rsid w:val="005E402E"/>
    <w:rsid w:val="005E42A6"/>
    <w:rsid w:val="005E43A6"/>
    <w:rsid w:val="005E4A27"/>
    <w:rsid w:val="005E4A36"/>
    <w:rsid w:val="005E4AAD"/>
    <w:rsid w:val="005E4C5C"/>
    <w:rsid w:val="005E4D86"/>
    <w:rsid w:val="005E4DB5"/>
    <w:rsid w:val="005E4E0D"/>
    <w:rsid w:val="005E4FA9"/>
    <w:rsid w:val="005E5108"/>
    <w:rsid w:val="005E5426"/>
    <w:rsid w:val="005E554F"/>
    <w:rsid w:val="005E5B54"/>
    <w:rsid w:val="005E5BA2"/>
    <w:rsid w:val="005E5D08"/>
    <w:rsid w:val="005E5EC1"/>
    <w:rsid w:val="005E5EF4"/>
    <w:rsid w:val="005E6599"/>
    <w:rsid w:val="005E6DC4"/>
    <w:rsid w:val="005E6E50"/>
    <w:rsid w:val="005E7263"/>
    <w:rsid w:val="005E7654"/>
    <w:rsid w:val="005E76AF"/>
    <w:rsid w:val="005E7970"/>
    <w:rsid w:val="005E7D56"/>
    <w:rsid w:val="005E7D62"/>
    <w:rsid w:val="005F0066"/>
    <w:rsid w:val="005F04C8"/>
    <w:rsid w:val="005F0AA3"/>
    <w:rsid w:val="005F0EC6"/>
    <w:rsid w:val="005F0FA8"/>
    <w:rsid w:val="005F0FD5"/>
    <w:rsid w:val="005F0FE6"/>
    <w:rsid w:val="005F1062"/>
    <w:rsid w:val="005F11B3"/>
    <w:rsid w:val="005F11F7"/>
    <w:rsid w:val="005F1330"/>
    <w:rsid w:val="005F1607"/>
    <w:rsid w:val="005F18BB"/>
    <w:rsid w:val="005F1A61"/>
    <w:rsid w:val="005F1F2F"/>
    <w:rsid w:val="005F1F60"/>
    <w:rsid w:val="005F2416"/>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204"/>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C73"/>
    <w:rsid w:val="00601EFE"/>
    <w:rsid w:val="00601F66"/>
    <w:rsid w:val="0060205B"/>
    <w:rsid w:val="00602395"/>
    <w:rsid w:val="00602596"/>
    <w:rsid w:val="00602D52"/>
    <w:rsid w:val="00602FD9"/>
    <w:rsid w:val="006030E0"/>
    <w:rsid w:val="0060329F"/>
    <w:rsid w:val="006032D5"/>
    <w:rsid w:val="006039EF"/>
    <w:rsid w:val="00603A3B"/>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6736"/>
    <w:rsid w:val="0060690C"/>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5872"/>
    <w:rsid w:val="00616C09"/>
    <w:rsid w:val="00616CF6"/>
    <w:rsid w:val="00616DC3"/>
    <w:rsid w:val="00616E52"/>
    <w:rsid w:val="006172B8"/>
    <w:rsid w:val="00617568"/>
    <w:rsid w:val="00620185"/>
    <w:rsid w:val="006203A3"/>
    <w:rsid w:val="00620972"/>
    <w:rsid w:val="006209B1"/>
    <w:rsid w:val="00620B4A"/>
    <w:rsid w:val="00620C11"/>
    <w:rsid w:val="00620CC3"/>
    <w:rsid w:val="00620FA6"/>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A6F"/>
    <w:rsid w:val="00625BBF"/>
    <w:rsid w:val="0062639C"/>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6DE"/>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1FD9"/>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CAC"/>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10"/>
    <w:rsid w:val="006475A7"/>
    <w:rsid w:val="006477AE"/>
    <w:rsid w:val="0064786D"/>
    <w:rsid w:val="006479B9"/>
    <w:rsid w:val="00647C14"/>
    <w:rsid w:val="00647DF9"/>
    <w:rsid w:val="00647F40"/>
    <w:rsid w:val="006506A5"/>
    <w:rsid w:val="00650847"/>
    <w:rsid w:val="00650A2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28D"/>
    <w:rsid w:val="00652345"/>
    <w:rsid w:val="006528C9"/>
    <w:rsid w:val="00652CBC"/>
    <w:rsid w:val="00652D1E"/>
    <w:rsid w:val="00652D2C"/>
    <w:rsid w:val="00652F1B"/>
    <w:rsid w:val="00652F54"/>
    <w:rsid w:val="00652F6C"/>
    <w:rsid w:val="00653227"/>
    <w:rsid w:val="00653443"/>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0D"/>
    <w:rsid w:val="0066103B"/>
    <w:rsid w:val="006612F7"/>
    <w:rsid w:val="00661306"/>
    <w:rsid w:val="0066138F"/>
    <w:rsid w:val="00661830"/>
    <w:rsid w:val="00661A6F"/>
    <w:rsid w:val="006620E6"/>
    <w:rsid w:val="00662324"/>
    <w:rsid w:val="00662433"/>
    <w:rsid w:val="0066299F"/>
    <w:rsid w:val="00662BE2"/>
    <w:rsid w:val="00662DC6"/>
    <w:rsid w:val="00662E94"/>
    <w:rsid w:val="00662E9C"/>
    <w:rsid w:val="00662EAB"/>
    <w:rsid w:val="00662F1A"/>
    <w:rsid w:val="00662F21"/>
    <w:rsid w:val="00662F93"/>
    <w:rsid w:val="00663016"/>
    <w:rsid w:val="00663100"/>
    <w:rsid w:val="006634C3"/>
    <w:rsid w:val="006636E0"/>
    <w:rsid w:val="00663E96"/>
    <w:rsid w:val="00663EB6"/>
    <w:rsid w:val="00663F06"/>
    <w:rsid w:val="00664093"/>
    <w:rsid w:val="00664286"/>
    <w:rsid w:val="006645F4"/>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0D"/>
    <w:rsid w:val="00667ACD"/>
    <w:rsid w:val="00670060"/>
    <w:rsid w:val="006700E2"/>
    <w:rsid w:val="00670367"/>
    <w:rsid w:val="00670499"/>
    <w:rsid w:val="0067055C"/>
    <w:rsid w:val="006707DE"/>
    <w:rsid w:val="006707FB"/>
    <w:rsid w:val="00670832"/>
    <w:rsid w:val="00670919"/>
    <w:rsid w:val="0067099B"/>
    <w:rsid w:val="00670D88"/>
    <w:rsid w:val="00670E65"/>
    <w:rsid w:val="00670F1E"/>
    <w:rsid w:val="00670FBA"/>
    <w:rsid w:val="0067106B"/>
    <w:rsid w:val="006714D5"/>
    <w:rsid w:val="0067151C"/>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A9C"/>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5C4"/>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DFF"/>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27"/>
    <w:rsid w:val="00692F6D"/>
    <w:rsid w:val="00693112"/>
    <w:rsid w:val="006932D0"/>
    <w:rsid w:val="0069340B"/>
    <w:rsid w:val="00693627"/>
    <w:rsid w:val="0069363B"/>
    <w:rsid w:val="006936B3"/>
    <w:rsid w:val="00693C90"/>
    <w:rsid w:val="0069441B"/>
    <w:rsid w:val="006948DE"/>
    <w:rsid w:val="00694A48"/>
    <w:rsid w:val="00694F78"/>
    <w:rsid w:val="0069529A"/>
    <w:rsid w:val="006952D0"/>
    <w:rsid w:val="006954BE"/>
    <w:rsid w:val="00695565"/>
    <w:rsid w:val="0069573B"/>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43B"/>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2FA"/>
    <w:rsid w:val="006A6579"/>
    <w:rsid w:val="006A698C"/>
    <w:rsid w:val="006A698E"/>
    <w:rsid w:val="006A6AB0"/>
    <w:rsid w:val="006A6E8C"/>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4F98"/>
    <w:rsid w:val="006B5086"/>
    <w:rsid w:val="006B5277"/>
    <w:rsid w:val="006B56FD"/>
    <w:rsid w:val="006B57C6"/>
    <w:rsid w:val="006B5823"/>
    <w:rsid w:val="006B5834"/>
    <w:rsid w:val="006B5981"/>
    <w:rsid w:val="006B5C6A"/>
    <w:rsid w:val="006B5C79"/>
    <w:rsid w:val="006B5C9A"/>
    <w:rsid w:val="006B6021"/>
    <w:rsid w:val="006B6121"/>
    <w:rsid w:val="006B68C2"/>
    <w:rsid w:val="006B6DB7"/>
    <w:rsid w:val="006B6EA6"/>
    <w:rsid w:val="006B704A"/>
    <w:rsid w:val="006B737F"/>
    <w:rsid w:val="006B768F"/>
    <w:rsid w:val="006B76F4"/>
    <w:rsid w:val="006B7802"/>
    <w:rsid w:val="006B7897"/>
    <w:rsid w:val="006B7BC9"/>
    <w:rsid w:val="006B7EAC"/>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193"/>
    <w:rsid w:val="006C6589"/>
    <w:rsid w:val="006C66EF"/>
    <w:rsid w:val="006C6936"/>
    <w:rsid w:val="006C6B33"/>
    <w:rsid w:val="006C6BE9"/>
    <w:rsid w:val="006C7085"/>
    <w:rsid w:val="006C70AE"/>
    <w:rsid w:val="006C70F1"/>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BE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77C"/>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5E33"/>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331"/>
    <w:rsid w:val="006F46DE"/>
    <w:rsid w:val="006F4722"/>
    <w:rsid w:val="006F4819"/>
    <w:rsid w:val="006F4EDB"/>
    <w:rsid w:val="006F4F28"/>
    <w:rsid w:val="006F5078"/>
    <w:rsid w:val="006F5146"/>
    <w:rsid w:val="006F52E7"/>
    <w:rsid w:val="006F5435"/>
    <w:rsid w:val="006F556F"/>
    <w:rsid w:val="006F560C"/>
    <w:rsid w:val="006F58F3"/>
    <w:rsid w:val="006F59C0"/>
    <w:rsid w:val="006F5F66"/>
    <w:rsid w:val="006F6156"/>
    <w:rsid w:val="006F6214"/>
    <w:rsid w:val="006F6338"/>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15"/>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884"/>
    <w:rsid w:val="0071198D"/>
    <w:rsid w:val="00711BCC"/>
    <w:rsid w:val="00711F50"/>
    <w:rsid w:val="007120A3"/>
    <w:rsid w:val="0071247D"/>
    <w:rsid w:val="007127AE"/>
    <w:rsid w:val="00712B0A"/>
    <w:rsid w:val="00712C5A"/>
    <w:rsid w:val="00712D72"/>
    <w:rsid w:val="0071350D"/>
    <w:rsid w:val="00713FCD"/>
    <w:rsid w:val="00714057"/>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7AF"/>
    <w:rsid w:val="007229EF"/>
    <w:rsid w:val="00722BAE"/>
    <w:rsid w:val="00722C19"/>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449"/>
    <w:rsid w:val="0072655E"/>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A6A"/>
    <w:rsid w:val="00733B05"/>
    <w:rsid w:val="00733B37"/>
    <w:rsid w:val="00733C7F"/>
    <w:rsid w:val="007340AE"/>
    <w:rsid w:val="007340FE"/>
    <w:rsid w:val="00734391"/>
    <w:rsid w:val="0073471F"/>
    <w:rsid w:val="00734C90"/>
    <w:rsid w:val="00734E0E"/>
    <w:rsid w:val="0073508A"/>
    <w:rsid w:val="007354C2"/>
    <w:rsid w:val="0073565F"/>
    <w:rsid w:val="0073580D"/>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27"/>
    <w:rsid w:val="007465FB"/>
    <w:rsid w:val="007467AC"/>
    <w:rsid w:val="007467B0"/>
    <w:rsid w:val="00746905"/>
    <w:rsid w:val="00746AF7"/>
    <w:rsid w:val="00746BD2"/>
    <w:rsid w:val="00747085"/>
    <w:rsid w:val="007470B7"/>
    <w:rsid w:val="007470EA"/>
    <w:rsid w:val="00747350"/>
    <w:rsid w:val="007478F5"/>
    <w:rsid w:val="00747C3E"/>
    <w:rsid w:val="00747E6D"/>
    <w:rsid w:val="007503F4"/>
    <w:rsid w:val="007504EA"/>
    <w:rsid w:val="007506B8"/>
    <w:rsid w:val="00750945"/>
    <w:rsid w:val="00750A53"/>
    <w:rsid w:val="00750A94"/>
    <w:rsid w:val="00750D92"/>
    <w:rsid w:val="00750F5E"/>
    <w:rsid w:val="007513CF"/>
    <w:rsid w:val="007517B3"/>
    <w:rsid w:val="00751C28"/>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57F33"/>
    <w:rsid w:val="00760520"/>
    <w:rsid w:val="007608D9"/>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DB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88"/>
    <w:rsid w:val="00767CD8"/>
    <w:rsid w:val="00767D0E"/>
    <w:rsid w:val="00767F49"/>
    <w:rsid w:val="00767F84"/>
    <w:rsid w:val="00770023"/>
    <w:rsid w:val="0077026C"/>
    <w:rsid w:val="00770320"/>
    <w:rsid w:val="007703EC"/>
    <w:rsid w:val="00770BC5"/>
    <w:rsid w:val="007712F8"/>
    <w:rsid w:val="0077133E"/>
    <w:rsid w:val="00771386"/>
    <w:rsid w:val="00771C73"/>
    <w:rsid w:val="00771FD8"/>
    <w:rsid w:val="00772D0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928"/>
    <w:rsid w:val="00776A72"/>
    <w:rsid w:val="00776E1C"/>
    <w:rsid w:val="00776E36"/>
    <w:rsid w:val="007774CE"/>
    <w:rsid w:val="007779AA"/>
    <w:rsid w:val="00777B7E"/>
    <w:rsid w:val="00777DCA"/>
    <w:rsid w:val="00777E8A"/>
    <w:rsid w:val="00777FE7"/>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DD"/>
    <w:rsid w:val="007877E9"/>
    <w:rsid w:val="00787807"/>
    <w:rsid w:val="00787B61"/>
    <w:rsid w:val="00790127"/>
    <w:rsid w:val="007901A3"/>
    <w:rsid w:val="007901E7"/>
    <w:rsid w:val="007903B8"/>
    <w:rsid w:val="00790651"/>
    <w:rsid w:val="0079065F"/>
    <w:rsid w:val="00790E23"/>
    <w:rsid w:val="00791487"/>
    <w:rsid w:val="00791AF3"/>
    <w:rsid w:val="00791B09"/>
    <w:rsid w:val="00791C9F"/>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4C5A"/>
    <w:rsid w:val="007952C1"/>
    <w:rsid w:val="007952F4"/>
    <w:rsid w:val="00795932"/>
    <w:rsid w:val="00795A00"/>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0C"/>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18"/>
    <w:rsid w:val="007B23BD"/>
    <w:rsid w:val="007B2457"/>
    <w:rsid w:val="007B25E9"/>
    <w:rsid w:val="007B29B1"/>
    <w:rsid w:val="007B2AB1"/>
    <w:rsid w:val="007B2D42"/>
    <w:rsid w:val="007B2DBF"/>
    <w:rsid w:val="007B31A1"/>
    <w:rsid w:val="007B3314"/>
    <w:rsid w:val="007B34B4"/>
    <w:rsid w:val="007B374C"/>
    <w:rsid w:val="007B393E"/>
    <w:rsid w:val="007B396F"/>
    <w:rsid w:val="007B3A5D"/>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EB"/>
    <w:rsid w:val="007B6DFE"/>
    <w:rsid w:val="007B7039"/>
    <w:rsid w:val="007B7496"/>
    <w:rsid w:val="007B7582"/>
    <w:rsid w:val="007B764C"/>
    <w:rsid w:val="007B774B"/>
    <w:rsid w:val="007B785B"/>
    <w:rsid w:val="007B7CC9"/>
    <w:rsid w:val="007B7DF1"/>
    <w:rsid w:val="007B7FFB"/>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2CE7"/>
    <w:rsid w:val="007C326E"/>
    <w:rsid w:val="007C371B"/>
    <w:rsid w:val="007C3A1E"/>
    <w:rsid w:val="007C3EDA"/>
    <w:rsid w:val="007C40CE"/>
    <w:rsid w:val="007C4298"/>
    <w:rsid w:val="007C44EB"/>
    <w:rsid w:val="007C45D5"/>
    <w:rsid w:val="007C47BA"/>
    <w:rsid w:val="007C4944"/>
    <w:rsid w:val="007C4C6E"/>
    <w:rsid w:val="007C4FB8"/>
    <w:rsid w:val="007C5210"/>
    <w:rsid w:val="007C52D0"/>
    <w:rsid w:val="007C5399"/>
    <w:rsid w:val="007C552A"/>
    <w:rsid w:val="007C5C0B"/>
    <w:rsid w:val="007C5DA8"/>
    <w:rsid w:val="007C61E4"/>
    <w:rsid w:val="007C62D0"/>
    <w:rsid w:val="007C64DC"/>
    <w:rsid w:val="007C64E1"/>
    <w:rsid w:val="007C678A"/>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28F"/>
    <w:rsid w:val="007D19AB"/>
    <w:rsid w:val="007D19FD"/>
    <w:rsid w:val="007D1A2B"/>
    <w:rsid w:val="007D1A2E"/>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8BC"/>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8DE"/>
    <w:rsid w:val="007F1CBC"/>
    <w:rsid w:val="007F1DE4"/>
    <w:rsid w:val="007F1DFF"/>
    <w:rsid w:val="007F1E7E"/>
    <w:rsid w:val="007F1FC5"/>
    <w:rsid w:val="007F1FE1"/>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3E4"/>
    <w:rsid w:val="007F548F"/>
    <w:rsid w:val="007F54A3"/>
    <w:rsid w:val="007F553E"/>
    <w:rsid w:val="007F5807"/>
    <w:rsid w:val="007F6416"/>
    <w:rsid w:val="007F65B2"/>
    <w:rsid w:val="007F6712"/>
    <w:rsid w:val="007F6759"/>
    <w:rsid w:val="007F682E"/>
    <w:rsid w:val="007F6927"/>
    <w:rsid w:val="007F6BDE"/>
    <w:rsid w:val="007F6BFB"/>
    <w:rsid w:val="007F6ED0"/>
    <w:rsid w:val="007F711D"/>
    <w:rsid w:val="007F7215"/>
    <w:rsid w:val="007F7702"/>
    <w:rsid w:val="007F7734"/>
    <w:rsid w:val="007F7B11"/>
    <w:rsid w:val="007F7B4F"/>
    <w:rsid w:val="007F7D26"/>
    <w:rsid w:val="007F7E29"/>
    <w:rsid w:val="007F7ED6"/>
    <w:rsid w:val="00800524"/>
    <w:rsid w:val="00800978"/>
    <w:rsid w:val="008009F3"/>
    <w:rsid w:val="00800AB7"/>
    <w:rsid w:val="00800E6F"/>
    <w:rsid w:val="0080157A"/>
    <w:rsid w:val="0080194F"/>
    <w:rsid w:val="00801963"/>
    <w:rsid w:val="00801E3E"/>
    <w:rsid w:val="00801FDA"/>
    <w:rsid w:val="0080218C"/>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86A"/>
    <w:rsid w:val="0081396E"/>
    <w:rsid w:val="00813C3B"/>
    <w:rsid w:val="00813F15"/>
    <w:rsid w:val="00813FEA"/>
    <w:rsid w:val="0081439E"/>
    <w:rsid w:val="008143B6"/>
    <w:rsid w:val="00814622"/>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49C9"/>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66"/>
    <w:rsid w:val="008320E2"/>
    <w:rsid w:val="0083211D"/>
    <w:rsid w:val="008322E4"/>
    <w:rsid w:val="0083243F"/>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37F29"/>
    <w:rsid w:val="0084000F"/>
    <w:rsid w:val="008407C3"/>
    <w:rsid w:val="00840BF0"/>
    <w:rsid w:val="00840D2E"/>
    <w:rsid w:val="00840FBF"/>
    <w:rsid w:val="00840FF4"/>
    <w:rsid w:val="00841BD6"/>
    <w:rsid w:val="00841D9E"/>
    <w:rsid w:val="00841E14"/>
    <w:rsid w:val="00841FDC"/>
    <w:rsid w:val="00842111"/>
    <w:rsid w:val="0084230C"/>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8BF"/>
    <w:rsid w:val="00845962"/>
    <w:rsid w:val="00845AFF"/>
    <w:rsid w:val="00845F36"/>
    <w:rsid w:val="0084615A"/>
    <w:rsid w:val="00846512"/>
    <w:rsid w:val="008468FD"/>
    <w:rsid w:val="00846B8C"/>
    <w:rsid w:val="00846D36"/>
    <w:rsid w:val="00846E8D"/>
    <w:rsid w:val="00846FDB"/>
    <w:rsid w:val="00847026"/>
    <w:rsid w:val="0084768A"/>
    <w:rsid w:val="00847885"/>
    <w:rsid w:val="00847DF7"/>
    <w:rsid w:val="00850251"/>
    <w:rsid w:val="008503DD"/>
    <w:rsid w:val="00850592"/>
    <w:rsid w:val="0085059C"/>
    <w:rsid w:val="00850840"/>
    <w:rsid w:val="00850AB5"/>
    <w:rsid w:val="00850F27"/>
    <w:rsid w:val="0085119D"/>
    <w:rsid w:val="008511FE"/>
    <w:rsid w:val="00851768"/>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B31"/>
    <w:rsid w:val="00856E73"/>
    <w:rsid w:val="00856EEF"/>
    <w:rsid w:val="0085737E"/>
    <w:rsid w:val="0085749F"/>
    <w:rsid w:val="00857618"/>
    <w:rsid w:val="0085792B"/>
    <w:rsid w:val="0085794F"/>
    <w:rsid w:val="00857C28"/>
    <w:rsid w:val="00857D69"/>
    <w:rsid w:val="0086003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8D"/>
    <w:rsid w:val="008627E1"/>
    <w:rsid w:val="00862CE2"/>
    <w:rsid w:val="00863613"/>
    <w:rsid w:val="00863D74"/>
    <w:rsid w:val="00863DEF"/>
    <w:rsid w:val="0086414F"/>
    <w:rsid w:val="0086429A"/>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4FC5"/>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4F5"/>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EFE"/>
    <w:rsid w:val="00883F0D"/>
    <w:rsid w:val="00883F21"/>
    <w:rsid w:val="00884C74"/>
    <w:rsid w:val="00884DB1"/>
    <w:rsid w:val="00884ECD"/>
    <w:rsid w:val="00884FFC"/>
    <w:rsid w:val="00885084"/>
    <w:rsid w:val="00885185"/>
    <w:rsid w:val="00885850"/>
    <w:rsid w:val="00885B1E"/>
    <w:rsid w:val="00885BBA"/>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4E0"/>
    <w:rsid w:val="0089054E"/>
    <w:rsid w:val="0089087A"/>
    <w:rsid w:val="00890AFE"/>
    <w:rsid w:val="00890D4A"/>
    <w:rsid w:val="00890E4E"/>
    <w:rsid w:val="00891182"/>
    <w:rsid w:val="008913A2"/>
    <w:rsid w:val="0089176F"/>
    <w:rsid w:val="00891978"/>
    <w:rsid w:val="00891A6F"/>
    <w:rsid w:val="00891ED4"/>
    <w:rsid w:val="008921BE"/>
    <w:rsid w:val="008922A4"/>
    <w:rsid w:val="00892343"/>
    <w:rsid w:val="00892405"/>
    <w:rsid w:val="0089247B"/>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7C6"/>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11B"/>
    <w:rsid w:val="008A12DF"/>
    <w:rsid w:val="008A13D7"/>
    <w:rsid w:val="008A1569"/>
    <w:rsid w:val="008A1814"/>
    <w:rsid w:val="008A1887"/>
    <w:rsid w:val="008A18A8"/>
    <w:rsid w:val="008A1A60"/>
    <w:rsid w:val="008A1B72"/>
    <w:rsid w:val="008A1BDA"/>
    <w:rsid w:val="008A1C84"/>
    <w:rsid w:val="008A1CC5"/>
    <w:rsid w:val="008A1D4C"/>
    <w:rsid w:val="008A1E96"/>
    <w:rsid w:val="008A21E5"/>
    <w:rsid w:val="008A2287"/>
    <w:rsid w:val="008A267A"/>
    <w:rsid w:val="008A2846"/>
    <w:rsid w:val="008A2912"/>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CF9"/>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77F"/>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37C"/>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95F"/>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37"/>
    <w:rsid w:val="008E3FD1"/>
    <w:rsid w:val="008E409D"/>
    <w:rsid w:val="008E43E6"/>
    <w:rsid w:val="008E4669"/>
    <w:rsid w:val="008E47A2"/>
    <w:rsid w:val="008E4875"/>
    <w:rsid w:val="008E4F5E"/>
    <w:rsid w:val="008E5074"/>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1D4"/>
    <w:rsid w:val="008F045D"/>
    <w:rsid w:val="008F05ED"/>
    <w:rsid w:val="008F0810"/>
    <w:rsid w:val="008F1115"/>
    <w:rsid w:val="008F1576"/>
    <w:rsid w:val="008F1D5E"/>
    <w:rsid w:val="008F220C"/>
    <w:rsid w:val="008F2221"/>
    <w:rsid w:val="008F2478"/>
    <w:rsid w:val="008F2514"/>
    <w:rsid w:val="008F257C"/>
    <w:rsid w:val="008F270F"/>
    <w:rsid w:val="008F2932"/>
    <w:rsid w:val="008F29E4"/>
    <w:rsid w:val="008F2A3D"/>
    <w:rsid w:val="008F2EF8"/>
    <w:rsid w:val="008F2FC7"/>
    <w:rsid w:val="008F306E"/>
    <w:rsid w:val="008F31FE"/>
    <w:rsid w:val="008F3301"/>
    <w:rsid w:val="008F33D7"/>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AD4"/>
    <w:rsid w:val="008F6C1E"/>
    <w:rsid w:val="008F6D0D"/>
    <w:rsid w:val="008F6FD6"/>
    <w:rsid w:val="008F7002"/>
    <w:rsid w:val="008F7299"/>
    <w:rsid w:val="008F732F"/>
    <w:rsid w:val="008F73C7"/>
    <w:rsid w:val="008F752C"/>
    <w:rsid w:val="008F75C8"/>
    <w:rsid w:val="008F7734"/>
    <w:rsid w:val="008F78A9"/>
    <w:rsid w:val="008F7AEA"/>
    <w:rsid w:val="008F7C54"/>
    <w:rsid w:val="008F7E5E"/>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080"/>
    <w:rsid w:val="00905275"/>
    <w:rsid w:val="00905843"/>
    <w:rsid w:val="00905A25"/>
    <w:rsid w:val="00905CC9"/>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86A"/>
    <w:rsid w:val="00907961"/>
    <w:rsid w:val="009079D8"/>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A01"/>
    <w:rsid w:val="00922CC9"/>
    <w:rsid w:val="00922D52"/>
    <w:rsid w:val="00922E83"/>
    <w:rsid w:val="00923457"/>
    <w:rsid w:val="0092360E"/>
    <w:rsid w:val="00923615"/>
    <w:rsid w:val="00923821"/>
    <w:rsid w:val="00923937"/>
    <w:rsid w:val="009239BF"/>
    <w:rsid w:val="00923C4E"/>
    <w:rsid w:val="00923CF5"/>
    <w:rsid w:val="00923D67"/>
    <w:rsid w:val="00923F8F"/>
    <w:rsid w:val="009242DA"/>
    <w:rsid w:val="009242E9"/>
    <w:rsid w:val="00924359"/>
    <w:rsid w:val="009243E5"/>
    <w:rsid w:val="009246C1"/>
    <w:rsid w:val="009246C9"/>
    <w:rsid w:val="00924740"/>
    <w:rsid w:val="00924CCF"/>
    <w:rsid w:val="00924E0C"/>
    <w:rsid w:val="00924E76"/>
    <w:rsid w:val="0092533B"/>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D0E"/>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74"/>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979"/>
    <w:rsid w:val="00942AE9"/>
    <w:rsid w:val="00942C48"/>
    <w:rsid w:val="00942CCB"/>
    <w:rsid w:val="00942F83"/>
    <w:rsid w:val="0094322F"/>
    <w:rsid w:val="00943247"/>
    <w:rsid w:val="00943716"/>
    <w:rsid w:val="0094373D"/>
    <w:rsid w:val="00943867"/>
    <w:rsid w:val="00943A94"/>
    <w:rsid w:val="00943AA5"/>
    <w:rsid w:val="00943CE8"/>
    <w:rsid w:val="00944289"/>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1BF"/>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2F20"/>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0F0B"/>
    <w:rsid w:val="00970FB2"/>
    <w:rsid w:val="00971036"/>
    <w:rsid w:val="00971442"/>
    <w:rsid w:val="00971576"/>
    <w:rsid w:val="009715B0"/>
    <w:rsid w:val="009715DE"/>
    <w:rsid w:val="00971ACB"/>
    <w:rsid w:val="00971C05"/>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2FB"/>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C4F"/>
    <w:rsid w:val="00990D19"/>
    <w:rsid w:val="00990EEC"/>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3F71"/>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BB9"/>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C94"/>
    <w:rsid w:val="009A3E11"/>
    <w:rsid w:val="009A3E76"/>
    <w:rsid w:val="009A3EC6"/>
    <w:rsid w:val="009A3EF3"/>
    <w:rsid w:val="009A3FF1"/>
    <w:rsid w:val="009A41B6"/>
    <w:rsid w:val="009A4218"/>
    <w:rsid w:val="009A4313"/>
    <w:rsid w:val="009A4392"/>
    <w:rsid w:val="009A4690"/>
    <w:rsid w:val="009A4761"/>
    <w:rsid w:val="009A47C1"/>
    <w:rsid w:val="009A47C2"/>
    <w:rsid w:val="009A4B8C"/>
    <w:rsid w:val="009A4BA0"/>
    <w:rsid w:val="009A5377"/>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B7F7C"/>
    <w:rsid w:val="009C020F"/>
    <w:rsid w:val="009C03C5"/>
    <w:rsid w:val="009C06FD"/>
    <w:rsid w:val="009C0725"/>
    <w:rsid w:val="009C0862"/>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31F"/>
    <w:rsid w:val="009C3654"/>
    <w:rsid w:val="009C3948"/>
    <w:rsid w:val="009C3AEE"/>
    <w:rsid w:val="009C3C5F"/>
    <w:rsid w:val="009C3F4D"/>
    <w:rsid w:val="009C40EB"/>
    <w:rsid w:val="009C4299"/>
    <w:rsid w:val="009C451C"/>
    <w:rsid w:val="009C4719"/>
    <w:rsid w:val="009C477A"/>
    <w:rsid w:val="009C47E7"/>
    <w:rsid w:val="009C4969"/>
    <w:rsid w:val="009C4CE2"/>
    <w:rsid w:val="009C4D77"/>
    <w:rsid w:val="009C4DAB"/>
    <w:rsid w:val="009C4E26"/>
    <w:rsid w:val="009C508A"/>
    <w:rsid w:val="009C50E7"/>
    <w:rsid w:val="009C564B"/>
    <w:rsid w:val="009C580A"/>
    <w:rsid w:val="009C5CA9"/>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A15"/>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2F2"/>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3F2B"/>
    <w:rsid w:val="009D421F"/>
    <w:rsid w:val="009D4232"/>
    <w:rsid w:val="009D43B3"/>
    <w:rsid w:val="009D4461"/>
    <w:rsid w:val="009D446A"/>
    <w:rsid w:val="009D44ED"/>
    <w:rsid w:val="009D45C7"/>
    <w:rsid w:val="009D46E2"/>
    <w:rsid w:val="009D4841"/>
    <w:rsid w:val="009D4CD4"/>
    <w:rsid w:val="009D4F54"/>
    <w:rsid w:val="009D51C9"/>
    <w:rsid w:val="009D5230"/>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E9"/>
    <w:rsid w:val="009E20F3"/>
    <w:rsid w:val="009E219F"/>
    <w:rsid w:val="009E2392"/>
    <w:rsid w:val="009E2634"/>
    <w:rsid w:val="009E2908"/>
    <w:rsid w:val="009E2DBF"/>
    <w:rsid w:val="009E307B"/>
    <w:rsid w:val="009E3091"/>
    <w:rsid w:val="009E30CF"/>
    <w:rsid w:val="009E31A4"/>
    <w:rsid w:val="009E36C3"/>
    <w:rsid w:val="009E3994"/>
    <w:rsid w:val="009E3A87"/>
    <w:rsid w:val="009E3E30"/>
    <w:rsid w:val="009E3F09"/>
    <w:rsid w:val="009E3F22"/>
    <w:rsid w:val="009E3FBA"/>
    <w:rsid w:val="009E43F2"/>
    <w:rsid w:val="009E4464"/>
    <w:rsid w:val="009E449B"/>
    <w:rsid w:val="009E46A9"/>
    <w:rsid w:val="009E48AD"/>
    <w:rsid w:val="009E49D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084"/>
    <w:rsid w:val="009E7430"/>
    <w:rsid w:val="009E7559"/>
    <w:rsid w:val="009E75DF"/>
    <w:rsid w:val="009E7841"/>
    <w:rsid w:val="009E7994"/>
    <w:rsid w:val="009E7B4F"/>
    <w:rsid w:val="009E7CCA"/>
    <w:rsid w:val="009E7F53"/>
    <w:rsid w:val="009E7FE0"/>
    <w:rsid w:val="009F015B"/>
    <w:rsid w:val="009F02AF"/>
    <w:rsid w:val="009F058F"/>
    <w:rsid w:val="009F07A1"/>
    <w:rsid w:val="009F07DD"/>
    <w:rsid w:val="009F0D2D"/>
    <w:rsid w:val="009F0F63"/>
    <w:rsid w:val="009F112C"/>
    <w:rsid w:val="009F125D"/>
    <w:rsid w:val="009F1543"/>
    <w:rsid w:val="009F15D3"/>
    <w:rsid w:val="009F17D6"/>
    <w:rsid w:val="009F18BB"/>
    <w:rsid w:val="009F1A12"/>
    <w:rsid w:val="009F1FFB"/>
    <w:rsid w:val="009F2498"/>
    <w:rsid w:val="009F281C"/>
    <w:rsid w:val="009F296A"/>
    <w:rsid w:val="009F2F4B"/>
    <w:rsid w:val="009F31CA"/>
    <w:rsid w:val="009F329F"/>
    <w:rsid w:val="009F351F"/>
    <w:rsid w:val="009F3FD6"/>
    <w:rsid w:val="009F412E"/>
    <w:rsid w:val="009F436E"/>
    <w:rsid w:val="009F44D2"/>
    <w:rsid w:val="009F4654"/>
    <w:rsid w:val="009F47C6"/>
    <w:rsid w:val="009F4CCA"/>
    <w:rsid w:val="009F4CE1"/>
    <w:rsid w:val="009F5201"/>
    <w:rsid w:val="009F52C2"/>
    <w:rsid w:val="009F544E"/>
    <w:rsid w:val="009F5587"/>
    <w:rsid w:val="009F59D6"/>
    <w:rsid w:val="009F5AC9"/>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5E4"/>
    <w:rsid w:val="00A108D1"/>
    <w:rsid w:val="00A1094A"/>
    <w:rsid w:val="00A10B0C"/>
    <w:rsid w:val="00A10B32"/>
    <w:rsid w:val="00A10C63"/>
    <w:rsid w:val="00A11583"/>
    <w:rsid w:val="00A117B9"/>
    <w:rsid w:val="00A118C1"/>
    <w:rsid w:val="00A119A9"/>
    <w:rsid w:val="00A11A22"/>
    <w:rsid w:val="00A1210D"/>
    <w:rsid w:val="00A1226B"/>
    <w:rsid w:val="00A1278F"/>
    <w:rsid w:val="00A12952"/>
    <w:rsid w:val="00A12A65"/>
    <w:rsid w:val="00A12E81"/>
    <w:rsid w:val="00A12FB8"/>
    <w:rsid w:val="00A1324F"/>
    <w:rsid w:val="00A1326B"/>
    <w:rsid w:val="00A133FF"/>
    <w:rsid w:val="00A1376C"/>
    <w:rsid w:val="00A1382F"/>
    <w:rsid w:val="00A13EA7"/>
    <w:rsid w:val="00A1406B"/>
    <w:rsid w:val="00A14177"/>
    <w:rsid w:val="00A14264"/>
    <w:rsid w:val="00A1448F"/>
    <w:rsid w:val="00A147D2"/>
    <w:rsid w:val="00A14ABF"/>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398"/>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AD5"/>
    <w:rsid w:val="00A22ED6"/>
    <w:rsid w:val="00A23467"/>
    <w:rsid w:val="00A2374C"/>
    <w:rsid w:val="00A23C53"/>
    <w:rsid w:val="00A23E10"/>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C8D"/>
    <w:rsid w:val="00A27D7F"/>
    <w:rsid w:val="00A27FA3"/>
    <w:rsid w:val="00A30062"/>
    <w:rsid w:val="00A3017A"/>
    <w:rsid w:val="00A3049D"/>
    <w:rsid w:val="00A306BC"/>
    <w:rsid w:val="00A30B0D"/>
    <w:rsid w:val="00A30D3F"/>
    <w:rsid w:val="00A30DD5"/>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D9"/>
    <w:rsid w:val="00A362F9"/>
    <w:rsid w:val="00A36586"/>
    <w:rsid w:val="00A3667F"/>
    <w:rsid w:val="00A36CAA"/>
    <w:rsid w:val="00A36E98"/>
    <w:rsid w:val="00A36F54"/>
    <w:rsid w:val="00A36FAC"/>
    <w:rsid w:val="00A37131"/>
    <w:rsid w:val="00A37158"/>
    <w:rsid w:val="00A3735D"/>
    <w:rsid w:val="00A376C7"/>
    <w:rsid w:val="00A37775"/>
    <w:rsid w:val="00A37B4E"/>
    <w:rsid w:val="00A37F12"/>
    <w:rsid w:val="00A37F8C"/>
    <w:rsid w:val="00A40005"/>
    <w:rsid w:val="00A404C8"/>
    <w:rsid w:val="00A40900"/>
    <w:rsid w:val="00A40D13"/>
    <w:rsid w:val="00A40D42"/>
    <w:rsid w:val="00A40E2B"/>
    <w:rsid w:val="00A40F1C"/>
    <w:rsid w:val="00A41441"/>
    <w:rsid w:val="00A415FC"/>
    <w:rsid w:val="00A41627"/>
    <w:rsid w:val="00A41BC0"/>
    <w:rsid w:val="00A41C63"/>
    <w:rsid w:val="00A41D4C"/>
    <w:rsid w:val="00A41DEA"/>
    <w:rsid w:val="00A41F64"/>
    <w:rsid w:val="00A42097"/>
    <w:rsid w:val="00A425A2"/>
    <w:rsid w:val="00A42604"/>
    <w:rsid w:val="00A42DFB"/>
    <w:rsid w:val="00A4304C"/>
    <w:rsid w:val="00A43076"/>
    <w:rsid w:val="00A43271"/>
    <w:rsid w:val="00A4356C"/>
    <w:rsid w:val="00A4373E"/>
    <w:rsid w:val="00A43ACA"/>
    <w:rsid w:val="00A43B9C"/>
    <w:rsid w:val="00A43BC5"/>
    <w:rsid w:val="00A43D7D"/>
    <w:rsid w:val="00A43DCB"/>
    <w:rsid w:val="00A43FC1"/>
    <w:rsid w:val="00A440D9"/>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6F8"/>
    <w:rsid w:val="00A47C22"/>
    <w:rsid w:val="00A50118"/>
    <w:rsid w:val="00A5057B"/>
    <w:rsid w:val="00A50734"/>
    <w:rsid w:val="00A507DB"/>
    <w:rsid w:val="00A507E8"/>
    <w:rsid w:val="00A5081D"/>
    <w:rsid w:val="00A50DCA"/>
    <w:rsid w:val="00A50F8E"/>
    <w:rsid w:val="00A514CD"/>
    <w:rsid w:val="00A516FA"/>
    <w:rsid w:val="00A51991"/>
    <w:rsid w:val="00A51C1D"/>
    <w:rsid w:val="00A51E32"/>
    <w:rsid w:val="00A521B6"/>
    <w:rsid w:val="00A521C6"/>
    <w:rsid w:val="00A523C5"/>
    <w:rsid w:val="00A525B5"/>
    <w:rsid w:val="00A5271E"/>
    <w:rsid w:val="00A528D1"/>
    <w:rsid w:val="00A5294B"/>
    <w:rsid w:val="00A52D3E"/>
    <w:rsid w:val="00A52D76"/>
    <w:rsid w:val="00A52EDC"/>
    <w:rsid w:val="00A530E7"/>
    <w:rsid w:val="00A5317B"/>
    <w:rsid w:val="00A5353D"/>
    <w:rsid w:val="00A53551"/>
    <w:rsid w:val="00A53561"/>
    <w:rsid w:val="00A537C0"/>
    <w:rsid w:val="00A53E0E"/>
    <w:rsid w:val="00A53E85"/>
    <w:rsid w:val="00A53F40"/>
    <w:rsid w:val="00A54023"/>
    <w:rsid w:val="00A540FB"/>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0ED9"/>
    <w:rsid w:val="00A6111A"/>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2CE3"/>
    <w:rsid w:val="00A730A1"/>
    <w:rsid w:val="00A7322F"/>
    <w:rsid w:val="00A73587"/>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B0"/>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3D4F"/>
    <w:rsid w:val="00A93F45"/>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B98"/>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26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0A"/>
    <w:rsid w:val="00AA7D43"/>
    <w:rsid w:val="00AB0126"/>
    <w:rsid w:val="00AB04BF"/>
    <w:rsid w:val="00AB0677"/>
    <w:rsid w:val="00AB06E3"/>
    <w:rsid w:val="00AB07AA"/>
    <w:rsid w:val="00AB092A"/>
    <w:rsid w:val="00AB0DF6"/>
    <w:rsid w:val="00AB0E0E"/>
    <w:rsid w:val="00AB0EBF"/>
    <w:rsid w:val="00AB0FDF"/>
    <w:rsid w:val="00AB1302"/>
    <w:rsid w:val="00AB1675"/>
    <w:rsid w:val="00AB1965"/>
    <w:rsid w:val="00AB1A8B"/>
    <w:rsid w:val="00AB1ABF"/>
    <w:rsid w:val="00AB1B9B"/>
    <w:rsid w:val="00AB1E3C"/>
    <w:rsid w:val="00AB1F31"/>
    <w:rsid w:val="00AB202D"/>
    <w:rsid w:val="00AB208D"/>
    <w:rsid w:val="00AB2174"/>
    <w:rsid w:val="00AB242B"/>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4C8"/>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3D98"/>
    <w:rsid w:val="00AC4107"/>
    <w:rsid w:val="00AC4199"/>
    <w:rsid w:val="00AC4283"/>
    <w:rsid w:val="00AC42B9"/>
    <w:rsid w:val="00AC42D6"/>
    <w:rsid w:val="00AC435E"/>
    <w:rsid w:val="00AC464B"/>
    <w:rsid w:val="00AC4ECB"/>
    <w:rsid w:val="00AC4F05"/>
    <w:rsid w:val="00AC4F14"/>
    <w:rsid w:val="00AC500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945"/>
    <w:rsid w:val="00AC7A50"/>
    <w:rsid w:val="00AC7B6A"/>
    <w:rsid w:val="00AC7ED3"/>
    <w:rsid w:val="00AC7F65"/>
    <w:rsid w:val="00AD009F"/>
    <w:rsid w:val="00AD00BE"/>
    <w:rsid w:val="00AD038E"/>
    <w:rsid w:val="00AD0575"/>
    <w:rsid w:val="00AD0676"/>
    <w:rsid w:val="00AD08B2"/>
    <w:rsid w:val="00AD0A27"/>
    <w:rsid w:val="00AD0BB8"/>
    <w:rsid w:val="00AD0C8D"/>
    <w:rsid w:val="00AD0E87"/>
    <w:rsid w:val="00AD0F1E"/>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2A0F"/>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866"/>
    <w:rsid w:val="00AD59E4"/>
    <w:rsid w:val="00AD5E6C"/>
    <w:rsid w:val="00AD6043"/>
    <w:rsid w:val="00AD6150"/>
    <w:rsid w:val="00AD630D"/>
    <w:rsid w:val="00AD6B85"/>
    <w:rsid w:val="00AD7150"/>
    <w:rsid w:val="00AD7547"/>
    <w:rsid w:val="00AD76E7"/>
    <w:rsid w:val="00AD7BE4"/>
    <w:rsid w:val="00AD7CE2"/>
    <w:rsid w:val="00AD7EEF"/>
    <w:rsid w:val="00AD7F70"/>
    <w:rsid w:val="00AE00CE"/>
    <w:rsid w:val="00AE0148"/>
    <w:rsid w:val="00AE040E"/>
    <w:rsid w:val="00AE0893"/>
    <w:rsid w:val="00AE0942"/>
    <w:rsid w:val="00AE0BDF"/>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D0"/>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3CAB"/>
    <w:rsid w:val="00AE3D1D"/>
    <w:rsid w:val="00AE41FC"/>
    <w:rsid w:val="00AE4410"/>
    <w:rsid w:val="00AE46AB"/>
    <w:rsid w:val="00AE4752"/>
    <w:rsid w:val="00AE552E"/>
    <w:rsid w:val="00AE56B1"/>
    <w:rsid w:val="00AE5982"/>
    <w:rsid w:val="00AE5FC7"/>
    <w:rsid w:val="00AE64DD"/>
    <w:rsid w:val="00AE651A"/>
    <w:rsid w:val="00AE6560"/>
    <w:rsid w:val="00AE666C"/>
    <w:rsid w:val="00AE6C5A"/>
    <w:rsid w:val="00AE6D39"/>
    <w:rsid w:val="00AE6DC6"/>
    <w:rsid w:val="00AE6E07"/>
    <w:rsid w:val="00AE712C"/>
    <w:rsid w:val="00AE74E8"/>
    <w:rsid w:val="00AE7584"/>
    <w:rsid w:val="00AE7733"/>
    <w:rsid w:val="00AE7816"/>
    <w:rsid w:val="00AE7825"/>
    <w:rsid w:val="00AE7828"/>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BA8"/>
    <w:rsid w:val="00AF2C88"/>
    <w:rsid w:val="00AF2FEF"/>
    <w:rsid w:val="00AF348A"/>
    <w:rsid w:val="00AF3A2A"/>
    <w:rsid w:val="00AF3F12"/>
    <w:rsid w:val="00AF3F97"/>
    <w:rsid w:val="00AF4197"/>
    <w:rsid w:val="00AF456D"/>
    <w:rsid w:val="00AF45C1"/>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1"/>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73D"/>
    <w:rsid w:val="00B019DB"/>
    <w:rsid w:val="00B021D2"/>
    <w:rsid w:val="00B023B4"/>
    <w:rsid w:val="00B02473"/>
    <w:rsid w:val="00B024C8"/>
    <w:rsid w:val="00B026EA"/>
    <w:rsid w:val="00B0276B"/>
    <w:rsid w:val="00B02868"/>
    <w:rsid w:val="00B02C74"/>
    <w:rsid w:val="00B03570"/>
    <w:rsid w:val="00B039B6"/>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8E"/>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5CC"/>
    <w:rsid w:val="00B16897"/>
    <w:rsid w:val="00B16A80"/>
    <w:rsid w:val="00B16B1D"/>
    <w:rsid w:val="00B170A1"/>
    <w:rsid w:val="00B170E2"/>
    <w:rsid w:val="00B1718B"/>
    <w:rsid w:val="00B172C5"/>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388"/>
    <w:rsid w:val="00B234CC"/>
    <w:rsid w:val="00B23557"/>
    <w:rsid w:val="00B23746"/>
    <w:rsid w:val="00B239B1"/>
    <w:rsid w:val="00B23A8E"/>
    <w:rsid w:val="00B23AA5"/>
    <w:rsid w:val="00B23CE2"/>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3F"/>
    <w:rsid w:val="00B312E2"/>
    <w:rsid w:val="00B315A4"/>
    <w:rsid w:val="00B315EE"/>
    <w:rsid w:val="00B316C6"/>
    <w:rsid w:val="00B3179F"/>
    <w:rsid w:val="00B319BA"/>
    <w:rsid w:val="00B329F1"/>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B8D"/>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2F5E"/>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58E2"/>
    <w:rsid w:val="00B460C0"/>
    <w:rsid w:val="00B462F1"/>
    <w:rsid w:val="00B4642D"/>
    <w:rsid w:val="00B46506"/>
    <w:rsid w:val="00B46712"/>
    <w:rsid w:val="00B46723"/>
    <w:rsid w:val="00B46753"/>
    <w:rsid w:val="00B46868"/>
    <w:rsid w:val="00B46D93"/>
    <w:rsid w:val="00B46E30"/>
    <w:rsid w:val="00B46EA6"/>
    <w:rsid w:val="00B46F5D"/>
    <w:rsid w:val="00B4731B"/>
    <w:rsid w:val="00B474E2"/>
    <w:rsid w:val="00B47944"/>
    <w:rsid w:val="00B47E04"/>
    <w:rsid w:val="00B5007F"/>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200"/>
    <w:rsid w:val="00B53336"/>
    <w:rsid w:val="00B53606"/>
    <w:rsid w:val="00B53655"/>
    <w:rsid w:val="00B538DD"/>
    <w:rsid w:val="00B539C7"/>
    <w:rsid w:val="00B53A61"/>
    <w:rsid w:val="00B53B16"/>
    <w:rsid w:val="00B53D24"/>
    <w:rsid w:val="00B53E4E"/>
    <w:rsid w:val="00B53E6B"/>
    <w:rsid w:val="00B548A4"/>
    <w:rsid w:val="00B54C0F"/>
    <w:rsid w:val="00B5521B"/>
    <w:rsid w:val="00B553B8"/>
    <w:rsid w:val="00B5567D"/>
    <w:rsid w:val="00B55880"/>
    <w:rsid w:val="00B55925"/>
    <w:rsid w:val="00B55A98"/>
    <w:rsid w:val="00B55FE9"/>
    <w:rsid w:val="00B565B3"/>
    <w:rsid w:val="00B5684C"/>
    <w:rsid w:val="00B56857"/>
    <w:rsid w:val="00B56C3E"/>
    <w:rsid w:val="00B56DA6"/>
    <w:rsid w:val="00B56DB1"/>
    <w:rsid w:val="00B571EF"/>
    <w:rsid w:val="00B5753E"/>
    <w:rsid w:val="00B57906"/>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A03"/>
    <w:rsid w:val="00B67C2C"/>
    <w:rsid w:val="00B67E72"/>
    <w:rsid w:val="00B70532"/>
    <w:rsid w:val="00B70855"/>
    <w:rsid w:val="00B708ED"/>
    <w:rsid w:val="00B709B9"/>
    <w:rsid w:val="00B70D05"/>
    <w:rsid w:val="00B70D61"/>
    <w:rsid w:val="00B70D69"/>
    <w:rsid w:val="00B70DEF"/>
    <w:rsid w:val="00B70ED2"/>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B32"/>
    <w:rsid w:val="00B72F6D"/>
    <w:rsid w:val="00B73648"/>
    <w:rsid w:val="00B7377D"/>
    <w:rsid w:val="00B7398C"/>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02C"/>
    <w:rsid w:val="00B773CF"/>
    <w:rsid w:val="00B775A0"/>
    <w:rsid w:val="00B778EB"/>
    <w:rsid w:val="00B77D6D"/>
    <w:rsid w:val="00B77D8B"/>
    <w:rsid w:val="00B77FCA"/>
    <w:rsid w:val="00B80546"/>
    <w:rsid w:val="00B80598"/>
    <w:rsid w:val="00B80667"/>
    <w:rsid w:val="00B8066E"/>
    <w:rsid w:val="00B80783"/>
    <w:rsid w:val="00B80886"/>
    <w:rsid w:val="00B80969"/>
    <w:rsid w:val="00B80A12"/>
    <w:rsid w:val="00B80A26"/>
    <w:rsid w:val="00B80D82"/>
    <w:rsid w:val="00B80D84"/>
    <w:rsid w:val="00B80F40"/>
    <w:rsid w:val="00B80FA9"/>
    <w:rsid w:val="00B81385"/>
    <w:rsid w:val="00B81586"/>
    <w:rsid w:val="00B81807"/>
    <w:rsid w:val="00B81C54"/>
    <w:rsid w:val="00B81E42"/>
    <w:rsid w:val="00B81FBD"/>
    <w:rsid w:val="00B82185"/>
    <w:rsid w:val="00B8232D"/>
    <w:rsid w:val="00B82437"/>
    <w:rsid w:val="00B826AE"/>
    <w:rsid w:val="00B8278C"/>
    <w:rsid w:val="00B8297C"/>
    <w:rsid w:val="00B82A34"/>
    <w:rsid w:val="00B82D6D"/>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6EB"/>
    <w:rsid w:val="00B848D7"/>
    <w:rsid w:val="00B84C32"/>
    <w:rsid w:val="00B852A2"/>
    <w:rsid w:val="00B85861"/>
    <w:rsid w:val="00B858B1"/>
    <w:rsid w:val="00B85A4B"/>
    <w:rsid w:val="00B8659E"/>
    <w:rsid w:val="00B868D8"/>
    <w:rsid w:val="00B86E4C"/>
    <w:rsid w:val="00B86E76"/>
    <w:rsid w:val="00B86FCF"/>
    <w:rsid w:val="00B87440"/>
    <w:rsid w:val="00B875A3"/>
    <w:rsid w:val="00B876A3"/>
    <w:rsid w:val="00B876E5"/>
    <w:rsid w:val="00B8777E"/>
    <w:rsid w:val="00B87BDC"/>
    <w:rsid w:val="00B87E25"/>
    <w:rsid w:val="00B87F23"/>
    <w:rsid w:val="00B90160"/>
    <w:rsid w:val="00B90213"/>
    <w:rsid w:val="00B902B2"/>
    <w:rsid w:val="00B903D4"/>
    <w:rsid w:val="00B90866"/>
    <w:rsid w:val="00B90C82"/>
    <w:rsid w:val="00B90E77"/>
    <w:rsid w:val="00B90ED1"/>
    <w:rsid w:val="00B90F3F"/>
    <w:rsid w:val="00B91076"/>
    <w:rsid w:val="00B91310"/>
    <w:rsid w:val="00B91542"/>
    <w:rsid w:val="00B915E0"/>
    <w:rsid w:val="00B9182F"/>
    <w:rsid w:val="00B9191C"/>
    <w:rsid w:val="00B91DB9"/>
    <w:rsid w:val="00B91FEA"/>
    <w:rsid w:val="00B9249B"/>
    <w:rsid w:val="00B924DB"/>
    <w:rsid w:val="00B92735"/>
    <w:rsid w:val="00B92BCE"/>
    <w:rsid w:val="00B92D67"/>
    <w:rsid w:val="00B92E70"/>
    <w:rsid w:val="00B92E9B"/>
    <w:rsid w:val="00B92F37"/>
    <w:rsid w:val="00B9328D"/>
    <w:rsid w:val="00B9368F"/>
    <w:rsid w:val="00B93FFC"/>
    <w:rsid w:val="00B94008"/>
    <w:rsid w:val="00B94131"/>
    <w:rsid w:val="00B943C6"/>
    <w:rsid w:val="00B94794"/>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D76"/>
    <w:rsid w:val="00B97E9A"/>
    <w:rsid w:val="00BA00DA"/>
    <w:rsid w:val="00BA0213"/>
    <w:rsid w:val="00BA035B"/>
    <w:rsid w:val="00BA048C"/>
    <w:rsid w:val="00BA066A"/>
    <w:rsid w:val="00BA073E"/>
    <w:rsid w:val="00BA078F"/>
    <w:rsid w:val="00BA0A65"/>
    <w:rsid w:val="00BA1255"/>
    <w:rsid w:val="00BA1473"/>
    <w:rsid w:val="00BA1743"/>
    <w:rsid w:val="00BA17D5"/>
    <w:rsid w:val="00BA1DB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346"/>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934"/>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748"/>
    <w:rsid w:val="00BC1A08"/>
    <w:rsid w:val="00BC1B69"/>
    <w:rsid w:val="00BC1C33"/>
    <w:rsid w:val="00BC205F"/>
    <w:rsid w:val="00BC2226"/>
    <w:rsid w:val="00BC226B"/>
    <w:rsid w:val="00BC2273"/>
    <w:rsid w:val="00BC22FE"/>
    <w:rsid w:val="00BC2334"/>
    <w:rsid w:val="00BC23F9"/>
    <w:rsid w:val="00BC2507"/>
    <w:rsid w:val="00BC2511"/>
    <w:rsid w:val="00BC2947"/>
    <w:rsid w:val="00BC2A2B"/>
    <w:rsid w:val="00BC2B39"/>
    <w:rsid w:val="00BC2B43"/>
    <w:rsid w:val="00BC2B61"/>
    <w:rsid w:val="00BC2C4A"/>
    <w:rsid w:val="00BC2E73"/>
    <w:rsid w:val="00BC2FFD"/>
    <w:rsid w:val="00BC3192"/>
    <w:rsid w:val="00BC36DC"/>
    <w:rsid w:val="00BC37C2"/>
    <w:rsid w:val="00BC3B09"/>
    <w:rsid w:val="00BC3C73"/>
    <w:rsid w:val="00BC45AC"/>
    <w:rsid w:val="00BC4B69"/>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08"/>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067"/>
    <w:rsid w:val="00BE34C7"/>
    <w:rsid w:val="00BE3BA3"/>
    <w:rsid w:val="00BE3EA6"/>
    <w:rsid w:val="00BE40E4"/>
    <w:rsid w:val="00BE4191"/>
    <w:rsid w:val="00BE41FB"/>
    <w:rsid w:val="00BE4487"/>
    <w:rsid w:val="00BE49F9"/>
    <w:rsid w:val="00BE4A28"/>
    <w:rsid w:val="00BE4B1A"/>
    <w:rsid w:val="00BE4ECC"/>
    <w:rsid w:val="00BE4F07"/>
    <w:rsid w:val="00BE5054"/>
    <w:rsid w:val="00BE508B"/>
    <w:rsid w:val="00BE508D"/>
    <w:rsid w:val="00BE52E9"/>
    <w:rsid w:val="00BE53DF"/>
    <w:rsid w:val="00BE5C80"/>
    <w:rsid w:val="00BE616B"/>
    <w:rsid w:val="00BE652F"/>
    <w:rsid w:val="00BE67CD"/>
    <w:rsid w:val="00BE684D"/>
    <w:rsid w:val="00BE6A95"/>
    <w:rsid w:val="00BE6B41"/>
    <w:rsid w:val="00BE6CB8"/>
    <w:rsid w:val="00BE6E0A"/>
    <w:rsid w:val="00BE71C7"/>
    <w:rsid w:val="00BE7248"/>
    <w:rsid w:val="00BE748A"/>
    <w:rsid w:val="00BE75F3"/>
    <w:rsid w:val="00BF02CF"/>
    <w:rsid w:val="00BF032D"/>
    <w:rsid w:val="00BF04A0"/>
    <w:rsid w:val="00BF05C7"/>
    <w:rsid w:val="00BF0616"/>
    <w:rsid w:val="00BF0B6E"/>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204"/>
    <w:rsid w:val="00C0138B"/>
    <w:rsid w:val="00C01392"/>
    <w:rsid w:val="00C015BF"/>
    <w:rsid w:val="00C016CE"/>
    <w:rsid w:val="00C01A2D"/>
    <w:rsid w:val="00C01BB8"/>
    <w:rsid w:val="00C01DDC"/>
    <w:rsid w:val="00C01E52"/>
    <w:rsid w:val="00C0213A"/>
    <w:rsid w:val="00C021ED"/>
    <w:rsid w:val="00C024D5"/>
    <w:rsid w:val="00C027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15C"/>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51"/>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7B6"/>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8CC"/>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4E2D"/>
    <w:rsid w:val="00C2530D"/>
    <w:rsid w:val="00C253C1"/>
    <w:rsid w:val="00C255A7"/>
    <w:rsid w:val="00C25814"/>
    <w:rsid w:val="00C25A45"/>
    <w:rsid w:val="00C25A5C"/>
    <w:rsid w:val="00C25B4E"/>
    <w:rsid w:val="00C260E4"/>
    <w:rsid w:val="00C26210"/>
    <w:rsid w:val="00C26343"/>
    <w:rsid w:val="00C26755"/>
    <w:rsid w:val="00C2685D"/>
    <w:rsid w:val="00C268CE"/>
    <w:rsid w:val="00C26986"/>
    <w:rsid w:val="00C2698F"/>
    <w:rsid w:val="00C26AAD"/>
    <w:rsid w:val="00C26E42"/>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932"/>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96D"/>
    <w:rsid w:val="00C36C10"/>
    <w:rsid w:val="00C36C67"/>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5B9"/>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14D"/>
    <w:rsid w:val="00C46218"/>
    <w:rsid w:val="00C4648B"/>
    <w:rsid w:val="00C46A36"/>
    <w:rsid w:val="00C46A93"/>
    <w:rsid w:val="00C46CAD"/>
    <w:rsid w:val="00C46E1A"/>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32"/>
    <w:rsid w:val="00C56AE2"/>
    <w:rsid w:val="00C56BE7"/>
    <w:rsid w:val="00C56CD3"/>
    <w:rsid w:val="00C56E9C"/>
    <w:rsid w:val="00C570EC"/>
    <w:rsid w:val="00C57160"/>
    <w:rsid w:val="00C572AF"/>
    <w:rsid w:val="00C57357"/>
    <w:rsid w:val="00C575EE"/>
    <w:rsid w:val="00C5795D"/>
    <w:rsid w:val="00C57DC7"/>
    <w:rsid w:val="00C57E44"/>
    <w:rsid w:val="00C601F7"/>
    <w:rsid w:val="00C6037E"/>
    <w:rsid w:val="00C603CC"/>
    <w:rsid w:val="00C606F3"/>
    <w:rsid w:val="00C6087E"/>
    <w:rsid w:val="00C60882"/>
    <w:rsid w:val="00C60CB5"/>
    <w:rsid w:val="00C611CA"/>
    <w:rsid w:val="00C61E73"/>
    <w:rsid w:val="00C62241"/>
    <w:rsid w:val="00C62331"/>
    <w:rsid w:val="00C6297B"/>
    <w:rsid w:val="00C62A29"/>
    <w:rsid w:val="00C62A40"/>
    <w:rsid w:val="00C62AB9"/>
    <w:rsid w:val="00C62AC3"/>
    <w:rsid w:val="00C62BBF"/>
    <w:rsid w:val="00C62CF9"/>
    <w:rsid w:val="00C62DDB"/>
    <w:rsid w:val="00C6302B"/>
    <w:rsid w:val="00C6321F"/>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290"/>
    <w:rsid w:val="00C7161E"/>
    <w:rsid w:val="00C7166D"/>
    <w:rsid w:val="00C71A66"/>
    <w:rsid w:val="00C71AD5"/>
    <w:rsid w:val="00C71CA7"/>
    <w:rsid w:val="00C71EFB"/>
    <w:rsid w:val="00C71F86"/>
    <w:rsid w:val="00C71FD9"/>
    <w:rsid w:val="00C7204D"/>
    <w:rsid w:val="00C72619"/>
    <w:rsid w:val="00C7263E"/>
    <w:rsid w:val="00C7297E"/>
    <w:rsid w:val="00C72A20"/>
    <w:rsid w:val="00C72A62"/>
    <w:rsid w:val="00C72DDD"/>
    <w:rsid w:val="00C7301D"/>
    <w:rsid w:val="00C730A9"/>
    <w:rsid w:val="00C731FB"/>
    <w:rsid w:val="00C731FE"/>
    <w:rsid w:val="00C7330F"/>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375"/>
    <w:rsid w:val="00C82515"/>
    <w:rsid w:val="00C827B3"/>
    <w:rsid w:val="00C82835"/>
    <w:rsid w:val="00C82C26"/>
    <w:rsid w:val="00C82E5F"/>
    <w:rsid w:val="00C831F9"/>
    <w:rsid w:val="00C8321D"/>
    <w:rsid w:val="00C832EA"/>
    <w:rsid w:val="00C833A1"/>
    <w:rsid w:val="00C83535"/>
    <w:rsid w:val="00C83701"/>
    <w:rsid w:val="00C83E2F"/>
    <w:rsid w:val="00C8453D"/>
    <w:rsid w:val="00C845E9"/>
    <w:rsid w:val="00C846BE"/>
    <w:rsid w:val="00C84800"/>
    <w:rsid w:val="00C84A5E"/>
    <w:rsid w:val="00C84B2D"/>
    <w:rsid w:val="00C84B45"/>
    <w:rsid w:val="00C84FF0"/>
    <w:rsid w:val="00C8505D"/>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9D"/>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79E"/>
    <w:rsid w:val="00CA0926"/>
    <w:rsid w:val="00CA0F38"/>
    <w:rsid w:val="00CA0F4A"/>
    <w:rsid w:val="00CA10F8"/>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EB"/>
    <w:rsid w:val="00CA39F2"/>
    <w:rsid w:val="00CA3BF7"/>
    <w:rsid w:val="00CA3DED"/>
    <w:rsid w:val="00CA3E1C"/>
    <w:rsid w:val="00CA3F23"/>
    <w:rsid w:val="00CA4145"/>
    <w:rsid w:val="00CA4156"/>
    <w:rsid w:val="00CA474E"/>
    <w:rsid w:val="00CA47B1"/>
    <w:rsid w:val="00CA4DAE"/>
    <w:rsid w:val="00CA5454"/>
    <w:rsid w:val="00CA5FEA"/>
    <w:rsid w:val="00CA60C7"/>
    <w:rsid w:val="00CA6378"/>
    <w:rsid w:val="00CA658E"/>
    <w:rsid w:val="00CA65D6"/>
    <w:rsid w:val="00CA6B4B"/>
    <w:rsid w:val="00CA6BF3"/>
    <w:rsid w:val="00CA6E4F"/>
    <w:rsid w:val="00CA70A1"/>
    <w:rsid w:val="00CA70AF"/>
    <w:rsid w:val="00CA7354"/>
    <w:rsid w:val="00CA741C"/>
    <w:rsid w:val="00CA776B"/>
    <w:rsid w:val="00CB0081"/>
    <w:rsid w:val="00CB0290"/>
    <w:rsid w:val="00CB0434"/>
    <w:rsid w:val="00CB0774"/>
    <w:rsid w:val="00CB07A0"/>
    <w:rsid w:val="00CB097B"/>
    <w:rsid w:val="00CB0A5B"/>
    <w:rsid w:val="00CB0AE2"/>
    <w:rsid w:val="00CB0B85"/>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895"/>
    <w:rsid w:val="00CB4BB6"/>
    <w:rsid w:val="00CB4CB2"/>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79"/>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B3B"/>
    <w:rsid w:val="00CC2CAF"/>
    <w:rsid w:val="00CC2D6E"/>
    <w:rsid w:val="00CC2E37"/>
    <w:rsid w:val="00CC2FC6"/>
    <w:rsid w:val="00CC3176"/>
    <w:rsid w:val="00CC32AA"/>
    <w:rsid w:val="00CC338D"/>
    <w:rsid w:val="00CC35E1"/>
    <w:rsid w:val="00CC3940"/>
    <w:rsid w:val="00CC406C"/>
    <w:rsid w:val="00CC4133"/>
    <w:rsid w:val="00CC46CC"/>
    <w:rsid w:val="00CC4733"/>
    <w:rsid w:val="00CC49DD"/>
    <w:rsid w:val="00CC4A6E"/>
    <w:rsid w:val="00CC4EF6"/>
    <w:rsid w:val="00CC4FB5"/>
    <w:rsid w:val="00CC4FED"/>
    <w:rsid w:val="00CC50E6"/>
    <w:rsid w:val="00CC54FA"/>
    <w:rsid w:val="00CC587A"/>
    <w:rsid w:val="00CC5A3D"/>
    <w:rsid w:val="00CC5A9B"/>
    <w:rsid w:val="00CC60D8"/>
    <w:rsid w:val="00CC62D0"/>
    <w:rsid w:val="00CC65CC"/>
    <w:rsid w:val="00CC6726"/>
    <w:rsid w:val="00CC6C8E"/>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759"/>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14"/>
    <w:rsid w:val="00CE5426"/>
    <w:rsid w:val="00CE5530"/>
    <w:rsid w:val="00CE5586"/>
    <w:rsid w:val="00CE56CF"/>
    <w:rsid w:val="00CE58A1"/>
    <w:rsid w:val="00CE5965"/>
    <w:rsid w:val="00CE5A90"/>
    <w:rsid w:val="00CE5B8B"/>
    <w:rsid w:val="00CE5D40"/>
    <w:rsid w:val="00CE6039"/>
    <w:rsid w:val="00CE6156"/>
    <w:rsid w:val="00CE6989"/>
    <w:rsid w:val="00CE6D4F"/>
    <w:rsid w:val="00CE719B"/>
    <w:rsid w:val="00CE7627"/>
    <w:rsid w:val="00CE766C"/>
    <w:rsid w:val="00CE7876"/>
    <w:rsid w:val="00CF03F5"/>
    <w:rsid w:val="00CF048D"/>
    <w:rsid w:val="00CF05C4"/>
    <w:rsid w:val="00CF0B39"/>
    <w:rsid w:val="00CF0C3E"/>
    <w:rsid w:val="00CF0D5B"/>
    <w:rsid w:val="00CF0E3F"/>
    <w:rsid w:val="00CF0EE4"/>
    <w:rsid w:val="00CF1184"/>
    <w:rsid w:val="00CF149D"/>
    <w:rsid w:val="00CF19B3"/>
    <w:rsid w:val="00CF1B0D"/>
    <w:rsid w:val="00CF1D8A"/>
    <w:rsid w:val="00CF1DF2"/>
    <w:rsid w:val="00CF2142"/>
    <w:rsid w:val="00CF21EC"/>
    <w:rsid w:val="00CF23F0"/>
    <w:rsid w:val="00CF24A5"/>
    <w:rsid w:val="00CF24B2"/>
    <w:rsid w:val="00CF25B7"/>
    <w:rsid w:val="00CF2680"/>
    <w:rsid w:val="00CF27EC"/>
    <w:rsid w:val="00CF2888"/>
    <w:rsid w:val="00CF29BB"/>
    <w:rsid w:val="00CF29F9"/>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2F44"/>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DE6"/>
    <w:rsid w:val="00D05F1A"/>
    <w:rsid w:val="00D05F4C"/>
    <w:rsid w:val="00D061B3"/>
    <w:rsid w:val="00D061E2"/>
    <w:rsid w:val="00D065C0"/>
    <w:rsid w:val="00D06658"/>
    <w:rsid w:val="00D06797"/>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19"/>
    <w:rsid w:val="00D10D9D"/>
    <w:rsid w:val="00D10EAE"/>
    <w:rsid w:val="00D10F03"/>
    <w:rsid w:val="00D1103C"/>
    <w:rsid w:val="00D11053"/>
    <w:rsid w:val="00D11195"/>
    <w:rsid w:val="00D111C8"/>
    <w:rsid w:val="00D11579"/>
    <w:rsid w:val="00D1159F"/>
    <w:rsid w:val="00D11703"/>
    <w:rsid w:val="00D1183D"/>
    <w:rsid w:val="00D11A30"/>
    <w:rsid w:val="00D11C30"/>
    <w:rsid w:val="00D11E34"/>
    <w:rsid w:val="00D11EE1"/>
    <w:rsid w:val="00D126FD"/>
    <w:rsid w:val="00D127D5"/>
    <w:rsid w:val="00D12ACC"/>
    <w:rsid w:val="00D12B0D"/>
    <w:rsid w:val="00D12CB5"/>
    <w:rsid w:val="00D13227"/>
    <w:rsid w:val="00D13346"/>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1FE"/>
    <w:rsid w:val="00D15285"/>
    <w:rsid w:val="00D153BE"/>
    <w:rsid w:val="00D15C9E"/>
    <w:rsid w:val="00D15EA8"/>
    <w:rsid w:val="00D15F70"/>
    <w:rsid w:val="00D1630B"/>
    <w:rsid w:val="00D16448"/>
    <w:rsid w:val="00D164B7"/>
    <w:rsid w:val="00D16618"/>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6D7"/>
    <w:rsid w:val="00D308DC"/>
    <w:rsid w:val="00D30B5A"/>
    <w:rsid w:val="00D30C28"/>
    <w:rsid w:val="00D30D6D"/>
    <w:rsid w:val="00D31013"/>
    <w:rsid w:val="00D31123"/>
    <w:rsid w:val="00D311A2"/>
    <w:rsid w:val="00D3123F"/>
    <w:rsid w:val="00D31317"/>
    <w:rsid w:val="00D31698"/>
    <w:rsid w:val="00D318AB"/>
    <w:rsid w:val="00D31AA9"/>
    <w:rsid w:val="00D31AE8"/>
    <w:rsid w:val="00D31CDE"/>
    <w:rsid w:val="00D320D9"/>
    <w:rsid w:val="00D32303"/>
    <w:rsid w:val="00D329E4"/>
    <w:rsid w:val="00D32A7B"/>
    <w:rsid w:val="00D32AE1"/>
    <w:rsid w:val="00D32C98"/>
    <w:rsid w:val="00D330C2"/>
    <w:rsid w:val="00D33103"/>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002"/>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7D9"/>
    <w:rsid w:val="00D379E9"/>
    <w:rsid w:val="00D37E98"/>
    <w:rsid w:val="00D400CB"/>
    <w:rsid w:val="00D4026D"/>
    <w:rsid w:val="00D40559"/>
    <w:rsid w:val="00D40BE0"/>
    <w:rsid w:val="00D40C7E"/>
    <w:rsid w:val="00D40D49"/>
    <w:rsid w:val="00D411AA"/>
    <w:rsid w:val="00D419F0"/>
    <w:rsid w:val="00D41B57"/>
    <w:rsid w:val="00D41D00"/>
    <w:rsid w:val="00D41D78"/>
    <w:rsid w:val="00D426FB"/>
    <w:rsid w:val="00D4272B"/>
    <w:rsid w:val="00D42D2E"/>
    <w:rsid w:val="00D42D77"/>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E6C"/>
    <w:rsid w:val="00D46FEF"/>
    <w:rsid w:val="00D472E7"/>
    <w:rsid w:val="00D472FF"/>
    <w:rsid w:val="00D47568"/>
    <w:rsid w:val="00D4791F"/>
    <w:rsid w:val="00D47951"/>
    <w:rsid w:val="00D479AD"/>
    <w:rsid w:val="00D47A0A"/>
    <w:rsid w:val="00D47D6F"/>
    <w:rsid w:val="00D50BD6"/>
    <w:rsid w:val="00D50C3A"/>
    <w:rsid w:val="00D50FAD"/>
    <w:rsid w:val="00D515C2"/>
    <w:rsid w:val="00D5166B"/>
    <w:rsid w:val="00D51AF9"/>
    <w:rsid w:val="00D51B84"/>
    <w:rsid w:val="00D51D7B"/>
    <w:rsid w:val="00D51DE7"/>
    <w:rsid w:val="00D51E98"/>
    <w:rsid w:val="00D51F00"/>
    <w:rsid w:val="00D526CA"/>
    <w:rsid w:val="00D526D7"/>
    <w:rsid w:val="00D52907"/>
    <w:rsid w:val="00D529B4"/>
    <w:rsid w:val="00D52BB1"/>
    <w:rsid w:val="00D52E85"/>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A89"/>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D80"/>
    <w:rsid w:val="00D60E13"/>
    <w:rsid w:val="00D6110B"/>
    <w:rsid w:val="00D61133"/>
    <w:rsid w:val="00D61182"/>
    <w:rsid w:val="00D6168E"/>
    <w:rsid w:val="00D6196A"/>
    <w:rsid w:val="00D62054"/>
    <w:rsid w:val="00D620CC"/>
    <w:rsid w:val="00D62311"/>
    <w:rsid w:val="00D62387"/>
    <w:rsid w:val="00D6245F"/>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1B0"/>
    <w:rsid w:val="00D6524A"/>
    <w:rsid w:val="00D65319"/>
    <w:rsid w:val="00D6557E"/>
    <w:rsid w:val="00D65AC5"/>
    <w:rsid w:val="00D65BA4"/>
    <w:rsid w:val="00D6604F"/>
    <w:rsid w:val="00D6616E"/>
    <w:rsid w:val="00D6617D"/>
    <w:rsid w:val="00D661F4"/>
    <w:rsid w:val="00D663B5"/>
    <w:rsid w:val="00D6643A"/>
    <w:rsid w:val="00D66622"/>
    <w:rsid w:val="00D66665"/>
    <w:rsid w:val="00D667EE"/>
    <w:rsid w:val="00D66899"/>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7DD"/>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907"/>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1BF6"/>
    <w:rsid w:val="00D82382"/>
    <w:rsid w:val="00D82588"/>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3F6C"/>
    <w:rsid w:val="00D844D3"/>
    <w:rsid w:val="00D84866"/>
    <w:rsid w:val="00D849B1"/>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79"/>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85"/>
    <w:rsid w:val="00D935C2"/>
    <w:rsid w:val="00D935C8"/>
    <w:rsid w:val="00D936AB"/>
    <w:rsid w:val="00D9372E"/>
    <w:rsid w:val="00D93BBB"/>
    <w:rsid w:val="00D93E03"/>
    <w:rsid w:val="00D93E0B"/>
    <w:rsid w:val="00D93ED6"/>
    <w:rsid w:val="00D93F16"/>
    <w:rsid w:val="00D93FB9"/>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4FC"/>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1D1"/>
    <w:rsid w:val="00DA32BE"/>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35B"/>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03"/>
    <w:rsid w:val="00DB162F"/>
    <w:rsid w:val="00DB19DC"/>
    <w:rsid w:val="00DB1F84"/>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5DF0"/>
    <w:rsid w:val="00DB5FE8"/>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2"/>
    <w:rsid w:val="00DC58BE"/>
    <w:rsid w:val="00DC5A0C"/>
    <w:rsid w:val="00DC5A1B"/>
    <w:rsid w:val="00DC5AF4"/>
    <w:rsid w:val="00DC5F35"/>
    <w:rsid w:val="00DC6152"/>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4B6"/>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519"/>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4D5"/>
    <w:rsid w:val="00DE09A8"/>
    <w:rsid w:val="00DE0BFE"/>
    <w:rsid w:val="00DE1069"/>
    <w:rsid w:val="00DE181D"/>
    <w:rsid w:val="00DE18BA"/>
    <w:rsid w:val="00DE1B48"/>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4EA4"/>
    <w:rsid w:val="00DE510E"/>
    <w:rsid w:val="00DE527B"/>
    <w:rsid w:val="00DE52A7"/>
    <w:rsid w:val="00DE571A"/>
    <w:rsid w:val="00DE596E"/>
    <w:rsid w:val="00DE6462"/>
    <w:rsid w:val="00DE67F7"/>
    <w:rsid w:val="00DE686E"/>
    <w:rsid w:val="00DE6911"/>
    <w:rsid w:val="00DE6B7F"/>
    <w:rsid w:val="00DE6CC8"/>
    <w:rsid w:val="00DE72FD"/>
    <w:rsid w:val="00DE73E8"/>
    <w:rsid w:val="00DE7979"/>
    <w:rsid w:val="00DE7D93"/>
    <w:rsid w:val="00DE7EAA"/>
    <w:rsid w:val="00DF006E"/>
    <w:rsid w:val="00DF01CD"/>
    <w:rsid w:val="00DF039D"/>
    <w:rsid w:val="00DF0474"/>
    <w:rsid w:val="00DF069F"/>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BC"/>
    <w:rsid w:val="00DF33E0"/>
    <w:rsid w:val="00DF393D"/>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2D5"/>
    <w:rsid w:val="00DF6822"/>
    <w:rsid w:val="00DF691C"/>
    <w:rsid w:val="00DF69D1"/>
    <w:rsid w:val="00DF6AA9"/>
    <w:rsid w:val="00DF6AE1"/>
    <w:rsid w:val="00DF6B3B"/>
    <w:rsid w:val="00DF6B98"/>
    <w:rsid w:val="00DF6CF2"/>
    <w:rsid w:val="00DF6FC1"/>
    <w:rsid w:val="00DF78F8"/>
    <w:rsid w:val="00DF79EA"/>
    <w:rsid w:val="00DF7B1A"/>
    <w:rsid w:val="00DF7CE2"/>
    <w:rsid w:val="00DF7F5E"/>
    <w:rsid w:val="00E000D6"/>
    <w:rsid w:val="00E0036F"/>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DF4"/>
    <w:rsid w:val="00E04E8E"/>
    <w:rsid w:val="00E04E97"/>
    <w:rsid w:val="00E04EBD"/>
    <w:rsid w:val="00E05063"/>
    <w:rsid w:val="00E05153"/>
    <w:rsid w:val="00E05403"/>
    <w:rsid w:val="00E054B8"/>
    <w:rsid w:val="00E055EB"/>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08"/>
    <w:rsid w:val="00E11B8B"/>
    <w:rsid w:val="00E11BBE"/>
    <w:rsid w:val="00E11CDB"/>
    <w:rsid w:val="00E11F8F"/>
    <w:rsid w:val="00E1222A"/>
    <w:rsid w:val="00E122C5"/>
    <w:rsid w:val="00E122DD"/>
    <w:rsid w:val="00E1242F"/>
    <w:rsid w:val="00E1265C"/>
    <w:rsid w:val="00E126BA"/>
    <w:rsid w:val="00E129A1"/>
    <w:rsid w:val="00E1320A"/>
    <w:rsid w:val="00E134E3"/>
    <w:rsid w:val="00E13FA5"/>
    <w:rsid w:val="00E141D3"/>
    <w:rsid w:val="00E144BB"/>
    <w:rsid w:val="00E1451A"/>
    <w:rsid w:val="00E14542"/>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6E6"/>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89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1A3"/>
    <w:rsid w:val="00E252A2"/>
    <w:rsid w:val="00E2577B"/>
    <w:rsid w:val="00E2578F"/>
    <w:rsid w:val="00E25C71"/>
    <w:rsid w:val="00E25D27"/>
    <w:rsid w:val="00E25D4D"/>
    <w:rsid w:val="00E25DBE"/>
    <w:rsid w:val="00E25EA0"/>
    <w:rsid w:val="00E25EF8"/>
    <w:rsid w:val="00E262D3"/>
    <w:rsid w:val="00E2669C"/>
    <w:rsid w:val="00E27143"/>
    <w:rsid w:val="00E27237"/>
    <w:rsid w:val="00E27362"/>
    <w:rsid w:val="00E27A2E"/>
    <w:rsid w:val="00E27BB3"/>
    <w:rsid w:val="00E27BE2"/>
    <w:rsid w:val="00E27C15"/>
    <w:rsid w:val="00E300FE"/>
    <w:rsid w:val="00E3012E"/>
    <w:rsid w:val="00E301AD"/>
    <w:rsid w:val="00E30789"/>
    <w:rsid w:val="00E30DB5"/>
    <w:rsid w:val="00E313CF"/>
    <w:rsid w:val="00E31753"/>
    <w:rsid w:val="00E317F0"/>
    <w:rsid w:val="00E318CC"/>
    <w:rsid w:val="00E31CCE"/>
    <w:rsid w:val="00E31CD9"/>
    <w:rsid w:val="00E31EA8"/>
    <w:rsid w:val="00E3266A"/>
    <w:rsid w:val="00E326E5"/>
    <w:rsid w:val="00E32746"/>
    <w:rsid w:val="00E32B3B"/>
    <w:rsid w:val="00E32CCE"/>
    <w:rsid w:val="00E32CE4"/>
    <w:rsid w:val="00E32F82"/>
    <w:rsid w:val="00E33110"/>
    <w:rsid w:val="00E33200"/>
    <w:rsid w:val="00E333A2"/>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E03"/>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2D1"/>
    <w:rsid w:val="00E40735"/>
    <w:rsid w:val="00E40897"/>
    <w:rsid w:val="00E409ED"/>
    <w:rsid w:val="00E40DF3"/>
    <w:rsid w:val="00E40F36"/>
    <w:rsid w:val="00E410EA"/>
    <w:rsid w:val="00E41287"/>
    <w:rsid w:val="00E41305"/>
    <w:rsid w:val="00E41492"/>
    <w:rsid w:val="00E41961"/>
    <w:rsid w:val="00E41BDB"/>
    <w:rsid w:val="00E4212D"/>
    <w:rsid w:val="00E4235B"/>
    <w:rsid w:val="00E425BE"/>
    <w:rsid w:val="00E42921"/>
    <w:rsid w:val="00E429A4"/>
    <w:rsid w:val="00E42B73"/>
    <w:rsid w:val="00E432F5"/>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47A"/>
    <w:rsid w:val="00E47733"/>
    <w:rsid w:val="00E47877"/>
    <w:rsid w:val="00E47888"/>
    <w:rsid w:val="00E4788F"/>
    <w:rsid w:val="00E47949"/>
    <w:rsid w:val="00E479C6"/>
    <w:rsid w:val="00E47A4B"/>
    <w:rsid w:val="00E47B0B"/>
    <w:rsid w:val="00E47E14"/>
    <w:rsid w:val="00E5003E"/>
    <w:rsid w:val="00E5063C"/>
    <w:rsid w:val="00E50674"/>
    <w:rsid w:val="00E50734"/>
    <w:rsid w:val="00E507EA"/>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79B"/>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E15"/>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0B"/>
    <w:rsid w:val="00E6403F"/>
    <w:rsid w:val="00E6423B"/>
    <w:rsid w:val="00E643C1"/>
    <w:rsid w:val="00E64560"/>
    <w:rsid w:val="00E645E6"/>
    <w:rsid w:val="00E646E2"/>
    <w:rsid w:val="00E64BE9"/>
    <w:rsid w:val="00E64C86"/>
    <w:rsid w:val="00E65260"/>
    <w:rsid w:val="00E6576D"/>
    <w:rsid w:val="00E657B2"/>
    <w:rsid w:val="00E658C7"/>
    <w:rsid w:val="00E65BE8"/>
    <w:rsid w:val="00E65C3F"/>
    <w:rsid w:val="00E65CF5"/>
    <w:rsid w:val="00E65E4B"/>
    <w:rsid w:val="00E6642D"/>
    <w:rsid w:val="00E66539"/>
    <w:rsid w:val="00E66772"/>
    <w:rsid w:val="00E66860"/>
    <w:rsid w:val="00E66C9C"/>
    <w:rsid w:val="00E66D50"/>
    <w:rsid w:val="00E66EEA"/>
    <w:rsid w:val="00E66FEE"/>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B45"/>
    <w:rsid w:val="00E72C74"/>
    <w:rsid w:val="00E72E35"/>
    <w:rsid w:val="00E72E6B"/>
    <w:rsid w:val="00E73132"/>
    <w:rsid w:val="00E731BB"/>
    <w:rsid w:val="00E731E6"/>
    <w:rsid w:val="00E73387"/>
    <w:rsid w:val="00E73E5B"/>
    <w:rsid w:val="00E73EA6"/>
    <w:rsid w:val="00E74061"/>
    <w:rsid w:val="00E74472"/>
    <w:rsid w:val="00E744FF"/>
    <w:rsid w:val="00E74BED"/>
    <w:rsid w:val="00E75244"/>
    <w:rsid w:val="00E752D6"/>
    <w:rsid w:val="00E75392"/>
    <w:rsid w:val="00E754B8"/>
    <w:rsid w:val="00E75919"/>
    <w:rsid w:val="00E75CA7"/>
    <w:rsid w:val="00E75EC0"/>
    <w:rsid w:val="00E760E4"/>
    <w:rsid w:val="00E76272"/>
    <w:rsid w:val="00E762B8"/>
    <w:rsid w:val="00E767F9"/>
    <w:rsid w:val="00E7692C"/>
    <w:rsid w:val="00E76B9D"/>
    <w:rsid w:val="00E76BFB"/>
    <w:rsid w:val="00E770DF"/>
    <w:rsid w:val="00E77590"/>
    <w:rsid w:val="00E775AF"/>
    <w:rsid w:val="00E7777F"/>
    <w:rsid w:val="00E77C52"/>
    <w:rsid w:val="00E800DB"/>
    <w:rsid w:val="00E80C34"/>
    <w:rsid w:val="00E80D90"/>
    <w:rsid w:val="00E810A3"/>
    <w:rsid w:val="00E81447"/>
    <w:rsid w:val="00E8179C"/>
    <w:rsid w:val="00E81901"/>
    <w:rsid w:val="00E81CF4"/>
    <w:rsid w:val="00E81DF9"/>
    <w:rsid w:val="00E81E45"/>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51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D72"/>
    <w:rsid w:val="00E86FE3"/>
    <w:rsid w:val="00E870F4"/>
    <w:rsid w:val="00E87612"/>
    <w:rsid w:val="00E8770C"/>
    <w:rsid w:val="00E878FD"/>
    <w:rsid w:val="00E87A87"/>
    <w:rsid w:val="00E87AC4"/>
    <w:rsid w:val="00E87C4D"/>
    <w:rsid w:val="00E87DCA"/>
    <w:rsid w:val="00E87EE3"/>
    <w:rsid w:val="00E87F16"/>
    <w:rsid w:val="00E9082D"/>
    <w:rsid w:val="00E9092A"/>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4CE2"/>
    <w:rsid w:val="00E950D0"/>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85"/>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430"/>
    <w:rsid w:val="00EA4636"/>
    <w:rsid w:val="00EA4FB5"/>
    <w:rsid w:val="00EA50C1"/>
    <w:rsid w:val="00EA5265"/>
    <w:rsid w:val="00EA5A05"/>
    <w:rsid w:val="00EA5A09"/>
    <w:rsid w:val="00EA5B1E"/>
    <w:rsid w:val="00EA5D21"/>
    <w:rsid w:val="00EA5E30"/>
    <w:rsid w:val="00EA5FC1"/>
    <w:rsid w:val="00EA610A"/>
    <w:rsid w:val="00EA63C5"/>
    <w:rsid w:val="00EA663D"/>
    <w:rsid w:val="00EA666E"/>
    <w:rsid w:val="00EA69E0"/>
    <w:rsid w:val="00EA6C09"/>
    <w:rsid w:val="00EA6E1D"/>
    <w:rsid w:val="00EA77F7"/>
    <w:rsid w:val="00EA794A"/>
    <w:rsid w:val="00EA79C5"/>
    <w:rsid w:val="00EA7C3F"/>
    <w:rsid w:val="00EA7F9F"/>
    <w:rsid w:val="00EB00FB"/>
    <w:rsid w:val="00EB01D2"/>
    <w:rsid w:val="00EB01F3"/>
    <w:rsid w:val="00EB0784"/>
    <w:rsid w:val="00EB0789"/>
    <w:rsid w:val="00EB08D7"/>
    <w:rsid w:val="00EB0A42"/>
    <w:rsid w:val="00EB0C44"/>
    <w:rsid w:val="00EB0EFA"/>
    <w:rsid w:val="00EB10B4"/>
    <w:rsid w:val="00EB10DD"/>
    <w:rsid w:val="00EB139E"/>
    <w:rsid w:val="00EB1431"/>
    <w:rsid w:val="00EB14E2"/>
    <w:rsid w:val="00EB1802"/>
    <w:rsid w:val="00EB18B3"/>
    <w:rsid w:val="00EB1940"/>
    <w:rsid w:val="00EB1AB9"/>
    <w:rsid w:val="00EB1E10"/>
    <w:rsid w:val="00EB1FBD"/>
    <w:rsid w:val="00EB236E"/>
    <w:rsid w:val="00EB24AA"/>
    <w:rsid w:val="00EB2A51"/>
    <w:rsid w:val="00EB2BA6"/>
    <w:rsid w:val="00EB2D6D"/>
    <w:rsid w:val="00EB2FA4"/>
    <w:rsid w:val="00EB308E"/>
    <w:rsid w:val="00EB3870"/>
    <w:rsid w:val="00EB3924"/>
    <w:rsid w:val="00EB394C"/>
    <w:rsid w:val="00EB3CE2"/>
    <w:rsid w:val="00EB4197"/>
    <w:rsid w:val="00EB4199"/>
    <w:rsid w:val="00EB437A"/>
    <w:rsid w:val="00EB43D2"/>
    <w:rsid w:val="00EB440E"/>
    <w:rsid w:val="00EB4A03"/>
    <w:rsid w:val="00EB4C2D"/>
    <w:rsid w:val="00EB4D4E"/>
    <w:rsid w:val="00EB53E4"/>
    <w:rsid w:val="00EB54BC"/>
    <w:rsid w:val="00EB5642"/>
    <w:rsid w:val="00EB5869"/>
    <w:rsid w:val="00EB5A74"/>
    <w:rsid w:val="00EB5AB7"/>
    <w:rsid w:val="00EB5EA1"/>
    <w:rsid w:val="00EB5F2D"/>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E47"/>
    <w:rsid w:val="00EB7F89"/>
    <w:rsid w:val="00EC0174"/>
    <w:rsid w:val="00EC04F9"/>
    <w:rsid w:val="00EC088A"/>
    <w:rsid w:val="00EC1088"/>
    <w:rsid w:val="00EC1491"/>
    <w:rsid w:val="00EC1708"/>
    <w:rsid w:val="00EC1A32"/>
    <w:rsid w:val="00EC1EB6"/>
    <w:rsid w:val="00EC214B"/>
    <w:rsid w:val="00EC2428"/>
    <w:rsid w:val="00EC244D"/>
    <w:rsid w:val="00EC3384"/>
    <w:rsid w:val="00EC3398"/>
    <w:rsid w:val="00EC3A15"/>
    <w:rsid w:val="00EC3AE9"/>
    <w:rsid w:val="00EC3E84"/>
    <w:rsid w:val="00EC4220"/>
    <w:rsid w:val="00EC45C0"/>
    <w:rsid w:val="00EC4898"/>
    <w:rsid w:val="00EC4A73"/>
    <w:rsid w:val="00EC5583"/>
    <w:rsid w:val="00EC5CED"/>
    <w:rsid w:val="00EC6495"/>
    <w:rsid w:val="00EC66B1"/>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D54"/>
    <w:rsid w:val="00ED2EE9"/>
    <w:rsid w:val="00ED2F91"/>
    <w:rsid w:val="00ED2FC3"/>
    <w:rsid w:val="00ED31C0"/>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5FC7"/>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8EF"/>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A4D"/>
    <w:rsid w:val="00EE5BE9"/>
    <w:rsid w:val="00EE5C60"/>
    <w:rsid w:val="00EE5E41"/>
    <w:rsid w:val="00EE5F92"/>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CE5"/>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585F"/>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6B5"/>
    <w:rsid w:val="00F20838"/>
    <w:rsid w:val="00F20927"/>
    <w:rsid w:val="00F209AC"/>
    <w:rsid w:val="00F209B4"/>
    <w:rsid w:val="00F20BDB"/>
    <w:rsid w:val="00F20E61"/>
    <w:rsid w:val="00F210ED"/>
    <w:rsid w:val="00F2141D"/>
    <w:rsid w:val="00F219E3"/>
    <w:rsid w:val="00F21EEC"/>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9EF"/>
    <w:rsid w:val="00F24A27"/>
    <w:rsid w:val="00F24AAB"/>
    <w:rsid w:val="00F24B43"/>
    <w:rsid w:val="00F24CF7"/>
    <w:rsid w:val="00F24D46"/>
    <w:rsid w:val="00F25004"/>
    <w:rsid w:val="00F25047"/>
    <w:rsid w:val="00F251A5"/>
    <w:rsid w:val="00F25720"/>
    <w:rsid w:val="00F257FA"/>
    <w:rsid w:val="00F25838"/>
    <w:rsid w:val="00F25BA3"/>
    <w:rsid w:val="00F25D2C"/>
    <w:rsid w:val="00F2614C"/>
    <w:rsid w:val="00F263D6"/>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894"/>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19"/>
    <w:rsid w:val="00F36B93"/>
    <w:rsid w:val="00F36DCE"/>
    <w:rsid w:val="00F372AE"/>
    <w:rsid w:val="00F3734D"/>
    <w:rsid w:val="00F374AD"/>
    <w:rsid w:val="00F37590"/>
    <w:rsid w:val="00F377C8"/>
    <w:rsid w:val="00F37D96"/>
    <w:rsid w:val="00F40073"/>
    <w:rsid w:val="00F40447"/>
    <w:rsid w:val="00F4074C"/>
    <w:rsid w:val="00F4080E"/>
    <w:rsid w:val="00F40942"/>
    <w:rsid w:val="00F40B45"/>
    <w:rsid w:val="00F40E27"/>
    <w:rsid w:val="00F40FDF"/>
    <w:rsid w:val="00F410F5"/>
    <w:rsid w:val="00F4120E"/>
    <w:rsid w:val="00F4160A"/>
    <w:rsid w:val="00F41616"/>
    <w:rsid w:val="00F417BA"/>
    <w:rsid w:val="00F417C3"/>
    <w:rsid w:val="00F418CB"/>
    <w:rsid w:val="00F41AB4"/>
    <w:rsid w:val="00F41D88"/>
    <w:rsid w:val="00F41FD6"/>
    <w:rsid w:val="00F42541"/>
    <w:rsid w:val="00F425A2"/>
    <w:rsid w:val="00F425D3"/>
    <w:rsid w:val="00F42616"/>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4D0"/>
    <w:rsid w:val="00F44530"/>
    <w:rsid w:val="00F44734"/>
    <w:rsid w:val="00F44794"/>
    <w:rsid w:val="00F448C1"/>
    <w:rsid w:val="00F44A4B"/>
    <w:rsid w:val="00F44C1A"/>
    <w:rsid w:val="00F45045"/>
    <w:rsid w:val="00F45492"/>
    <w:rsid w:val="00F45799"/>
    <w:rsid w:val="00F45A43"/>
    <w:rsid w:val="00F45E5A"/>
    <w:rsid w:val="00F46150"/>
    <w:rsid w:val="00F46257"/>
    <w:rsid w:val="00F46533"/>
    <w:rsid w:val="00F465BB"/>
    <w:rsid w:val="00F46646"/>
    <w:rsid w:val="00F466E1"/>
    <w:rsid w:val="00F466FD"/>
    <w:rsid w:val="00F46823"/>
    <w:rsid w:val="00F468A4"/>
    <w:rsid w:val="00F468CD"/>
    <w:rsid w:val="00F4691B"/>
    <w:rsid w:val="00F46C4F"/>
    <w:rsid w:val="00F46F66"/>
    <w:rsid w:val="00F476E7"/>
    <w:rsid w:val="00F47897"/>
    <w:rsid w:val="00F47AA6"/>
    <w:rsid w:val="00F47B57"/>
    <w:rsid w:val="00F47CC5"/>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A5C"/>
    <w:rsid w:val="00F61EDA"/>
    <w:rsid w:val="00F61EE9"/>
    <w:rsid w:val="00F61F4D"/>
    <w:rsid w:val="00F62016"/>
    <w:rsid w:val="00F62124"/>
    <w:rsid w:val="00F62255"/>
    <w:rsid w:val="00F62539"/>
    <w:rsid w:val="00F625B1"/>
    <w:rsid w:val="00F62B47"/>
    <w:rsid w:val="00F62F16"/>
    <w:rsid w:val="00F633A7"/>
    <w:rsid w:val="00F633A9"/>
    <w:rsid w:val="00F6356C"/>
    <w:rsid w:val="00F638E4"/>
    <w:rsid w:val="00F63E27"/>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7E0"/>
    <w:rsid w:val="00F70BAF"/>
    <w:rsid w:val="00F70E5F"/>
    <w:rsid w:val="00F70E62"/>
    <w:rsid w:val="00F70FEB"/>
    <w:rsid w:val="00F71364"/>
    <w:rsid w:val="00F7137A"/>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A58"/>
    <w:rsid w:val="00F73B11"/>
    <w:rsid w:val="00F7435C"/>
    <w:rsid w:val="00F7498F"/>
    <w:rsid w:val="00F749F6"/>
    <w:rsid w:val="00F74D2B"/>
    <w:rsid w:val="00F74EB3"/>
    <w:rsid w:val="00F75390"/>
    <w:rsid w:val="00F755F5"/>
    <w:rsid w:val="00F756B1"/>
    <w:rsid w:val="00F75A40"/>
    <w:rsid w:val="00F75C4A"/>
    <w:rsid w:val="00F75C53"/>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E68"/>
    <w:rsid w:val="00F77F10"/>
    <w:rsid w:val="00F801BE"/>
    <w:rsid w:val="00F8029B"/>
    <w:rsid w:val="00F80344"/>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923"/>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1"/>
    <w:rsid w:val="00F941F9"/>
    <w:rsid w:val="00F942DA"/>
    <w:rsid w:val="00F94387"/>
    <w:rsid w:val="00F947E1"/>
    <w:rsid w:val="00F94904"/>
    <w:rsid w:val="00F94AA4"/>
    <w:rsid w:val="00F94ADC"/>
    <w:rsid w:val="00F94C06"/>
    <w:rsid w:val="00F954D1"/>
    <w:rsid w:val="00F9552C"/>
    <w:rsid w:val="00F956E1"/>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B7B"/>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6D2"/>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9DD"/>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011"/>
    <w:rsid w:val="00FB71BF"/>
    <w:rsid w:val="00FB7272"/>
    <w:rsid w:val="00FB72A5"/>
    <w:rsid w:val="00FB73BA"/>
    <w:rsid w:val="00FB76D5"/>
    <w:rsid w:val="00FB78D6"/>
    <w:rsid w:val="00FB7C52"/>
    <w:rsid w:val="00FB7D3F"/>
    <w:rsid w:val="00FB7DCA"/>
    <w:rsid w:val="00FB7FE2"/>
    <w:rsid w:val="00FC05AA"/>
    <w:rsid w:val="00FC065A"/>
    <w:rsid w:val="00FC087A"/>
    <w:rsid w:val="00FC08FC"/>
    <w:rsid w:val="00FC0923"/>
    <w:rsid w:val="00FC0C57"/>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3B2"/>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4B2"/>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5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5A1"/>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 w:val="073571F2"/>
    <w:rsid w:val="09A22A9A"/>
    <w:rsid w:val="204400A1"/>
    <w:rsid w:val="2C466334"/>
    <w:rsid w:val="2E124748"/>
    <w:rsid w:val="442365D5"/>
    <w:rsid w:val="508E7A28"/>
    <w:rsid w:val="62C148D1"/>
    <w:rsid w:val="63211DE2"/>
    <w:rsid w:val="64DD49F1"/>
    <w:rsid w:val="6A4867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33"/>
    <w:qFormat/>
    <w:uiPriority w:val="99"/>
    <w:pPr>
      <w:keepNext/>
      <w:keepLines/>
      <w:spacing w:before="260" w:after="260" w:line="416" w:lineRule="auto"/>
      <w:outlineLvl w:val="2"/>
    </w:pPr>
    <w:rPr>
      <w:b/>
      <w:bCs/>
      <w:sz w:val="32"/>
      <w:szCs w:val="32"/>
    </w:rPr>
  </w:style>
  <w:style w:type="character" w:default="1" w:styleId="24">
    <w:name w:val="Default Paragraph Font"/>
    <w:semiHidden/>
    <w:uiPriority w:val="99"/>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99"/>
    <w:pPr>
      <w:ind w:left="1260"/>
    </w:pPr>
    <w:rPr>
      <w:sz w:val="18"/>
      <w:szCs w:val="18"/>
    </w:rPr>
  </w:style>
  <w:style w:type="paragraph" w:styleId="6">
    <w:name w:val="Document Map"/>
    <w:basedOn w:val="1"/>
    <w:link w:val="34"/>
    <w:semiHidden/>
    <w:qFormat/>
    <w:uiPriority w:val="99"/>
    <w:pPr>
      <w:shd w:val="clear" w:color="auto" w:fill="000080"/>
    </w:pPr>
  </w:style>
  <w:style w:type="paragraph" w:styleId="7">
    <w:name w:val="Body Text Indent"/>
    <w:basedOn w:val="1"/>
    <w:link w:val="35"/>
    <w:qFormat/>
    <w:uiPriority w:val="99"/>
    <w:pPr>
      <w:autoSpaceDE w:val="0"/>
      <w:autoSpaceDN w:val="0"/>
      <w:adjustRightInd w:val="0"/>
      <w:ind w:firstLine="420" w:firstLineChars="200"/>
    </w:pPr>
    <w:rPr>
      <w:lang w:val="zh-CN"/>
    </w:rPr>
  </w:style>
  <w:style w:type="paragraph" w:styleId="8">
    <w:name w:val="toc 5"/>
    <w:basedOn w:val="1"/>
    <w:next w:val="1"/>
    <w:semiHidden/>
    <w:qFormat/>
    <w:uiPriority w:val="99"/>
    <w:pPr>
      <w:ind w:left="840"/>
    </w:pPr>
    <w:rPr>
      <w:sz w:val="18"/>
      <w:szCs w:val="18"/>
    </w:rPr>
  </w:style>
  <w:style w:type="paragraph" w:styleId="9">
    <w:name w:val="toc 3"/>
    <w:basedOn w:val="1"/>
    <w:next w:val="1"/>
    <w:semiHidden/>
    <w:qFormat/>
    <w:uiPriority w:val="99"/>
    <w:pPr>
      <w:ind w:left="840" w:leftChars="400"/>
    </w:pPr>
    <w:rPr>
      <w:color w:val="800080"/>
    </w:rPr>
  </w:style>
  <w:style w:type="paragraph" w:styleId="10">
    <w:name w:val="toc 8"/>
    <w:basedOn w:val="1"/>
    <w:next w:val="1"/>
    <w:semiHidden/>
    <w:qFormat/>
    <w:uiPriority w:val="99"/>
    <w:pPr>
      <w:ind w:left="1470"/>
    </w:pPr>
    <w:rPr>
      <w:sz w:val="18"/>
      <w:szCs w:val="18"/>
    </w:rPr>
  </w:style>
  <w:style w:type="paragraph" w:styleId="11">
    <w:name w:val="Date"/>
    <w:basedOn w:val="1"/>
    <w:next w:val="1"/>
    <w:link w:val="36"/>
    <w:qFormat/>
    <w:uiPriority w:val="99"/>
    <w:pPr>
      <w:ind w:left="100" w:leftChars="2500"/>
    </w:pPr>
    <w:rPr>
      <w:sz w:val="20"/>
      <w:szCs w:val="20"/>
      <w:lang w:val="zh-CN"/>
    </w:rPr>
  </w:style>
  <w:style w:type="paragraph" w:styleId="12">
    <w:name w:val="Body Text Indent 2"/>
    <w:basedOn w:val="1"/>
    <w:link w:val="37"/>
    <w:qFormat/>
    <w:uiPriority w:val="99"/>
    <w:pPr>
      <w:tabs>
        <w:tab w:val="left" w:pos="2520"/>
      </w:tabs>
      <w:ind w:firstLine="435"/>
    </w:pPr>
  </w:style>
  <w:style w:type="paragraph" w:styleId="13">
    <w:name w:val="Balloon Text"/>
    <w:basedOn w:val="1"/>
    <w:link w:val="38"/>
    <w:semiHidden/>
    <w:qFormat/>
    <w:uiPriority w:val="99"/>
    <w:rPr>
      <w:sz w:val="18"/>
      <w:szCs w:val="18"/>
    </w:rPr>
  </w:style>
  <w:style w:type="paragraph" w:styleId="14">
    <w:name w:val="footer"/>
    <w:basedOn w:val="1"/>
    <w:link w:val="39"/>
    <w:qFormat/>
    <w:uiPriority w:val="99"/>
    <w:pPr>
      <w:tabs>
        <w:tab w:val="center" w:pos="4153"/>
        <w:tab w:val="right" w:pos="8306"/>
      </w:tabs>
      <w:snapToGrid w:val="0"/>
    </w:pPr>
    <w:rPr>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tabs>
        <w:tab w:val="left" w:pos="420"/>
        <w:tab w:val="right" w:leader="dot" w:pos="8296"/>
      </w:tabs>
      <w:ind w:left="420" w:hanging="420"/>
    </w:pPr>
    <w:rPr>
      <w:b/>
      <w:bCs/>
      <w:color w:val="FF0000"/>
      <w:sz w:val="28"/>
      <w:szCs w:val="28"/>
    </w:rPr>
  </w:style>
  <w:style w:type="paragraph" w:styleId="17">
    <w:name w:val="toc 4"/>
    <w:basedOn w:val="1"/>
    <w:next w:val="1"/>
    <w:semiHidden/>
    <w:qFormat/>
    <w:uiPriority w:val="99"/>
    <w:pPr>
      <w:ind w:left="630"/>
    </w:pPr>
    <w:rPr>
      <w:sz w:val="18"/>
      <w:szCs w:val="18"/>
    </w:rPr>
  </w:style>
  <w:style w:type="paragraph" w:styleId="18">
    <w:name w:val="toc 6"/>
    <w:basedOn w:val="1"/>
    <w:next w:val="1"/>
    <w:semiHidden/>
    <w:qFormat/>
    <w:uiPriority w:val="99"/>
    <w:pPr>
      <w:ind w:left="1050"/>
    </w:pPr>
    <w:rPr>
      <w:sz w:val="18"/>
      <w:szCs w:val="18"/>
    </w:rPr>
  </w:style>
  <w:style w:type="paragraph" w:styleId="19">
    <w:name w:val="Body Text Indent 3"/>
    <w:basedOn w:val="1"/>
    <w:link w:val="41"/>
    <w:qFormat/>
    <w:uiPriority w:val="99"/>
    <w:pPr>
      <w:autoSpaceDE w:val="0"/>
      <w:autoSpaceDN w:val="0"/>
      <w:adjustRightInd w:val="0"/>
      <w:spacing w:line="360" w:lineRule="auto"/>
      <w:ind w:firstLine="630" w:firstLineChars="300"/>
    </w:pPr>
    <w:rPr>
      <w:color w:val="000000"/>
    </w:rPr>
  </w:style>
  <w:style w:type="paragraph" w:styleId="20">
    <w:name w:val="toc 2"/>
    <w:basedOn w:val="1"/>
    <w:next w:val="1"/>
    <w:semiHidden/>
    <w:qFormat/>
    <w:uiPriority w:val="99"/>
    <w:pPr>
      <w:ind w:left="420" w:leftChars="200"/>
    </w:pPr>
  </w:style>
  <w:style w:type="paragraph" w:styleId="21">
    <w:name w:val="toc 9"/>
    <w:basedOn w:val="1"/>
    <w:next w:val="1"/>
    <w:semiHidden/>
    <w:qFormat/>
    <w:uiPriority w:val="99"/>
    <w:pPr>
      <w:ind w:left="1680"/>
    </w:pPr>
    <w:rPr>
      <w:sz w:val="18"/>
      <w:szCs w:val="18"/>
    </w:rPr>
  </w:style>
  <w:style w:type="paragraph" w:styleId="22">
    <w:name w:val="HTML Preformatted"/>
    <w:basedOn w:val="1"/>
    <w:link w:val="4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paragraph" w:styleId="23">
    <w:name w:val="Normal (Web)"/>
    <w:basedOn w:val="1"/>
    <w:qFormat/>
    <w:uiPriority w:val="99"/>
    <w:pPr>
      <w:spacing w:before="100" w:beforeAutospacing="1" w:after="100" w:afterAutospacing="1"/>
    </w:pPr>
  </w:style>
  <w:style w:type="character" w:styleId="25">
    <w:name w:val="Strong"/>
    <w:basedOn w:val="24"/>
    <w:qFormat/>
    <w:uiPriority w:val="99"/>
    <w:rPr>
      <w:b/>
      <w:bCs/>
    </w:rPr>
  </w:style>
  <w:style w:type="character" w:styleId="26">
    <w:name w:val="page number"/>
    <w:basedOn w:val="24"/>
    <w:qFormat/>
    <w:uiPriority w:val="99"/>
  </w:style>
  <w:style w:type="character" w:styleId="27">
    <w:name w:val="FollowedHyperlink"/>
    <w:basedOn w:val="24"/>
    <w:qFormat/>
    <w:uiPriority w:val="99"/>
    <w:rPr>
      <w:color w:val="333333"/>
      <w:u w:val="none"/>
    </w:rPr>
  </w:style>
  <w:style w:type="character" w:styleId="28">
    <w:name w:val="Hyperlink"/>
    <w:basedOn w:val="24"/>
    <w:qFormat/>
    <w:uiPriority w:val="99"/>
    <w:rPr>
      <w:color w:val="333333"/>
      <w:u w:val="none"/>
    </w:rPr>
  </w:style>
  <w:style w:type="table" w:styleId="30">
    <w:name w:val="Table Grid"/>
    <w:basedOn w:val="2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Heading 1 Char"/>
    <w:basedOn w:val="24"/>
    <w:link w:val="2"/>
    <w:qFormat/>
    <w:locked/>
    <w:uiPriority w:val="99"/>
    <w:rPr>
      <w:rFonts w:ascii="宋体" w:eastAsia="宋体" w:cs="宋体"/>
      <w:b/>
      <w:bCs/>
      <w:kern w:val="44"/>
      <w:sz w:val="44"/>
      <w:szCs w:val="44"/>
    </w:rPr>
  </w:style>
  <w:style w:type="character" w:customStyle="1" w:styleId="32">
    <w:name w:val="Heading 2 Char"/>
    <w:basedOn w:val="24"/>
    <w:link w:val="3"/>
    <w:qFormat/>
    <w:locked/>
    <w:uiPriority w:val="99"/>
    <w:rPr>
      <w:rFonts w:ascii="Arial" w:hAnsi="Arial" w:eastAsia="黑体" w:cs="Arial"/>
      <w:b/>
      <w:bCs/>
      <w:kern w:val="2"/>
      <w:sz w:val="32"/>
      <w:szCs w:val="32"/>
      <w:lang w:val="en-US" w:eastAsia="zh-CN"/>
    </w:rPr>
  </w:style>
  <w:style w:type="character" w:customStyle="1" w:styleId="33">
    <w:name w:val="Heading 3 Char"/>
    <w:basedOn w:val="24"/>
    <w:link w:val="4"/>
    <w:qFormat/>
    <w:locked/>
    <w:uiPriority w:val="99"/>
    <w:rPr>
      <w:rFonts w:eastAsia="宋体"/>
      <w:b/>
      <w:bCs/>
      <w:kern w:val="2"/>
      <w:sz w:val="32"/>
      <w:szCs w:val="32"/>
      <w:lang w:val="en-US" w:eastAsia="zh-CN"/>
    </w:rPr>
  </w:style>
  <w:style w:type="character" w:customStyle="1" w:styleId="34">
    <w:name w:val="Document Map Char"/>
    <w:basedOn w:val="24"/>
    <w:link w:val="6"/>
    <w:semiHidden/>
    <w:qFormat/>
    <w:locked/>
    <w:uiPriority w:val="99"/>
    <w:rPr>
      <w:kern w:val="0"/>
      <w:sz w:val="2"/>
      <w:szCs w:val="2"/>
    </w:rPr>
  </w:style>
  <w:style w:type="character" w:customStyle="1" w:styleId="35">
    <w:name w:val="Body Text Indent Char"/>
    <w:basedOn w:val="24"/>
    <w:link w:val="7"/>
    <w:semiHidden/>
    <w:qFormat/>
    <w:locked/>
    <w:uiPriority w:val="99"/>
    <w:rPr>
      <w:rFonts w:ascii="宋体" w:eastAsia="宋体" w:cs="宋体"/>
      <w:kern w:val="0"/>
      <w:sz w:val="24"/>
      <w:szCs w:val="24"/>
    </w:rPr>
  </w:style>
  <w:style w:type="character" w:customStyle="1" w:styleId="36">
    <w:name w:val="Date Char"/>
    <w:basedOn w:val="24"/>
    <w:link w:val="11"/>
    <w:semiHidden/>
    <w:qFormat/>
    <w:locked/>
    <w:uiPriority w:val="99"/>
    <w:rPr>
      <w:rFonts w:ascii="宋体" w:eastAsia="宋体" w:cs="宋体"/>
      <w:kern w:val="0"/>
      <w:sz w:val="24"/>
      <w:szCs w:val="24"/>
    </w:rPr>
  </w:style>
  <w:style w:type="character" w:customStyle="1" w:styleId="37">
    <w:name w:val="Body Text Indent 2 Char"/>
    <w:basedOn w:val="24"/>
    <w:link w:val="12"/>
    <w:semiHidden/>
    <w:qFormat/>
    <w:locked/>
    <w:uiPriority w:val="99"/>
    <w:rPr>
      <w:rFonts w:ascii="宋体" w:eastAsia="宋体" w:cs="宋体"/>
      <w:kern w:val="0"/>
      <w:sz w:val="24"/>
      <w:szCs w:val="24"/>
    </w:rPr>
  </w:style>
  <w:style w:type="character" w:customStyle="1" w:styleId="38">
    <w:name w:val="Balloon Text Char"/>
    <w:basedOn w:val="24"/>
    <w:link w:val="13"/>
    <w:semiHidden/>
    <w:qFormat/>
    <w:locked/>
    <w:uiPriority w:val="99"/>
    <w:rPr>
      <w:rFonts w:ascii="宋体" w:eastAsia="宋体" w:cs="宋体"/>
      <w:kern w:val="0"/>
      <w:sz w:val="2"/>
      <w:szCs w:val="2"/>
    </w:rPr>
  </w:style>
  <w:style w:type="character" w:customStyle="1" w:styleId="39">
    <w:name w:val="Footer Char"/>
    <w:basedOn w:val="24"/>
    <w:link w:val="14"/>
    <w:semiHidden/>
    <w:qFormat/>
    <w:locked/>
    <w:uiPriority w:val="99"/>
    <w:rPr>
      <w:rFonts w:ascii="宋体" w:eastAsia="宋体" w:cs="宋体"/>
      <w:kern w:val="0"/>
      <w:sz w:val="18"/>
      <w:szCs w:val="18"/>
    </w:rPr>
  </w:style>
  <w:style w:type="character" w:customStyle="1" w:styleId="40">
    <w:name w:val="Header Char"/>
    <w:basedOn w:val="24"/>
    <w:link w:val="15"/>
    <w:semiHidden/>
    <w:qFormat/>
    <w:locked/>
    <w:uiPriority w:val="99"/>
    <w:rPr>
      <w:rFonts w:ascii="宋体" w:eastAsia="宋体" w:cs="宋体"/>
      <w:kern w:val="0"/>
      <w:sz w:val="18"/>
      <w:szCs w:val="18"/>
    </w:rPr>
  </w:style>
  <w:style w:type="character" w:customStyle="1" w:styleId="41">
    <w:name w:val="Body Text Indent 3 Char"/>
    <w:basedOn w:val="24"/>
    <w:link w:val="19"/>
    <w:semiHidden/>
    <w:qFormat/>
    <w:locked/>
    <w:uiPriority w:val="99"/>
    <w:rPr>
      <w:rFonts w:ascii="宋体" w:eastAsia="宋体" w:cs="宋体"/>
      <w:kern w:val="0"/>
      <w:sz w:val="16"/>
      <w:szCs w:val="16"/>
    </w:rPr>
  </w:style>
  <w:style w:type="character" w:customStyle="1" w:styleId="42">
    <w:name w:val="HTML Preformatted Char"/>
    <w:basedOn w:val="24"/>
    <w:link w:val="22"/>
    <w:semiHidden/>
    <w:qFormat/>
    <w:locked/>
    <w:uiPriority w:val="99"/>
    <w:rPr>
      <w:rFonts w:ascii="Courier New" w:hAnsi="Courier New" w:cs="Courier New"/>
      <w:kern w:val="0"/>
      <w:sz w:val="20"/>
      <w:szCs w:val="20"/>
    </w:rPr>
  </w:style>
  <w:style w:type="paragraph" w:customStyle="1" w:styleId="43">
    <w:name w:val="Char Char Char"/>
    <w:basedOn w:val="1"/>
    <w:qFormat/>
    <w:uiPriority w:val="99"/>
    <w:pPr>
      <w:spacing w:after="160" w:line="240" w:lineRule="exact"/>
    </w:pPr>
    <w:rPr>
      <w:rFonts w:ascii="Verdana" w:hAnsi="Verdana" w:cs="Verdana"/>
      <w:sz w:val="20"/>
      <w:szCs w:val="20"/>
      <w:lang w:eastAsia="en-US"/>
    </w:rPr>
  </w:style>
  <w:style w:type="character" w:customStyle="1" w:styleId="44">
    <w:name w:val="标题 2 Char"/>
    <w:basedOn w:val="24"/>
    <w:qFormat/>
    <w:uiPriority w:val="99"/>
    <w:rPr>
      <w:rFonts w:ascii="Arial" w:hAnsi="Arial" w:eastAsia="黑体" w:cs="Arial"/>
      <w:b/>
      <w:bCs/>
      <w:kern w:val="2"/>
      <w:sz w:val="32"/>
      <w:szCs w:val="32"/>
      <w:lang w:val="en-US" w:eastAsia="zh-CN"/>
    </w:rPr>
  </w:style>
  <w:style w:type="character" w:customStyle="1" w:styleId="45">
    <w:name w:val="标题 3 Char"/>
    <w:basedOn w:val="24"/>
    <w:qFormat/>
    <w:uiPriority w:val="99"/>
    <w:rPr>
      <w:rFonts w:eastAsia="宋体"/>
      <w:b/>
      <w:bCs/>
      <w:kern w:val="2"/>
      <w:sz w:val="32"/>
      <w:szCs w:val="32"/>
      <w:lang w:val="en-US" w:eastAsia="zh-CN"/>
    </w:rPr>
  </w:style>
  <w:style w:type="paragraph" w:customStyle="1" w:styleId="46">
    <w:name w:val="font5"/>
    <w:basedOn w:val="1"/>
    <w:qFormat/>
    <w:uiPriority w:val="99"/>
    <w:pPr>
      <w:spacing w:before="100" w:beforeAutospacing="1" w:after="100" w:afterAutospacing="1"/>
    </w:pPr>
    <w:rPr>
      <w:sz w:val="20"/>
      <w:szCs w:val="20"/>
    </w:rPr>
  </w:style>
  <w:style w:type="paragraph" w:customStyle="1" w:styleId="47">
    <w:name w:val="font6"/>
    <w:basedOn w:val="1"/>
    <w:qFormat/>
    <w:uiPriority w:val="99"/>
    <w:pPr>
      <w:spacing w:before="100" w:beforeAutospacing="1" w:after="100" w:afterAutospacing="1"/>
    </w:pPr>
    <w:rPr>
      <w:sz w:val="18"/>
      <w:szCs w:val="18"/>
    </w:rPr>
  </w:style>
  <w:style w:type="paragraph" w:customStyle="1" w:styleId="48">
    <w:name w:val="font7"/>
    <w:basedOn w:val="1"/>
    <w:qFormat/>
    <w:uiPriority w:val="99"/>
    <w:pPr>
      <w:spacing w:before="100" w:beforeAutospacing="1" w:after="100" w:afterAutospacing="1"/>
    </w:pPr>
    <w:rPr>
      <w:rFonts w:hAnsi="Times New Roman"/>
      <w:sz w:val="20"/>
      <w:szCs w:val="20"/>
    </w:rPr>
  </w:style>
  <w:style w:type="paragraph" w:customStyle="1" w:styleId="49">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0">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Arial Unicode MS" w:eastAsia="黑体" w:cs="黑体"/>
      <w:sz w:val="20"/>
      <w:szCs w:val="20"/>
    </w:rPr>
  </w:style>
  <w:style w:type="paragraph" w:customStyle="1" w:styleId="52">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3">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4">
    <w:name w:val="xl2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5">
    <w:name w:val="xl3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6">
    <w:name w:val="xl3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7">
    <w:name w:val="xl3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8">
    <w:name w:val="xl3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9">
    <w:name w:val="xl3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0">
    <w:name w:val="xl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1">
    <w:name w:val="xl36"/>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2">
    <w:name w:val="xl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3">
    <w:name w:val="xl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64">
    <w:name w:val="xl3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5">
    <w:name w:val="xl40"/>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Arial Unicode MS" w:hAnsi="Arial Unicode MS" w:cs="Arial Unicode MS"/>
      <w:color w:val="000000"/>
      <w:sz w:val="20"/>
      <w:szCs w:val="20"/>
    </w:rPr>
  </w:style>
  <w:style w:type="paragraph" w:customStyle="1" w:styleId="66">
    <w:name w:val="font8"/>
    <w:basedOn w:val="1"/>
    <w:qFormat/>
    <w:uiPriority w:val="99"/>
    <w:pPr>
      <w:spacing w:before="100" w:beforeAutospacing="1" w:after="100" w:afterAutospacing="1"/>
    </w:pPr>
    <w:rPr>
      <w:rFonts w:ascii="Tahoma" w:hAnsi="Tahoma" w:cs="Tahoma"/>
      <w:sz w:val="20"/>
      <w:szCs w:val="20"/>
    </w:rPr>
  </w:style>
  <w:style w:type="paragraph" w:customStyle="1" w:styleId="67">
    <w:name w:val="xl4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8">
    <w:name w:val="f1"/>
    <w:basedOn w:val="1"/>
    <w:qFormat/>
    <w:uiPriority w:val="99"/>
    <w:pPr>
      <w:spacing w:before="100" w:beforeAutospacing="1" w:after="100" w:afterAutospacing="1" w:line="330" w:lineRule="atLeast"/>
    </w:pPr>
    <w:rPr>
      <w:color w:val="000000"/>
      <w:sz w:val="18"/>
      <w:szCs w:val="18"/>
    </w:rPr>
  </w:style>
  <w:style w:type="paragraph" w:customStyle="1" w:styleId="69">
    <w:name w:val="f3"/>
    <w:basedOn w:val="1"/>
    <w:qFormat/>
    <w:uiPriority w:val="99"/>
    <w:pPr>
      <w:spacing w:before="100" w:beforeAutospacing="1" w:after="100" w:afterAutospacing="1" w:line="330" w:lineRule="atLeast"/>
    </w:pPr>
    <w:rPr>
      <w:color w:val="000000"/>
      <w:sz w:val="16"/>
      <w:szCs w:val="16"/>
    </w:rPr>
  </w:style>
  <w:style w:type="paragraph" w:customStyle="1" w:styleId="70">
    <w:name w:val="f2"/>
    <w:basedOn w:val="1"/>
    <w:qFormat/>
    <w:uiPriority w:val="99"/>
    <w:pPr>
      <w:spacing w:before="100" w:beforeAutospacing="1" w:after="100" w:afterAutospacing="1" w:line="330" w:lineRule="atLeast"/>
    </w:pPr>
    <w:rPr>
      <w:color w:val="000000"/>
    </w:rPr>
  </w:style>
  <w:style w:type="paragraph" w:customStyle="1" w:styleId="71">
    <w:name w:val="font9"/>
    <w:basedOn w:val="1"/>
    <w:qFormat/>
    <w:uiPriority w:val="99"/>
    <w:pPr>
      <w:spacing w:before="100" w:beforeAutospacing="1" w:after="100" w:afterAutospacing="1"/>
    </w:pPr>
    <w:rPr>
      <w:sz w:val="20"/>
      <w:szCs w:val="20"/>
    </w:rPr>
  </w:style>
  <w:style w:type="paragraph" w:customStyle="1" w:styleId="72">
    <w:name w:val="xl42"/>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sz w:val="20"/>
      <w:szCs w:val="20"/>
    </w:rPr>
  </w:style>
  <w:style w:type="paragraph" w:customStyle="1" w:styleId="73">
    <w:name w:val="xl2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Arial Unicode MS"/>
      <w:color w:val="000000"/>
      <w:sz w:val="20"/>
      <w:szCs w:val="20"/>
    </w:rPr>
  </w:style>
  <w:style w:type="paragraph" w:customStyle="1" w:styleId="74">
    <w:name w:val="xl43"/>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color w:val="0000FF"/>
      <w:sz w:val="20"/>
      <w:szCs w:val="20"/>
    </w:rPr>
  </w:style>
  <w:style w:type="paragraph" w:customStyle="1" w:styleId="75">
    <w:name w:val="f0"/>
    <w:basedOn w:val="1"/>
    <w:qFormat/>
    <w:uiPriority w:val="99"/>
    <w:pPr>
      <w:spacing w:before="100" w:beforeAutospacing="1" w:after="100" w:afterAutospacing="1" w:line="270" w:lineRule="atLeast"/>
    </w:pPr>
    <w:rPr>
      <w:color w:val="000000"/>
      <w:sz w:val="18"/>
      <w:szCs w:val="18"/>
    </w:rPr>
  </w:style>
  <w:style w:type="paragraph" w:customStyle="1" w:styleId="76">
    <w:name w:val="f10"/>
    <w:basedOn w:val="1"/>
    <w:qFormat/>
    <w:uiPriority w:val="99"/>
    <w:pPr>
      <w:spacing w:before="100" w:beforeAutospacing="1" w:after="100" w:afterAutospacing="1" w:line="300" w:lineRule="atLeast"/>
    </w:pPr>
    <w:rPr>
      <w:color w:val="000000"/>
      <w:sz w:val="18"/>
      <w:szCs w:val="18"/>
    </w:rPr>
  </w:style>
  <w:style w:type="paragraph" w:customStyle="1" w:styleId="77">
    <w:name w:val="f4"/>
    <w:basedOn w:val="1"/>
    <w:qFormat/>
    <w:uiPriority w:val="99"/>
    <w:pPr>
      <w:spacing w:before="100" w:beforeAutospacing="1" w:after="100" w:afterAutospacing="1" w:line="330" w:lineRule="atLeast"/>
    </w:pPr>
    <w:rPr>
      <w:color w:val="000000"/>
      <w:sz w:val="18"/>
      <w:szCs w:val="18"/>
    </w:rPr>
  </w:style>
  <w:style w:type="paragraph" w:customStyle="1" w:styleId="78">
    <w:name w:val="f5"/>
    <w:basedOn w:val="1"/>
    <w:qFormat/>
    <w:uiPriority w:val="99"/>
    <w:pPr>
      <w:spacing w:before="100" w:beforeAutospacing="1" w:after="100" w:afterAutospacing="1" w:line="330" w:lineRule="atLeast"/>
    </w:pPr>
    <w:rPr>
      <w:color w:val="000000"/>
      <w:spacing w:val="15"/>
      <w:sz w:val="18"/>
      <w:szCs w:val="18"/>
    </w:rPr>
  </w:style>
  <w:style w:type="paragraph" w:customStyle="1" w:styleId="79">
    <w:name w:val="f6"/>
    <w:basedOn w:val="1"/>
    <w:qFormat/>
    <w:uiPriority w:val="99"/>
    <w:pPr>
      <w:spacing w:before="100" w:beforeAutospacing="1" w:after="100" w:afterAutospacing="1" w:line="330" w:lineRule="atLeast"/>
    </w:pPr>
    <w:rPr>
      <w:color w:val="000000"/>
      <w:spacing w:val="15"/>
      <w:sz w:val="18"/>
      <w:szCs w:val="18"/>
    </w:rPr>
  </w:style>
  <w:style w:type="paragraph" w:customStyle="1" w:styleId="80">
    <w:name w:val="f7"/>
    <w:basedOn w:val="1"/>
    <w:qFormat/>
    <w:uiPriority w:val="99"/>
    <w:pPr>
      <w:spacing w:before="100" w:beforeAutospacing="1" w:after="100" w:afterAutospacing="1" w:line="330" w:lineRule="atLeast"/>
    </w:pPr>
    <w:rPr>
      <w:color w:val="000000"/>
      <w:sz w:val="18"/>
      <w:szCs w:val="18"/>
    </w:rPr>
  </w:style>
  <w:style w:type="paragraph" w:customStyle="1" w:styleId="81">
    <w:name w:val="f8"/>
    <w:basedOn w:val="1"/>
    <w:qFormat/>
    <w:uiPriority w:val="99"/>
    <w:pPr>
      <w:spacing w:before="100" w:beforeAutospacing="1" w:after="100" w:afterAutospacing="1" w:line="330" w:lineRule="atLeast"/>
    </w:pPr>
    <w:rPr>
      <w:color w:val="000000"/>
      <w:spacing w:val="30"/>
    </w:rPr>
  </w:style>
  <w:style w:type="paragraph" w:customStyle="1" w:styleId="82">
    <w:name w:val="f8-hg"/>
    <w:basedOn w:val="1"/>
    <w:qFormat/>
    <w:uiPriority w:val="99"/>
    <w:pPr>
      <w:spacing w:before="100" w:beforeAutospacing="1" w:after="100" w:afterAutospacing="1" w:line="330" w:lineRule="atLeast"/>
    </w:pPr>
    <w:rPr>
      <w:color w:val="000000"/>
      <w:spacing w:val="30"/>
    </w:rPr>
  </w:style>
  <w:style w:type="paragraph" w:customStyle="1" w:styleId="83">
    <w:name w:val="fgj01"/>
    <w:basedOn w:val="1"/>
    <w:qFormat/>
    <w:uiPriority w:val="99"/>
    <w:pPr>
      <w:spacing w:before="100" w:beforeAutospacing="1" w:after="100" w:afterAutospacing="1" w:line="330" w:lineRule="atLeast"/>
    </w:pPr>
    <w:rPr>
      <w:b/>
      <w:bCs/>
      <w:color w:val="000000"/>
      <w:spacing w:val="15"/>
    </w:rPr>
  </w:style>
  <w:style w:type="paragraph" w:customStyle="1" w:styleId="84">
    <w:name w:val="fgj02"/>
    <w:basedOn w:val="1"/>
    <w:qFormat/>
    <w:uiPriority w:val="99"/>
    <w:pPr>
      <w:spacing w:before="100" w:beforeAutospacing="1" w:after="100" w:afterAutospacing="1" w:line="330" w:lineRule="atLeast"/>
    </w:pPr>
    <w:rPr>
      <w:b/>
      <w:bCs/>
      <w:color w:val="000000"/>
      <w:spacing w:val="15"/>
    </w:rPr>
  </w:style>
  <w:style w:type="paragraph" w:customStyle="1" w:styleId="85">
    <w:name w:val="custtext"/>
    <w:basedOn w:val="1"/>
    <w:qFormat/>
    <w:uiPriority w:val="99"/>
    <w:pPr>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pPr>
    <w:rPr>
      <w:color w:val="054B92"/>
      <w:sz w:val="18"/>
      <w:szCs w:val="18"/>
    </w:rPr>
  </w:style>
  <w:style w:type="paragraph" w:customStyle="1" w:styleId="86">
    <w:name w:val="buttons02"/>
    <w:basedOn w:val="1"/>
    <w:qFormat/>
    <w:uiPriority w:val="99"/>
    <w:pPr>
      <w:shd w:val="clear" w:color="auto" w:fill="D2E4FC"/>
      <w:spacing w:before="100" w:beforeAutospacing="1" w:after="100" w:afterAutospacing="1" w:line="330" w:lineRule="atLeast"/>
    </w:pPr>
    <w:rPr>
      <w:color w:val="000000"/>
    </w:rPr>
  </w:style>
  <w:style w:type="paragraph" w:customStyle="1" w:styleId="87">
    <w:name w:val="table301"/>
    <w:basedOn w:val="1"/>
    <w:qFormat/>
    <w:uiPriority w:val="99"/>
    <w:pPr>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pPr>
    <w:rPr>
      <w:color w:val="000000"/>
    </w:rPr>
  </w:style>
  <w:style w:type="paragraph" w:customStyle="1" w:styleId="88">
    <w:name w:val="table302"/>
    <w:basedOn w:val="1"/>
    <w:qFormat/>
    <w:uiPriority w:val="99"/>
    <w:pPr>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pPr>
    <w:rPr>
      <w:color w:val="000000"/>
    </w:rPr>
  </w:style>
  <w:style w:type="paragraph" w:customStyle="1" w:styleId="89">
    <w:name w:val="table303"/>
    <w:basedOn w:val="1"/>
    <w:qFormat/>
    <w:uiPriority w:val="99"/>
    <w:pPr>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pPr>
    <w:rPr>
      <w:color w:val="000000"/>
    </w:rPr>
  </w:style>
  <w:style w:type="paragraph" w:customStyle="1" w:styleId="90">
    <w:name w:val="table304"/>
    <w:basedOn w:val="1"/>
    <w:qFormat/>
    <w:uiPriority w:val="99"/>
    <w:pPr>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pPr>
    <w:rPr>
      <w:color w:val="000000"/>
    </w:rPr>
  </w:style>
  <w:style w:type="paragraph" w:customStyle="1" w:styleId="91">
    <w:name w:val="table305"/>
    <w:basedOn w:val="1"/>
    <w:qFormat/>
    <w:uiPriority w:val="99"/>
    <w:pPr>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pPr>
    <w:rPr>
      <w:color w:val="000000"/>
    </w:rPr>
  </w:style>
  <w:style w:type="paragraph" w:customStyle="1" w:styleId="92">
    <w:name w:val="stedit"/>
    <w:basedOn w:val="1"/>
    <w:qFormat/>
    <w:uiPriority w:val="99"/>
    <w:pPr>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pPr>
    <w:rPr>
      <w:color w:val="000000"/>
      <w:sz w:val="18"/>
      <w:szCs w:val="18"/>
    </w:rPr>
  </w:style>
  <w:style w:type="paragraph" w:customStyle="1" w:styleId="93">
    <w:name w:val="stedit1"/>
    <w:basedOn w:val="1"/>
    <w:qFormat/>
    <w:uiPriority w:val="99"/>
    <w:pPr>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pPr>
    <w:rPr>
      <w:color w:val="000000"/>
      <w:sz w:val="18"/>
      <w:szCs w:val="18"/>
    </w:rPr>
  </w:style>
  <w:style w:type="character" w:customStyle="1" w:styleId="94">
    <w:name w:val="f41"/>
    <w:basedOn w:val="24"/>
    <w:qFormat/>
    <w:uiPriority w:val="99"/>
    <w:rPr>
      <w:rFonts w:ascii="宋体" w:hAnsi="宋体" w:eastAsia="宋体" w:cs="宋体"/>
      <w:sz w:val="18"/>
      <w:szCs w:val="18"/>
    </w:rPr>
  </w:style>
  <w:style w:type="character" w:customStyle="1" w:styleId="95">
    <w:name w:val="f21"/>
    <w:basedOn w:val="24"/>
    <w:qFormat/>
    <w:uiPriority w:val="99"/>
    <w:rPr>
      <w:rFonts w:ascii="宋体" w:hAnsi="宋体" w:eastAsia="宋体" w:cs="宋体"/>
      <w:sz w:val="21"/>
      <w:szCs w:val="21"/>
    </w:rPr>
  </w:style>
  <w:style w:type="paragraph" w:customStyle="1" w:styleId="96">
    <w:name w:val="font10"/>
    <w:basedOn w:val="1"/>
    <w:qFormat/>
    <w:uiPriority w:val="99"/>
    <w:pPr>
      <w:spacing w:before="100" w:beforeAutospacing="1" w:after="100" w:afterAutospacing="1"/>
    </w:pPr>
    <w:rPr>
      <w:b/>
      <w:bCs/>
      <w:color w:val="FFFFFF"/>
      <w:sz w:val="18"/>
      <w:szCs w:val="18"/>
    </w:rPr>
  </w:style>
  <w:style w:type="paragraph" w:customStyle="1" w:styleId="97">
    <w:name w:val="font11"/>
    <w:basedOn w:val="1"/>
    <w:qFormat/>
    <w:uiPriority w:val="99"/>
    <w:pPr>
      <w:spacing w:before="100" w:beforeAutospacing="1" w:after="100" w:afterAutospacing="1"/>
    </w:pPr>
    <w:rPr>
      <w:b/>
      <w:bCs/>
      <w:color w:val="FFFFFF"/>
      <w:sz w:val="18"/>
      <w:szCs w:val="18"/>
    </w:rPr>
  </w:style>
  <w:style w:type="paragraph" w:customStyle="1" w:styleId="98">
    <w:name w:val="xl44"/>
    <w:basedOn w:val="1"/>
    <w:qFormat/>
    <w:uiPriority w:val="99"/>
    <w:pPr>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b/>
      <w:bCs/>
      <w:sz w:val="18"/>
      <w:szCs w:val="18"/>
    </w:rPr>
  </w:style>
  <w:style w:type="paragraph" w:customStyle="1" w:styleId="99">
    <w:name w:val="xl4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00">
    <w:name w:val="xl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FF6600"/>
      <w:sz w:val="20"/>
      <w:szCs w:val="20"/>
    </w:rPr>
  </w:style>
  <w:style w:type="paragraph" w:customStyle="1" w:styleId="101">
    <w:name w:val="xl4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0000FF"/>
      <w:sz w:val="20"/>
      <w:szCs w:val="20"/>
    </w:rPr>
  </w:style>
  <w:style w:type="paragraph" w:customStyle="1" w:styleId="102">
    <w:name w:val="xl4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3">
    <w:name w:val="xl4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4">
    <w:name w:val="xl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sz w:val="20"/>
      <w:szCs w:val="20"/>
    </w:rPr>
  </w:style>
  <w:style w:type="paragraph" w:customStyle="1" w:styleId="105">
    <w:name w:val="xl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6600"/>
      <w:sz w:val="20"/>
      <w:szCs w:val="20"/>
    </w:rPr>
  </w:style>
  <w:style w:type="paragraph" w:customStyle="1" w:styleId="106">
    <w:name w:val="xl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07">
    <w:name w:val="xl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8">
    <w:name w:val="xl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9">
    <w:name w:val="xl5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10">
    <w:name w:val="xl56"/>
    <w:basedOn w:val="1"/>
    <w:qFormat/>
    <w:uiPriority w:val="99"/>
    <w:pPr>
      <w:spacing w:before="100" w:beforeAutospacing="1" w:after="100" w:afterAutospacing="1"/>
      <w:jc w:val="center"/>
      <w:textAlignment w:val="bottom"/>
    </w:pPr>
    <w:rPr>
      <w:sz w:val="20"/>
      <w:szCs w:val="20"/>
    </w:rPr>
  </w:style>
  <w:style w:type="paragraph" w:customStyle="1" w:styleId="111">
    <w:name w:val="xl57"/>
    <w:basedOn w:val="1"/>
    <w:qFormat/>
    <w:uiPriority w:val="99"/>
    <w:pPr>
      <w:spacing w:before="100" w:beforeAutospacing="1" w:after="100" w:afterAutospacing="1"/>
      <w:textAlignment w:val="top"/>
    </w:pPr>
    <w:rPr>
      <w:sz w:val="20"/>
      <w:szCs w:val="20"/>
    </w:rPr>
  </w:style>
  <w:style w:type="paragraph" w:customStyle="1" w:styleId="112">
    <w:name w:val="xl58"/>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3">
    <w:name w:val="xl5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4">
    <w:name w:val="xl60"/>
    <w:basedOn w:val="1"/>
    <w:qFormat/>
    <w:uiPriority w:val="99"/>
    <w:pPr>
      <w:spacing w:before="100" w:beforeAutospacing="1" w:after="100" w:afterAutospacing="1"/>
      <w:jc w:val="center"/>
      <w:textAlignment w:val="bottom"/>
    </w:pPr>
    <w:rPr>
      <w:color w:val="0000FF"/>
      <w:sz w:val="20"/>
      <w:szCs w:val="20"/>
    </w:rPr>
  </w:style>
  <w:style w:type="paragraph" w:customStyle="1" w:styleId="115">
    <w:name w:val="xl6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6">
    <w:name w:val="xl62"/>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7">
    <w:name w:val="xl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18">
    <w:name w:val="xl64"/>
    <w:basedOn w:val="1"/>
    <w:qFormat/>
    <w:uiPriority w:val="99"/>
    <w:pPr>
      <w:spacing w:before="100" w:beforeAutospacing="1" w:after="100" w:afterAutospacing="1"/>
      <w:textAlignment w:val="bottom"/>
    </w:pPr>
    <w:rPr>
      <w:sz w:val="20"/>
      <w:szCs w:val="20"/>
    </w:rPr>
  </w:style>
  <w:style w:type="paragraph" w:customStyle="1" w:styleId="119">
    <w:name w:val="xl65"/>
    <w:basedOn w:val="1"/>
    <w:qFormat/>
    <w:uiPriority w:val="99"/>
    <w:pPr>
      <w:spacing w:before="100" w:beforeAutospacing="1" w:after="100" w:afterAutospacing="1"/>
      <w:textAlignment w:val="top"/>
    </w:pPr>
    <w:rPr>
      <w:sz w:val="20"/>
      <w:szCs w:val="20"/>
    </w:rPr>
  </w:style>
  <w:style w:type="paragraph" w:customStyle="1" w:styleId="120">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1">
    <w:name w:val="xl67"/>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2">
    <w:name w:val="xl68"/>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3">
    <w:name w:val="xl6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4">
    <w:name w:val="xl7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25">
    <w:name w:val="xl71"/>
    <w:basedOn w:val="1"/>
    <w:qFormat/>
    <w:uiPriority w:val="99"/>
    <w:pPr>
      <w:pBdr>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6">
    <w:name w:val="xl72"/>
    <w:basedOn w:val="1"/>
    <w:qFormat/>
    <w:uiPriority w:val="99"/>
    <w:pPr>
      <w:pBdr>
        <w:bottom w:val="single" w:color="auto" w:sz="4" w:space="0"/>
        <w:right w:val="single" w:color="auto" w:sz="4" w:space="0"/>
      </w:pBdr>
      <w:spacing w:before="100" w:beforeAutospacing="1" w:after="100" w:afterAutospacing="1"/>
      <w:jc w:val="center"/>
    </w:pPr>
    <w:rPr>
      <w:sz w:val="20"/>
      <w:szCs w:val="20"/>
    </w:rPr>
  </w:style>
  <w:style w:type="paragraph" w:customStyle="1" w:styleId="127">
    <w:name w:val="xl73"/>
    <w:basedOn w:val="1"/>
    <w:qFormat/>
    <w:uiPriority w:val="99"/>
    <w:pPr>
      <w:pBdr>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28">
    <w:name w:val="xl74"/>
    <w:basedOn w:val="1"/>
    <w:qFormat/>
    <w:uiPriority w:val="99"/>
    <w:pPr>
      <w:pBdr>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29">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30">
    <w:name w:val="xl76"/>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31">
    <w:name w:val="xl77"/>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sz w:val="20"/>
      <w:szCs w:val="20"/>
    </w:rPr>
  </w:style>
  <w:style w:type="paragraph" w:customStyle="1" w:styleId="132">
    <w:name w:val="xl78"/>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3">
    <w:name w:val="xl79"/>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4">
    <w:name w:val="xl8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35">
    <w:name w:val="xl81"/>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36">
    <w:name w:val="xl82"/>
    <w:basedOn w:val="1"/>
    <w:qFormat/>
    <w:uiPriority w:val="99"/>
    <w:pPr>
      <w:pBdr>
        <w:bottom w:val="single" w:color="auto" w:sz="4" w:space="0"/>
        <w:right w:val="single" w:color="auto" w:sz="4" w:space="0"/>
      </w:pBdr>
      <w:spacing w:before="100" w:beforeAutospacing="1" w:after="100" w:afterAutospacing="1"/>
    </w:pPr>
    <w:rPr>
      <w:sz w:val="20"/>
      <w:szCs w:val="20"/>
    </w:rPr>
  </w:style>
  <w:style w:type="paragraph" w:customStyle="1" w:styleId="137">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38">
    <w:name w:val="xl8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39">
    <w:name w:val="xl85"/>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40">
    <w:name w:val="xl86"/>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1">
    <w:name w:val="xl87"/>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2">
    <w:name w:val="xl88"/>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3">
    <w:name w:val="xl89"/>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4">
    <w:name w:val="xl9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5">
    <w:name w:val="xl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6">
    <w:name w:val="xl92"/>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47">
    <w:name w:val="xl93"/>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8">
    <w:name w:val="xl94"/>
    <w:basedOn w:val="1"/>
    <w:qFormat/>
    <w:uiPriority w:val="99"/>
    <w:pPr>
      <w:pBdr>
        <w:left w:val="single" w:color="auto" w:sz="4" w:space="0"/>
      </w:pBdr>
      <w:spacing w:before="100" w:beforeAutospacing="1" w:after="100" w:afterAutospacing="1"/>
      <w:jc w:val="center"/>
      <w:textAlignment w:val="bottom"/>
    </w:pPr>
    <w:rPr>
      <w:sz w:val="20"/>
      <w:szCs w:val="20"/>
    </w:rPr>
  </w:style>
  <w:style w:type="paragraph" w:customStyle="1" w:styleId="149">
    <w:name w:val="xl95"/>
    <w:basedOn w:val="1"/>
    <w:qFormat/>
    <w:uiPriority w:val="99"/>
    <w:pPr>
      <w:pBdr>
        <w:right w:val="single" w:color="auto" w:sz="4" w:space="0"/>
      </w:pBdr>
      <w:spacing w:before="100" w:beforeAutospacing="1" w:after="100" w:afterAutospacing="1"/>
      <w:jc w:val="center"/>
      <w:textAlignment w:val="bottom"/>
    </w:pPr>
    <w:rPr>
      <w:sz w:val="20"/>
      <w:szCs w:val="20"/>
    </w:rPr>
  </w:style>
  <w:style w:type="paragraph" w:customStyle="1" w:styleId="150">
    <w:name w:val="xl96"/>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51">
    <w:name w:val="xl97"/>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2">
    <w:name w:val="xl98"/>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53">
    <w:name w:val="xl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54">
    <w:name w:val="xl10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5">
    <w:name w:val="xl10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6">
    <w:name w:val="xl10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7">
    <w:name w:val="xl103"/>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8">
    <w:name w:val="xl104"/>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9">
    <w:name w:val="xl105"/>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0">
    <w:name w:val="xl106"/>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1">
    <w:name w:val="xl107"/>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2">
    <w:name w:val="xl10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3">
    <w:name w:val="xl109"/>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164">
    <w:name w:val="xl110"/>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5">
    <w:name w:val="xl111"/>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6">
    <w:name w:val="xl112"/>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7">
    <w:name w:val="xl113"/>
    <w:basedOn w:val="1"/>
    <w:qFormat/>
    <w:uiPriority w:val="99"/>
    <w:pPr>
      <w:pBdr>
        <w:left w:val="single" w:color="auto" w:sz="4" w:space="0"/>
        <w:right w:val="single" w:color="auto" w:sz="4" w:space="0"/>
      </w:pBdr>
      <w:spacing w:before="100" w:beforeAutospacing="1" w:after="100" w:afterAutospacing="1"/>
      <w:textAlignment w:val="top"/>
    </w:pPr>
    <w:rPr>
      <w:sz w:val="20"/>
      <w:szCs w:val="20"/>
    </w:rPr>
  </w:style>
  <w:style w:type="paragraph" w:customStyle="1" w:styleId="168">
    <w:name w:val="xl114"/>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character" w:customStyle="1" w:styleId="169">
    <w:name w:val="showtext"/>
    <w:basedOn w:val="24"/>
    <w:qFormat/>
    <w:uiPriority w:val="99"/>
  </w:style>
  <w:style w:type="character" w:customStyle="1" w:styleId="170">
    <w:name w:val="style161"/>
    <w:basedOn w:val="24"/>
    <w:qFormat/>
    <w:uiPriority w:val="99"/>
    <w:rPr>
      <w:sz w:val="24"/>
      <w:szCs w:val="24"/>
    </w:rPr>
  </w:style>
  <w:style w:type="character" w:customStyle="1" w:styleId="171">
    <w:name w:val="style171"/>
    <w:basedOn w:val="24"/>
    <w:qFormat/>
    <w:uiPriority w:val="99"/>
    <w:rPr>
      <w:sz w:val="21"/>
      <w:szCs w:val="21"/>
    </w:rPr>
  </w:style>
  <w:style w:type="paragraph" w:customStyle="1" w:styleId="172">
    <w:name w:val="z-Top of Form1"/>
    <w:basedOn w:val="1"/>
    <w:next w:val="1"/>
    <w:link w:val="173"/>
    <w:qFormat/>
    <w:uiPriority w:val="99"/>
    <w:pPr>
      <w:pBdr>
        <w:bottom w:val="single" w:color="auto" w:sz="6" w:space="1"/>
      </w:pBdr>
      <w:jc w:val="center"/>
    </w:pPr>
    <w:rPr>
      <w:rFonts w:ascii="Arial" w:hAnsi="Arial" w:cs="Arial"/>
      <w:vanish/>
      <w:sz w:val="16"/>
      <w:szCs w:val="16"/>
    </w:rPr>
  </w:style>
  <w:style w:type="character" w:customStyle="1" w:styleId="173">
    <w:name w:val="z-Top of Form Char"/>
    <w:basedOn w:val="24"/>
    <w:link w:val="172"/>
    <w:semiHidden/>
    <w:qFormat/>
    <w:locked/>
    <w:uiPriority w:val="99"/>
    <w:rPr>
      <w:rFonts w:ascii="Arial" w:hAnsi="Arial" w:cs="Arial"/>
      <w:vanish/>
      <w:kern w:val="0"/>
      <w:sz w:val="16"/>
      <w:szCs w:val="16"/>
    </w:rPr>
  </w:style>
  <w:style w:type="paragraph" w:customStyle="1" w:styleId="174">
    <w:name w:val="z-Bottom of Form1"/>
    <w:basedOn w:val="1"/>
    <w:next w:val="1"/>
    <w:link w:val="175"/>
    <w:qFormat/>
    <w:uiPriority w:val="99"/>
    <w:pPr>
      <w:pBdr>
        <w:top w:val="single" w:color="auto" w:sz="6" w:space="1"/>
      </w:pBdr>
      <w:jc w:val="center"/>
    </w:pPr>
    <w:rPr>
      <w:rFonts w:ascii="Arial" w:hAnsi="Arial" w:cs="Arial"/>
      <w:vanish/>
      <w:sz w:val="16"/>
      <w:szCs w:val="16"/>
    </w:rPr>
  </w:style>
  <w:style w:type="character" w:customStyle="1" w:styleId="175">
    <w:name w:val="z-Bottom of Form Char"/>
    <w:basedOn w:val="24"/>
    <w:link w:val="174"/>
    <w:semiHidden/>
    <w:qFormat/>
    <w:locked/>
    <w:uiPriority w:val="99"/>
    <w:rPr>
      <w:rFonts w:ascii="Arial" w:hAnsi="Arial" w:cs="Arial"/>
      <w:vanish/>
      <w:kern w:val="0"/>
      <w:sz w:val="16"/>
      <w:szCs w:val="16"/>
    </w:rPr>
  </w:style>
  <w:style w:type="paragraph" w:customStyle="1" w:styleId="176">
    <w:name w:val="Char Char Char Char"/>
    <w:basedOn w:val="1"/>
    <w:qFormat/>
    <w:uiPriority w:val="99"/>
    <w:pPr>
      <w:spacing w:after="160" w:line="240" w:lineRule="exact"/>
    </w:pPr>
    <w:rPr>
      <w:rFonts w:ascii="Verdana" w:hAnsi="Verdana" w:cs="Verdana"/>
      <w:sz w:val="20"/>
      <w:szCs w:val="20"/>
      <w:lang w:eastAsia="en-US"/>
    </w:rPr>
  </w:style>
  <w:style w:type="paragraph" w:customStyle="1" w:styleId="177">
    <w:name w:val="unnamed1"/>
    <w:basedOn w:val="1"/>
    <w:qFormat/>
    <w:uiPriority w:val="99"/>
    <w:pPr>
      <w:spacing w:line="330" w:lineRule="atLeast"/>
    </w:pPr>
  </w:style>
  <w:style w:type="character" w:customStyle="1" w:styleId="178">
    <w:name w:val="f31"/>
    <w:basedOn w:val="24"/>
    <w:qFormat/>
    <w:uiPriority w:val="99"/>
    <w:rPr>
      <w:rFonts w:ascii="??" w:hAnsi="??" w:cs="??"/>
      <w:color w:val="auto"/>
      <w:sz w:val="16"/>
      <w:szCs w:val="16"/>
    </w:rPr>
  </w:style>
  <w:style w:type="paragraph" w:customStyle="1" w:styleId="179">
    <w:name w:val="Char"/>
    <w:basedOn w:val="1"/>
    <w:qFormat/>
    <w:uiPriority w:val="99"/>
    <w:pPr>
      <w:spacing w:after="160" w:line="240" w:lineRule="exact"/>
    </w:pPr>
    <w:rPr>
      <w:rFonts w:ascii="Verdana" w:hAnsi="Verdana" w:cs="Verdana"/>
      <w:sz w:val="20"/>
      <w:szCs w:val="20"/>
      <w:lang w:eastAsia="en-US"/>
    </w:rPr>
  </w:style>
  <w:style w:type="character" w:customStyle="1" w:styleId="180">
    <w:name w:val="real-price price gray"/>
    <w:basedOn w:val="24"/>
    <w:qFormat/>
    <w:uiPriority w:val="99"/>
  </w:style>
  <w:style w:type="paragraph" w:customStyle="1" w:styleId="181">
    <w:name w:val="change-wrap"/>
    <w:basedOn w:val="1"/>
    <w:qFormat/>
    <w:uiPriority w:val="99"/>
    <w:pPr>
      <w:spacing w:before="100" w:beforeAutospacing="1" w:after="100" w:afterAutospacing="1"/>
    </w:pPr>
  </w:style>
  <w:style w:type="character" w:customStyle="1" w:styleId="182">
    <w:name w:val="amt-value"/>
    <w:basedOn w:val="24"/>
    <w:qFormat/>
    <w:uiPriority w:val="99"/>
  </w:style>
  <w:style w:type="character" w:customStyle="1" w:styleId="183">
    <w:name w:val="amt"/>
    <w:basedOn w:val="24"/>
    <w:qFormat/>
    <w:uiPriority w:val="99"/>
  </w:style>
  <w:style w:type="paragraph" w:customStyle="1" w:styleId="184">
    <w:name w:val="trade-time time"/>
    <w:basedOn w:val="1"/>
    <w:qFormat/>
    <w:uiPriority w:val="99"/>
    <w:pPr>
      <w:spacing w:before="100" w:beforeAutospacing="1" w:after="100" w:afterAutospacing="1"/>
    </w:pPr>
  </w:style>
  <w:style w:type="character" w:customStyle="1" w:styleId="185">
    <w:name w:val="real-price price green"/>
    <w:basedOn w:val="24"/>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8"/>
    <customShpInfo spid="_x0000_s1029"/>
    <customShpInfo spid="_x0000_s1030"/>
    <customShpInfo spid="_x0000_s1031"/>
    <customShpInfo spid="_x0000_s1032"/>
    <customShpInfo spid="_x0000_s1033"/>
    <customShpInfo spid="_x0000_s1034"/>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1429</Words>
  <Characters>8149</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2017-05-03T02:17:00Z</dcterms:created>
  <dc:creator>yly</dc:creator>
  <cp:lastModifiedBy>Administrator</cp:lastModifiedBy>
  <cp:lastPrinted>2012-08-08T01:39:00Z</cp:lastPrinted>
  <dcterms:modified xsi:type="dcterms:W3CDTF">2017-05-08T02:56:11Z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