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CA079E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C71290" w:rsidRDefault="00C71290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71290" w:rsidRPr="002436E1" w:rsidRDefault="00C71290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A079E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C71290" w:rsidRPr="00AA7D43" w:rsidRDefault="00C71290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395773">
                    <w:rPr>
                      <w:rFonts w:ascii="黑体" w:eastAsia="黑体" w:hint="eastAsia"/>
                      <w:b/>
                      <w:color w:val="993366"/>
                    </w:rPr>
                    <w:t>30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A079E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CA079E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A079E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C71290" w:rsidRPr="00585F64" w:rsidRDefault="00CA079E" w:rsidP="00585F64">
                  <w:r w:rsidRPr="00CA079E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CA079E" w:rsidP="001B6B20">
      <w:pPr>
        <w:ind w:firstLineChars="196" w:firstLine="470"/>
        <w:rPr>
          <w:b/>
          <w:color w:val="FF0000"/>
        </w:rPr>
      </w:pPr>
      <w:r w:rsidRPr="00CA079E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C71290" w:rsidRPr="00E46B76" w:rsidRDefault="00C71290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71290" w:rsidRPr="00AD271F" w:rsidRDefault="00C71290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CA079E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CA079E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95253A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A5294B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71290" w:rsidRPr="00184142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CA079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A079E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CA079E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A079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A079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CA079E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CA079E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F707E0" w:rsidRDefault="00224CF3" w:rsidP="00F707E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F707E0">
        <w:rPr>
          <w:sz w:val="21"/>
          <w:szCs w:val="21"/>
        </w:rPr>
        <w:t>周三亚洲燃料油市场价格走高，交投清淡，但交易商表示，全球渣油库存上升，料将限制短期内燃料油价格大幅上涨。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普氏能源资讯的数据显示，3月27日截止当周，在阿联酋富查伊拉石油工业区的重质馏份油和渣油库存增至1,233万桶(约184万吨)，创下自1月份开始记录此数据以来的最高水平。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路透石油研究的数据显示，3月份运往东亚市场的燃料油总量不到700万吨，而先前预期接近约730万吨，因一些船货将于4月运达，其余船货被转移至中东贸易中心富查伊拉。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估计总流入量在680-690万吨，连续第三个月远高于2016年每月不到600万吨的平均值，因西方船货数量高于均值，而且来自中东的船货数量创下纪录高位。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尽管原油价格上涨，但周三新加坡4月180CST燃料油较迪拜原油的贴水较前一日缩窄4美分为每桶贴水4.14美元。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周二原油价格上涨使新加坡180CST燃料油裂解价差跌至每桶贴水4.18美元，触及自3月3日以来的最宽贴水价。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消息人士表示，新加坡时间1800(1000 GMT)时，伦敦洲际交易所(ICE)交易的380CST燃料油4月/5月跨月价差较前一日缩窄了10美分，达到每吨贴水约0.10美元。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中达成四笔380CST燃料油交易，总计10万吨。壳牌公司从摩科瑞公司手中购买了2万吨4月19-23日装380CST燃料油船货，成交价为每吨286.00美元;贡沃尔和卢克公司分别售给中石油公司2万吨4月13-17日装380CST燃料油船货，售价均为每吨较MOPS-0.50美元;卢克公司从英国石油公司手中购买了4万吨4月13-17日装380CST燃料油船货，成交价为每吨较MOPS 4月均价贴水0.25美元。</w:t>
      </w:r>
    </w:p>
    <w:p w:rsidR="00F707E0" w:rsidRDefault="00F707E0" w:rsidP="00F707E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相关消息，本周在瑞士聚首的主要石油贸易商表示，他们预期如果俄罗斯认真执行减产的话，石油输出国组织(简称：欧佩克)和非欧佩克产油国将延长减产协议以限制今年下半年的产量。</w:t>
      </w:r>
    </w:p>
    <w:p w:rsidR="00224CF3" w:rsidRPr="00F707E0" w:rsidRDefault="00224CF3" w:rsidP="00F707E0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5755EC">
      <w:pPr>
        <w:pStyle w:val="a8"/>
        <w:rPr>
          <w:rFonts w:ascii="Arial" w:hAnsi="Arial" w:cs="Arial" w:hint="eastAsia"/>
          <w:sz w:val="21"/>
          <w:szCs w:val="21"/>
        </w:rPr>
      </w:pPr>
    </w:p>
    <w:p w:rsidR="00B9328D" w:rsidRDefault="00B9328D" w:rsidP="005755EC">
      <w:pPr>
        <w:pStyle w:val="a8"/>
        <w:rPr>
          <w:rFonts w:ascii="Arial" w:hAnsi="Arial" w:cs="Arial"/>
          <w:sz w:val="21"/>
          <w:szCs w:val="21"/>
        </w:rPr>
      </w:pPr>
    </w:p>
    <w:p w:rsidR="00F7137A" w:rsidRPr="006A62FA" w:rsidRDefault="00F7137A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711884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-0.88/-0.84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-0.55/-0.51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7.26/7.30 </w:t>
            </w:r>
          </w:p>
        </w:tc>
      </w:tr>
      <w:tr w:rsidR="00711884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292.19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298.76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50.39</w:t>
            </w:r>
          </w:p>
        </w:tc>
      </w:tr>
      <w:tr w:rsidR="00711884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287.99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281.66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49.79</w:t>
            </w:r>
          </w:p>
        </w:tc>
      </w:tr>
      <w:tr w:rsidR="00711884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284.88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278.75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49.33 </w:t>
            </w:r>
          </w:p>
        </w:tc>
      </w:tr>
      <w:tr w:rsidR="00711884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286.25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279.93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292.69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49.54</w:t>
            </w:r>
          </w:p>
        </w:tc>
      </w:tr>
      <w:tr w:rsidR="00711884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288.24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282.34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294.73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49.89 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711884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287.1</w:t>
            </w:r>
          </w:p>
        </w:tc>
      </w:tr>
      <w:tr w:rsidR="00711884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282.75</w:t>
            </w:r>
          </w:p>
        </w:tc>
      </w:tr>
      <w:tr w:rsidR="00711884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280.05</w:t>
            </w:r>
          </w:p>
        </w:tc>
      </w:tr>
      <w:tr w:rsidR="00711884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</w:t>
            </w:r>
          </w:p>
        </w:tc>
      </w:tr>
      <w:tr w:rsidR="00711884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283.75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1188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</w:tr>
      <w:tr w:rsidR="0071188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71188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279.5</w:t>
            </w:r>
          </w:p>
        </w:tc>
      </w:tr>
      <w:tr w:rsidR="0071188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</w:tr>
      <w:tr w:rsidR="0071188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F7137A" w:rsidRDefault="00F7137A" w:rsidP="008E1102"/>
    <w:p w:rsidR="00F7137A" w:rsidRDefault="00F7137A" w:rsidP="008E1102"/>
    <w:p w:rsidR="00F7137A" w:rsidRDefault="00F7137A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71188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296.05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290.14 </w:t>
            </w:r>
          </w:p>
        </w:tc>
      </w:tr>
      <w:tr w:rsidR="0071188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292.07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285.74 </w:t>
            </w:r>
          </w:p>
        </w:tc>
      </w:tr>
      <w:tr w:rsidR="0071188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289.09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282.96 </w:t>
            </w:r>
          </w:p>
        </w:tc>
      </w:tr>
      <w:tr w:rsidR="0071188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290.46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284.14 </w:t>
            </w:r>
          </w:p>
        </w:tc>
      </w:tr>
      <w:tr w:rsidR="0071188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292.74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286.84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711884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3.75/4.25</w:t>
            </w:r>
          </w:p>
        </w:tc>
      </w:tr>
      <w:tr w:rsidR="00711884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281.47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275.56</w:t>
            </w:r>
          </w:p>
        </w:tc>
      </w:tr>
      <w:tr w:rsidR="00711884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277.27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270.94</w:t>
            </w:r>
          </w:p>
        </w:tc>
      </w:tr>
      <w:tr w:rsidR="00711884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274.39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268.26</w:t>
            </w:r>
          </w:p>
        </w:tc>
      </w:tr>
      <w:tr w:rsidR="00711884" w:rsidRPr="00275BC9" w:rsidTr="00584C4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275.31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268.99</w:t>
            </w:r>
          </w:p>
        </w:tc>
      </w:tr>
      <w:tr w:rsidR="00711884" w:rsidRPr="00275BC9" w:rsidTr="00F74078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276.84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270.94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711884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302.17 </w:t>
            </w:r>
          </w:p>
        </w:tc>
      </w:tr>
      <w:tr w:rsidR="00711884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298.19 </w:t>
            </w:r>
          </w:p>
        </w:tc>
      </w:tr>
      <w:tr w:rsidR="00711884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295.31 </w:t>
            </w:r>
          </w:p>
        </w:tc>
      </w:tr>
      <w:tr w:rsidR="00711884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297.13 </w:t>
            </w:r>
          </w:p>
        </w:tc>
      </w:tr>
      <w:tr w:rsidR="00711884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299.58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711884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291.75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270.75 </w:t>
            </w:r>
          </w:p>
        </w:tc>
      </w:tr>
      <w:tr w:rsidR="00711884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266.25 </w:t>
            </w:r>
          </w:p>
        </w:tc>
      </w:tr>
      <w:tr w:rsidR="00711884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  <w:tr w:rsidR="00711884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261.50 </w:t>
            </w:r>
          </w:p>
        </w:tc>
      </w:tr>
      <w:tr w:rsidR="00711884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84" w:rsidRDefault="007118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260.25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BE3067" w:rsidRDefault="00224CF3" w:rsidP="00BE3067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2A29">
        <w:rPr>
          <w:sz w:val="21"/>
          <w:szCs w:val="21"/>
        </w:rPr>
        <w:t xml:space="preserve">　</w:t>
      </w:r>
      <w:r w:rsidR="00BE3067">
        <w:rPr>
          <w:sz w:val="21"/>
          <w:szCs w:val="21"/>
        </w:rPr>
        <w:t>周三(3月29日)非标油零星报跌 市场走势偏弱。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美国今年钻井平台数量稳步上升，达到2015年9月以来的最高水平，原油产量的增加威胁着减少全球库存的努力，油价一直面临着抛盘压力，利比亚冲突中断了该国原油生产，缓解了部分投资者对原油供应过剩的担忧，原油期货周二走高。周三国内市场华南船用油市场(以广州、深圳和福建为基准)国产混调180CST库提估价为3350-3500元/吨(详见船用油日评)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区内燃料油市场走势持续守稳为主，市场未起较大波澜，商家多按需操作为主，市场购销气氛较为平稳，截止目前，区内国产油浆市场估价2200-2300元/吨，沥青料市场估价2450-2550元/吨，均较前一工作日持平，预计未来短期内华南燃料油市场走势依旧守稳为主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受原油价格走势利空因素影响，区内非标油市场行情持续偏弱，业者待市情绪消极，商家备货积极性不高，报价方面，东莞东长车用调和柴油(密度0.85左右，燃料油票)报跌100元至5000元/吨，中海油湛江炼厂常一线报跌50元至4700元/吨，周二原油价格虽回涨，但期内非标油市场看涨氛围薄弱，短期走势或持续偏弱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炼油盈亏方面：华南炼油盈亏：截止3月29日，广东小炼厂直馏燃料油理论炼油亏损1275元/吨，较上周亏损减少25元。炼厂炼油成本方面，近期因美国原油产量的增加威胁着减少全球库存的努力，油价一直面临着抛盘压力，利比亚冲突中断了该国原油生产，部分缓解了投资者对原油供应过剩的担忧，原油期货周二走高。截至今日，WTI结算价由48.04美元震荡上涨至48.37美元/桶，新加坡180CST燃料油现货价受原油价格持续震荡利空因素影响，由287.94美元震荡至287.99美元/吨，燃料油进口成本较上周窄幅下降，以新加坡现货来测算，截止3月29日，进口直馏燃料油广东理论价约287.99美元/吨(折合人民币3935元/吨)，华南燃料油销售价较上窄幅减少，以此计算地方炼厂理论炼油亏损1275元/吨，较上周亏损减少25元/吨。近期马瑞原油市场购销较为平稳，区内现货成交估价2770元/吨左右，较上周三持平，炼厂理论炼油亏损78元/吨，较上周三增加21元。炼厂销售收入方面，截止3月29日，华南减一线油市场估价3300元/吨，均较上周跌20元，减二3250元/吨、减三3250元/吨、顶线油2800元/吨，均较上周跌50元，渣油1800元/吨，较上周三持平，以此计算销售收入在2660元/吨，较上周三窄幅减少。</w:t>
      </w:r>
    </w:p>
    <w:p w:rsidR="00224CF3" w:rsidRPr="00BE3067" w:rsidRDefault="00224CF3" w:rsidP="00BE3067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lastRenderedPageBreak/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BE3067" w:rsidRDefault="00224CF3" w:rsidP="00BE306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E3067">
        <w:rPr>
          <w:sz w:val="21"/>
          <w:szCs w:val="21"/>
        </w:rPr>
        <w:t xml:space="preserve">　周三(3月29日)，燃料油市场表现稳定，炼厂出货有压力。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利比亚冲突中断了该国原油生产，部分缓解了投资者对原油供应过剩的担忧，外盘WTI原油最新收盘价在48.37美元/桶，但也并未摆脱下行压力。地炼进入检修高峰期后，市场资源减少，无奈看空情绪弥漫，市场上的活跃度也不高，不过，燃料油市场继续下挫的空间有限，短期内行情或将有好转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2200-2300元/吨，价格较昨日持平，炼厂出货有一定压力。近日外盘原油的走势趋于平稳，但燃料油市场仍有较大的下行压力，另外，周边如山东地区的油浆价格还在小幅收跌，华东中高密油浆的出货承压也有些增加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自成品油下调落实后，地炼表现较为平静，因先前非标油的利空已经有较大程度的释放，同时，下游的调和油市场也无大的下行压力。据悉，中油兴能常一线报价4700元/吨。华东外销的非标油资源虽然少，但山东非标油乃至进口轻循环油资源都较为丰富，炼厂出货还是有一些压力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Pr="00BE3067" w:rsidRDefault="00224CF3" w:rsidP="00BE3067">
      <w:pPr>
        <w:pStyle w:val="a8"/>
        <w:rPr>
          <w:sz w:val="21"/>
          <w:szCs w:val="21"/>
        </w:rPr>
      </w:pPr>
    </w:p>
    <w:p w:rsidR="00224CF3" w:rsidRPr="00AA4262" w:rsidRDefault="00224CF3" w:rsidP="00AA4262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BE3067" w:rsidRDefault="00224CF3" w:rsidP="00BE306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BE3067">
        <w:rPr>
          <w:sz w:val="21"/>
          <w:szCs w:val="21"/>
        </w:rPr>
        <w:t xml:space="preserve">　周三(3月29日)，国际原油窄幅回涨，山东市场平稳观望。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利比亚冲突中断原油生产，部分缓解投资者对原油供应过剩担忧，周二原油期货走高，纽交所5月美国WTI原油期货结算价为48.37美元，伦敦洲际交易所5月布伦特原油期货结算价为51.33美元。俄罗斯M100成交估价3870-3970元/吨，贴水34-36美元/吨，马瑞原油(含重质油票)成交估价2620-2720元/吨，稀释沥青(沥青票 密度0.98)主流成交价2670-2770元/吨。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三山东地区优质焦化料(沥青票，密度1.0左右，硫含量1.0左右)市场估价在2700-2800元/吨，渣油票市场估价为2800-2900元/吨，较前一工作日持平，今山东地区减渣报价零星走低，市场购销气氛相对平稳，短期焦化料市场或主稳为主。</w:t>
      </w:r>
    </w:p>
    <w:p w:rsidR="00BE3067" w:rsidRDefault="00BE3067" w:rsidP="00BE306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油浆市场，周三山东地区高密油浆市场成交估价2300-2400元/吨，低密油浆成交估价2400-2500元/吨，较前一工作日持平，今山东地炼油浆报价零星补跌，整体出货仍差强人</w:t>
      </w:r>
      <w:r>
        <w:rPr>
          <w:sz w:val="21"/>
          <w:szCs w:val="21"/>
        </w:rPr>
        <w:lastRenderedPageBreak/>
        <w:t>意，虽然外盘周二国际原油窄幅回涨，但短期走势不明对山东油浆无明显拉动，预计周内油浆价格或呈稳中零星盘整之势。</w:t>
      </w:r>
    </w:p>
    <w:p w:rsidR="008E5074" w:rsidRPr="00BE3067" w:rsidRDefault="008E5074" w:rsidP="00BE3067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5838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583804">
              <w:rPr>
                <w:rFonts w:hint="eastAsia"/>
                <w:b/>
                <w:bCs/>
                <w:sz w:val="20"/>
                <w:szCs w:val="20"/>
              </w:rPr>
              <w:t>9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5838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583804"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596E7E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596E7E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6E7E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02AF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B61890" w:rsidRDefault="009F02A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9F02AF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B61890" w:rsidRDefault="009F02A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41E7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02AF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421F8" w:rsidRDefault="009F02AF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02AF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421F8" w:rsidRDefault="009F02AF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lastRenderedPageBreak/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583804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583804">
              <w:rPr>
                <w:rFonts w:hint="eastAsia"/>
                <w:sz w:val="20"/>
                <w:szCs w:val="20"/>
              </w:rPr>
              <w:t>816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5838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583804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</w:tcPr>
          <w:p w:rsidR="00224CF3" w:rsidRDefault="00224CF3" w:rsidP="00583804">
            <w:r w:rsidRPr="00B165CC">
              <w:rPr>
                <w:sz w:val="20"/>
                <w:szCs w:val="20"/>
              </w:rPr>
              <w:t>3</w:t>
            </w:r>
            <w:r w:rsidR="00A105E4">
              <w:rPr>
                <w:rFonts w:hint="eastAsia"/>
                <w:sz w:val="20"/>
                <w:szCs w:val="20"/>
              </w:rPr>
              <w:t>8</w:t>
            </w:r>
            <w:r w:rsidR="0058380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</w:tcPr>
          <w:p w:rsidR="00224CF3" w:rsidRDefault="00224CF3" w:rsidP="00583804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583804">
              <w:rPr>
                <w:rFonts w:hint="eastAsia"/>
                <w:sz w:val="20"/>
                <w:szCs w:val="20"/>
              </w:rPr>
              <w:t>0</w:t>
            </w:r>
            <w:r w:rsidR="00A105E4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224CF3" w:rsidRDefault="00224CF3" w:rsidP="00583804">
            <w:r w:rsidRPr="00B165CC">
              <w:rPr>
                <w:sz w:val="20"/>
                <w:szCs w:val="20"/>
              </w:rPr>
              <w:t>3</w:t>
            </w:r>
            <w:r w:rsidR="00A105E4">
              <w:rPr>
                <w:rFonts w:hint="eastAsia"/>
                <w:sz w:val="20"/>
                <w:szCs w:val="20"/>
              </w:rPr>
              <w:t>8</w:t>
            </w:r>
            <w:r w:rsidR="0058380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8" w:type="dxa"/>
            <w:noWrap/>
          </w:tcPr>
          <w:p w:rsidR="00224CF3" w:rsidRDefault="00224CF3" w:rsidP="00583804">
            <w:r w:rsidRPr="00B165CC">
              <w:rPr>
                <w:sz w:val="20"/>
                <w:szCs w:val="20"/>
              </w:rPr>
              <w:t>3</w:t>
            </w:r>
            <w:r w:rsidR="00583804">
              <w:rPr>
                <w:rFonts w:hint="eastAsia"/>
                <w:sz w:val="20"/>
                <w:szCs w:val="20"/>
              </w:rPr>
              <w:t>757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583804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-59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A105E4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583804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4543DD" w:rsidP="0058380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83804">
              <w:rPr>
                <w:rFonts w:hint="eastAsia"/>
                <w:sz w:val="20"/>
                <w:szCs w:val="20"/>
              </w:rPr>
              <w:t>9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583804">
        <w:rPr>
          <w:rFonts w:cs="Arial" w:hint="eastAsia"/>
          <w:sz w:val="21"/>
          <w:szCs w:val="21"/>
        </w:rPr>
        <w:t>三</w:t>
      </w:r>
      <w:r>
        <w:rPr>
          <w:rFonts w:cs="Arial"/>
          <w:sz w:val="21"/>
          <w:szCs w:val="21"/>
        </w:rPr>
        <w:t>上期所燃料油期货市场共成交</w:t>
      </w:r>
      <w:r w:rsidR="00A105E4">
        <w:rPr>
          <w:rFonts w:ascii="Arial" w:hAnsi="Arial" w:cs="Arial" w:hint="eastAsia"/>
          <w:sz w:val="21"/>
          <w:szCs w:val="21"/>
        </w:rPr>
        <w:t>4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 w:rsidR="0073580D">
        <w:rPr>
          <w:rFonts w:ascii="Arial" w:hAnsi="Arial" w:cs="Arial" w:hint="eastAsia"/>
          <w:sz w:val="21"/>
          <w:szCs w:val="21"/>
        </w:rPr>
        <w:t>4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</w:t>
      </w:r>
      <w:r w:rsidR="00583804">
        <w:rPr>
          <w:rFonts w:ascii="Arial" w:hAnsi="Arial" w:cs="Arial" w:hint="eastAsia"/>
          <w:sz w:val="20"/>
          <w:szCs w:val="20"/>
        </w:rPr>
        <w:t>815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2675C7">
        <w:rPr>
          <w:rFonts w:ascii="Arial" w:hAnsi="Arial" w:cs="Arial" w:hint="eastAsia"/>
          <w:sz w:val="20"/>
          <w:szCs w:val="20"/>
        </w:rPr>
        <w:t>7</w:t>
      </w:r>
      <w:r w:rsidR="00583804">
        <w:rPr>
          <w:rFonts w:ascii="Arial" w:hAnsi="Arial" w:cs="Arial" w:hint="eastAsia"/>
          <w:sz w:val="20"/>
          <w:szCs w:val="20"/>
        </w:rPr>
        <w:t>57</w:t>
      </w:r>
      <w:r>
        <w:rPr>
          <w:rFonts w:cs="Arial"/>
          <w:sz w:val="21"/>
          <w:szCs w:val="21"/>
        </w:rPr>
        <w:t>吨，结算价较前一工作日</w:t>
      </w:r>
      <w:r w:rsidR="00583804">
        <w:rPr>
          <w:rFonts w:cs="Arial" w:hint="eastAsia"/>
          <w:sz w:val="21"/>
          <w:szCs w:val="21"/>
        </w:rPr>
        <w:t>下跌59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73580D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583804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lastRenderedPageBreak/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07" w:rsidRDefault="00060F07">
      <w:r>
        <w:separator/>
      </w:r>
    </w:p>
  </w:endnote>
  <w:endnote w:type="continuationSeparator" w:id="1">
    <w:p w:rsidR="00060F07" w:rsidRDefault="0006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A079E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C71290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C71290" w:rsidRDefault="00C71290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Pr="003924D3" w:rsidRDefault="00CA079E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C71290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711884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C71290" w:rsidRPr="003924D3" w:rsidRDefault="00C71290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07" w:rsidRDefault="00060F07">
      <w:r>
        <w:separator/>
      </w:r>
    </w:p>
  </w:footnote>
  <w:footnote w:type="continuationSeparator" w:id="1">
    <w:p w:rsidR="00060F07" w:rsidRDefault="00060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A07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71290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71290" w:rsidRPr="000837A8" w:rsidRDefault="00CA079E" w:rsidP="00670367">
    <w:pPr>
      <w:pStyle w:val="a4"/>
      <w:jc w:val="both"/>
      <w:rPr>
        <w:b/>
        <w:color w:val="808080"/>
        <w:sz w:val="21"/>
        <w:szCs w:val="21"/>
      </w:rPr>
    </w:pPr>
    <w:r w:rsidRPr="00CA07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C71290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C71290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>
      <w:rPr>
        <w:rFonts w:ascii="Tahoma" w:hAnsi="Tahoma" w:cs="Tahoma"/>
        <w:b/>
        <w:shadow/>
        <w:color w:val="000080"/>
        <w:sz w:val="30"/>
        <w:szCs w:val="30"/>
      </w:rPr>
      <w:t>day r</w:t>
    </w:r>
    <w:r w:rsidR="00C71290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C71290" w:rsidRPr="000837A8">
      <w:rPr>
        <w:b/>
        <w:color w:val="808080"/>
        <w:sz w:val="21"/>
        <w:szCs w:val="21"/>
      </w:rPr>
      <w:t>—</w:t>
    </w:r>
    <w:r w:rsidR="00C71290">
      <w:rPr>
        <w:rFonts w:hint="eastAsia"/>
        <w:b/>
        <w:color w:val="FF0000"/>
        <w:sz w:val="21"/>
        <w:szCs w:val="21"/>
      </w:rPr>
      <w:t>燃料油</w:t>
    </w:r>
    <w:r w:rsidR="00C71290" w:rsidRPr="00670367">
      <w:rPr>
        <w:b/>
        <w:color w:val="FF6600"/>
        <w:sz w:val="21"/>
        <w:szCs w:val="21"/>
      </w:rPr>
      <w:t xml:space="preserve"> </w:t>
    </w:r>
    <w:r w:rsidR="00C71290" w:rsidRPr="000B32F9">
      <w:rPr>
        <w:color w:val="FF6600"/>
        <w:sz w:val="21"/>
        <w:szCs w:val="21"/>
      </w:rPr>
      <w:t xml:space="preserve"> </w:t>
    </w:r>
    <w:r w:rsidR="00C71290" w:rsidRPr="000B32F9">
      <w:rPr>
        <w:rFonts w:hint="eastAsia"/>
        <w:color w:val="0000FF"/>
        <w:sz w:val="21"/>
        <w:szCs w:val="21"/>
      </w:rPr>
      <w:t>信息咨询及订购热线：</w:t>
    </w:r>
    <w:r w:rsidR="00C71290" w:rsidRPr="000B32F9">
      <w:rPr>
        <w:color w:val="0000FF"/>
        <w:sz w:val="21"/>
        <w:szCs w:val="21"/>
      </w:rPr>
      <w:t>010-5830</w:t>
    </w:r>
    <w:r w:rsidR="00C71290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A07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12</Pages>
  <Words>1389</Words>
  <Characters>7920</Characters>
  <Application>Microsoft Office Word</Application>
  <DocSecurity>0</DocSecurity>
  <Lines>66</Lines>
  <Paragraphs>18</Paragraphs>
  <ScaleCrop>false</ScaleCrop>
  <Company>Microsoft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938</cp:revision>
  <cp:lastPrinted>2012-08-08T01:39:00Z</cp:lastPrinted>
  <dcterms:created xsi:type="dcterms:W3CDTF">2017-02-04T00:57:00Z</dcterms:created>
  <dcterms:modified xsi:type="dcterms:W3CDTF">2017-03-30T02:20:00Z</dcterms:modified>
</cp:coreProperties>
</file>