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1C6F2D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1C6F2D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601F66">
                    <w:rPr>
                      <w:rFonts w:ascii="黑体" w:eastAsia="黑体" w:hint="eastAsia"/>
                      <w:b/>
                      <w:color w:val="993366"/>
                    </w:rPr>
                    <w:t>2</w:t>
                  </w:r>
                  <w:r w:rsidR="00733C7F">
                    <w:rPr>
                      <w:rFonts w:ascii="黑体" w:eastAsia="黑体" w:hint="eastAsia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1C6F2D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1C6F2D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9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1C6F2D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1C6F2D" w:rsidP="00585F64">
                  <w:r w:rsidRPr="001C6F2D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1C6F2D" w:rsidP="00A97304">
      <w:pPr>
        <w:ind w:firstLineChars="196" w:firstLine="470"/>
        <w:rPr>
          <w:b/>
          <w:color w:val="FF0000"/>
        </w:rPr>
      </w:pPr>
      <w:r w:rsidRPr="001C6F2D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1C6F2D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10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1C6F2D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1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2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1C6F2D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1C6F2D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1C6F2D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1C6F2D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1C6F2D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1C6F2D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1C6F2D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43258E" w:rsidRDefault="002B3B43" w:rsidP="0043258E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77C52">
        <w:rPr>
          <w:sz w:val="21"/>
          <w:szCs w:val="21"/>
        </w:rPr>
        <w:t xml:space="preserve">　</w:t>
      </w:r>
      <w:r w:rsidR="0043258E">
        <w:rPr>
          <w:sz w:val="21"/>
          <w:szCs w:val="21"/>
        </w:rPr>
        <w:t>周二亚洲燃料油市场持稳。180CST高硫燃料油3月和4月时间贴水扩大，380CST高硫燃料油时间小幅攀升。380CST现货差价创6个月新低，周一收报-1.44美元/吨。最低值出现在去年8月3日，报2.07美元/吨。</w:t>
      </w:r>
    </w:p>
    <w:p w:rsidR="0043258E" w:rsidRDefault="0043258E" w:rsidP="004325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预计3月供应坚挺，2月预计600万吨船货由西方运往东方，3月抵运量预计在400-500万吨。</w:t>
      </w:r>
    </w:p>
    <w:p w:rsidR="0043258E" w:rsidRDefault="0043258E" w:rsidP="004325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2月17日，洲际交易所新加坡即月高硫燃料油衍生品未平仓合约成交1631.5万吨，过去出现更高成交量是在2015年6月29日，录得1632.8万吨。</w:t>
      </w:r>
    </w:p>
    <w:p w:rsidR="0043258E" w:rsidRDefault="0043258E" w:rsidP="004325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3月新加坡380CST高硫燃料油衍生品未平仓合约增长75.04%至960.6万吨，而1月底在548.8万吨。180CST高硫燃料油直接交换2月中旬未平仓合约，较1月31日的121.9万吨降低4.62%。</w:t>
      </w:r>
    </w:p>
    <w:p w:rsidR="002B3B43" w:rsidRPr="0043258E" w:rsidRDefault="002B3B43" w:rsidP="0043258E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DE67F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-0.48/-0.44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-1.36/-1.32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6.66/6.70 </w:t>
            </w:r>
          </w:p>
        </w:tc>
      </w:tr>
      <w:tr w:rsidR="00DE67F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323.79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317.91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331.08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54.36</w:t>
            </w:r>
          </w:p>
        </w:tc>
      </w:tr>
      <w:tr w:rsidR="00DE67F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323.02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317.63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54.29</w:t>
            </w:r>
          </w:p>
        </w:tc>
      </w:tr>
      <w:tr w:rsidR="00DE67F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54.08</w:t>
            </w:r>
          </w:p>
        </w:tc>
      </w:tr>
      <w:tr w:rsidR="00DE67F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54.92</w:t>
            </w:r>
          </w:p>
        </w:tc>
      </w:tr>
      <w:tr w:rsidR="00DE67F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54.22</w:t>
            </w:r>
          </w:p>
        </w:tc>
      </w:tr>
    </w:tbl>
    <w:p w:rsidR="002B3B43" w:rsidRDefault="002B3B43" w:rsidP="004C6F1F"/>
    <w:p w:rsidR="002B3B43" w:rsidRDefault="002B3B43" w:rsidP="004C6F1F"/>
    <w:p w:rsidR="002B3B43" w:rsidRDefault="002B3B43" w:rsidP="004C6F1F"/>
    <w:p w:rsidR="00085D44" w:rsidRDefault="00085D44" w:rsidP="004C6F1F"/>
    <w:p w:rsidR="00085D44" w:rsidRDefault="00085D44" w:rsidP="004C6F1F"/>
    <w:p w:rsidR="002B3B43" w:rsidRDefault="002B3B43" w:rsidP="004C6F1F"/>
    <w:p w:rsidR="002B3B43" w:rsidRDefault="002B3B43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DE67F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316.95</w:t>
            </w:r>
          </w:p>
        </w:tc>
      </w:tr>
      <w:tr w:rsidR="00DE67F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</w:t>
            </w:r>
          </w:p>
        </w:tc>
      </w:tr>
      <w:tr w:rsidR="00DE67F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314.95</w:t>
            </w:r>
          </w:p>
        </w:tc>
      </w:tr>
      <w:tr w:rsidR="00DE67F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214.75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</w:tr>
      <w:tr w:rsidR="00DE67F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2月15日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C26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E42" w:rsidRDefault="00C26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  <w:tr w:rsidR="00C26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E42" w:rsidRDefault="00C26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  <w:tr w:rsidR="00C26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E42" w:rsidRDefault="00C26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</w:tr>
      <w:tr w:rsidR="00C26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E42" w:rsidRDefault="00C26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</w:t>
            </w:r>
          </w:p>
        </w:tc>
      </w:tr>
      <w:tr w:rsidR="00C26E4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E42" w:rsidRDefault="00C26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E42" w:rsidRDefault="00C26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DE67F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321.37 </w:t>
            </w:r>
          </w:p>
        </w:tc>
      </w:tr>
      <w:tr w:rsidR="00DE67F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326.80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321.41 </w:t>
            </w:r>
          </w:p>
        </w:tc>
      </w:tr>
      <w:tr w:rsidR="00DE67F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DE67F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DE67F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D94CDC"/>
    <w:p w:rsidR="002B3B43" w:rsidRDefault="002B3B43" w:rsidP="00D94CDC"/>
    <w:p w:rsidR="00BB513B" w:rsidRDefault="00BB513B" w:rsidP="00D94CDC"/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DE67F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307.42</w:t>
            </w:r>
          </w:p>
        </w:tc>
      </w:tr>
      <w:tr w:rsidR="00DE67F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307.14</w:t>
            </w:r>
          </w:p>
        </w:tc>
      </w:tr>
      <w:tr w:rsidR="00DE67F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306.4</w:t>
            </w:r>
          </w:p>
        </w:tc>
      </w:tr>
      <w:tr w:rsidR="00DE67F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317.96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312.2</w:t>
            </w:r>
          </w:p>
        </w:tc>
      </w:tr>
      <w:tr w:rsidR="00DE67F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307.58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DE67F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333.54 </w:t>
            </w:r>
          </w:p>
        </w:tc>
      </w:tr>
      <w:tr w:rsidR="00DE67F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332.77 </w:t>
            </w:r>
          </w:p>
        </w:tc>
      </w:tr>
      <w:tr w:rsidR="00DE67F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331.38 </w:t>
            </w:r>
          </w:p>
        </w:tc>
      </w:tr>
      <w:tr w:rsidR="00DE67F7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337.74 </w:t>
            </w:r>
          </w:p>
        </w:tc>
      </w:tr>
      <w:tr w:rsidR="00DE67F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332.91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DE67F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300.25 </w:t>
            </w:r>
          </w:p>
        </w:tc>
      </w:tr>
      <w:tr w:rsidR="00DE67F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297.50 </w:t>
            </w:r>
          </w:p>
        </w:tc>
      </w:tr>
      <w:tr w:rsidR="00DE67F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DE67F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DE67F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F7" w:rsidRDefault="00DE67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E47733" w:rsidRDefault="002B3B43" w:rsidP="00E47733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5F0EC6">
        <w:rPr>
          <w:sz w:val="21"/>
          <w:szCs w:val="21"/>
        </w:rPr>
        <w:t xml:space="preserve">　</w:t>
      </w:r>
      <w:r w:rsidR="00E47733">
        <w:rPr>
          <w:sz w:val="21"/>
          <w:szCs w:val="21"/>
        </w:rPr>
        <w:t>周二(2月21日)，供需未有好转，商家继续守稳。</w:t>
      </w:r>
    </w:p>
    <w:p w:rsidR="00E47733" w:rsidRDefault="00E47733" w:rsidP="00E477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一国际原油期货市场价格走势基本稳定，不过美元再度反弹限制了油价进一步上涨的空间。但供应过剩问题依然打压油市，周二国内市场华南船用油市场(以广州、深圳、海口和福建为基准)国产混调180CST库提估价为3500-3660元/吨(详见船用油日评)。</w:t>
      </w:r>
    </w:p>
    <w:p w:rsidR="00E47733" w:rsidRDefault="00E47733" w:rsidP="00E477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华南地区燃料油商家报价继续守稳，国产油浆市场估价2200-2300元/吨，沥青料市场估价2450-2550元/吨，均较之前持平。区内油浆、沥青料市场终端需求仍旧平稳，业者待市情绪一般，商家报价继续持稳，预计短期内燃料油价格将稳中调整。</w:t>
      </w:r>
    </w:p>
    <w:p w:rsidR="00E47733" w:rsidRDefault="00E47733" w:rsidP="00E477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南非标油商家报价守稳，下游接货热情平平，商家备货积极性不高。区内主营单位国标柴油市场商家报价零星报跌，市场走势偏弱，虽上周五原油价格窄幅回涨，但区内非标油市场需求依旧偏弱，业者待市情绪不高，市场走势趋稳。</w:t>
      </w:r>
    </w:p>
    <w:p w:rsidR="002B3B43" w:rsidRPr="00E47733" w:rsidRDefault="002B3B43" w:rsidP="00E47733">
      <w:pPr>
        <w:pStyle w:val="a8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lastRenderedPageBreak/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C611CA" w:rsidRDefault="004D1146" w:rsidP="00C611C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794C5A">
        <w:rPr>
          <w:sz w:val="21"/>
          <w:szCs w:val="21"/>
        </w:rPr>
        <w:t xml:space="preserve">　</w:t>
      </w:r>
      <w:r w:rsidR="00C611CA">
        <w:rPr>
          <w:sz w:val="21"/>
          <w:szCs w:val="21"/>
        </w:rPr>
        <w:t>周二(2月21日)，国际原油震荡，短期走势期待。</w:t>
      </w:r>
    </w:p>
    <w:p w:rsidR="00C611CA" w:rsidRDefault="00C611CA" w:rsidP="00C611C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外盘WTI原油于近日一直在高位盘整，油价也应声上涨，不过美元再度反弹限制了油价进一步上涨的空间。美国WTI原油4月期货盘中最高触及54.99美元/桶，收涨0.66美元，或1.24%，报54.06美元/桶。</w:t>
      </w:r>
    </w:p>
    <w:p w:rsidR="00C611CA" w:rsidRDefault="00C611CA" w:rsidP="00C611C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油浆市场，华东油浆(密度1.1左右)的主流成交价在2310-2410元/吨，价格较之前持平。国际原油震荡小涨，区内市场运行平稳，按需备货仍是主旋律，但随着环保检查来袭，近期走势值得期待。</w:t>
      </w:r>
    </w:p>
    <w:p w:rsidR="00C611CA" w:rsidRDefault="00C611CA" w:rsidP="00C611C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3490-3590元/吨;宁波市场，低金属船用180CST(密度0.98左右，硫含量1.0以内)自提成交估价在3510-3580元/吨;南通市场，低金属船用180CST(密度0.98左右，硫含量1.0以内)自提成交估价在3490-3580元/吨，均较昨日持平。</w:t>
      </w:r>
    </w:p>
    <w:p w:rsidR="00C611CA" w:rsidRDefault="00C611CA" w:rsidP="00C611C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。</w:t>
      </w:r>
    </w:p>
    <w:p w:rsidR="002B3B43" w:rsidRPr="008F1115" w:rsidRDefault="002B3B43" w:rsidP="00C611CA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CC3176" w:rsidRDefault="00AB0126" w:rsidP="00CC31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9C331F">
        <w:rPr>
          <w:sz w:val="21"/>
          <w:szCs w:val="21"/>
        </w:rPr>
        <w:t xml:space="preserve">　</w:t>
      </w:r>
      <w:r w:rsidR="00CC3176">
        <w:rPr>
          <w:sz w:val="21"/>
          <w:szCs w:val="21"/>
        </w:rPr>
        <w:t>周二(2月20日)，油浆价格持续走高，短期高位坚挺。</w:t>
      </w:r>
    </w:p>
    <w:p w:rsidR="00CC3176" w:rsidRDefault="00CC3176" w:rsidP="00CC31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燃料油市场油价也应声上涨，不过美元再度反弹限制了油价进一步上涨的空间。美国WTI原油4月期货盘中最高触及54.99美元/桶，收涨0.66美元，或1.24%，报54.06美元/桶。布伦特原油4月期货盘中最高触及57.31美元/桶，收涨0.48美元，或0.85%，报56.66美元/桶。</w:t>
      </w:r>
    </w:p>
    <w:p w:rsidR="00CC3176" w:rsidRDefault="00CC3176" w:rsidP="00CC31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山东地区高密油浆市场成交估价2450-2550元/吨，低密油浆成交估价2550-2650元/吨，均较之前上涨50元。山东地炼炼厂油浆报价继续走高，市场成交已经上涨至高位，整体购销放缓，但下游需求犹在，预计未来短期内山东地炼油浆价格将维持高位。</w:t>
      </w:r>
    </w:p>
    <w:p w:rsidR="002B3B43" w:rsidRPr="00CC3176" w:rsidRDefault="002B3B43" w:rsidP="00CC3176">
      <w:pPr>
        <w:pStyle w:val="a8"/>
        <w:rPr>
          <w:sz w:val="21"/>
          <w:szCs w:val="21"/>
        </w:rPr>
      </w:pPr>
    </w:p>
    <w:p w:rsidR="002B3B43" w:rsidRDefault="002B3B43" w:rsidP="00EC6495">
      <w:pPr>
        <w:pStyle w:val="a8"/>
        <w:rPr>
          <w:rFonts w:hint="eastAsia"/>
          <w:sz w:val="21"/>
          <w:szCs w:val="21"/>
        </w:rPr>
      </w:pPr>
    </w:p>
    <w:p w:rsidR="00A30DD5" w:rsidRDefault="00A30DD5" w:rsidP="00EC6495">
      <w:pPr>
        <w:pStyle w:val="a8"/>
        <w:rPr>
          <w:rFonts w:hint="eastAsia"/>
          <w:sz w:val="21"/>
          <w:szCs w:val="21"/>
        </w:rPr>
      </w:pPr>
    </w:p>
    <w:p w:rsidR="00A30DD5" w:rsidRDefault="00A30DD5" w:rsidP="00EC6495">
      <w:pPr>
        <w:pStyle w:val="a8"/>
        <w:rPr>
          <w:rFonts w:hint="eastAsia"/>
          <w:sz w:val="21"/>
          <w:szCs w:val="21"/>
        </w:rPr>
      </w:pPr>
    </w:p>
    <w:p w:rsidR="00A30DD5" w:rsidRDefault="00A30DD5" w:rsidP="00EC6495">
      <w:pPr>
        <w:pStyle w:val="a8"/>
        <w:rPr>
          <w:rFonts w:hint="eastAsia"/>
          <w:sz w:val="21"/>
          <w:szCs w:val="21"/>
        </w:rPr>
      </w:pPr>
    </w:p>
    <w:p w:rsidR="00A30DD5" w:rsidRPr="00EC6495" w:rsidRDefault="00A30DD5" w:rsidP="00EC6495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lastRenderedPageBreak/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092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9E20E9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0929D8"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092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0929D8">
              <w:rPr>
                <w:rFonts w:hint="eastAsia"/>
                <w:b/>
                <w:bCs/>
                <w:sz w:val="20"/>
                <w:szCs w:val="20"/>
              </w:rPr>
              <w:t>20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301220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01D4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01D4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21F8" w:rsidRPr="004421F8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F8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1F8" w:rsidRPr="004421F8" w:rsidRDefault="004421F8">
            <w:pPr>
              <w:jc w:val="right"/>
              <w:rPr>
                <w:sz w:val="20"/>
                <w:szCs w:val="20"/>
              </w:rPr>
            </w:pPr>
            <w:r w:rsidRPr="004421F8">
              <w:rPr>
                <w:sz w:val="20"/>
                <w:szCs w:val="20"/>
              </w:rPr>
              <w:t>336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1F8" w:rsidRPr="004421F8" w:rsidRDefault="004421F8" w:rsidP="00951F7C">
            <w:pPr>
              <w:jc w:val="right"/>
              <w:rPr>
                <w:sz w:val="20"/>
                <w:szCs w:val="20"/>
              </w:rPr>
            </w:pPr>
            <w:r w:rsidRPr="004421F8">
              <w:rPr>
                <w:sz w:val="20"/>
                <w:szCs w:val="20"/>
              </w:rPr>
              <w:t>336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B61890" w:rsidRDefault="004421F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4421F8" w:rsidRPr="004421F8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F8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1F8" w:rsidRPr="004421F8" w:rsidRDefault="004421F8">
            <w:pPr>
              <w:jc w:val="right"/>
              <w:rPr>
                <w:sz w:val="20"/>
                <w:szCs w:val="20"/>
              </w:rPr>
            </w:pPr>
            <w:r w:rsidRPr="004421F8">
              <w:rPr>
                <w:sz w:val="20"/>
                <w:szCs w:val="20"/>
              </w:rPr>
              <w:t>329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1F8" w:rsidRPr="004421F8" w:rsidRDefault="004421F8" w:rsidP="00951F7C">
            <w:pPr>
              <w:jc w:val="right"/>
              <w:rPr>
                <w:sz w:val="20"/>
                <w:szCs w:val="20"/>
              </w:rPr>
            </w:pPr>
            <w:r w:rsidRPr="004421F8">
              <w:rPr>
                <w:sz w:val="20"/>
                <w:szCs w:val="20"/>
              </w:rPr>
              <w:t>329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B61890" w:rsidRDefault="004421F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01D4" w:rsidRPr="004421F8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4421F8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4421F8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21F8" w:rsidRPr="004421F8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F8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F8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F8" w:rsidRPr="004421F8" w:rsidRDefault="004421F8" w:rsidP="00951F7C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B61890" w:rsidRDefault="004421F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4421F8" w:rsidRPr="004421F8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49784E" w:rsidRDefault="004421F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F8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2410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4421F8" w:rsidRDefault="004421F8" w:rsidP="00951F7C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F8" w:rsidRPr="00B61890" w:rsidRDefault="004421F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4421F8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01220" w:rsidRPr="004421F8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B61890" w:rsidRDefault="0030122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3C6BDA">
              <w:rPr>
                <w:sz w:val="20"/>
                <w:szCs w:val="20"/>
              </w:rPr>
              <w:t>3月上中旬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A75A4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A4" w:rsidRPr="0049784E" w:rsidRDefault="000A75A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Pr="0049784E" w:rsidRDefault="000A75A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A4" w:rsidRDefault="000A75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Default="000A75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Default="000A75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Pr="004421F8" w:rsidRDefault="000A75A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E20E9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421F8" w:rsidRDefault="009E20E9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421F8" w:rsidRDefault="009E20E9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E20E9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Pr="004421F8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421F8" w:rsidRDefault="009E20E9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4421F8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421F8" w:rsidRDefault="009E20E9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lastRenderedPageBreak/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0929D8" w:rsidP="00A52D3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3943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A52D3E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929D8">
              <w:rPr>
                <w:rFonts w:hint="eastAsia"/>
                <w:sz w:val="20"/>
                <w:szCs w:val="20"/>
              </w:rPr>
              <w:t>808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A52D3E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929D8">
              <w:rPr>
                <w:rFonts w:hint="eastAsia"/>
                <w:sz w:val="20"/>
                <w:szCs w:val="20"/>
              </w:rPr>
              <w:t>877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A52D3E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929D8">
              <w:rPr>
                <w:rFonts w:hint="eastAsia"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</w:tcPr>
          <w:p w:rsidR="002B3B43" w:rsidRPr="00E60724" w:rsidRDefault="00A52D3E" w:rsidP="00092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929D8">
              <w:rPr>
                <w:rFonts w:hint="eastAsia"/>
                <w:sz w:val="20"/>
                <w:szCs w:val="20"/>
              </w:rPr>
              <w:t>839</w:t>
            </w:r>
          </w:p>
        </w:tc>
        <w:tc>
          <w:tcPr>
            <w:tcW w:w="708" w:type="dxa"/>
            <w:noWrap/>
          </w:tcPr>
          <w:p w:rsidR="002B3B43" w:rsidRPr="00E60724" w:rsidRDefault="00A52D3E" w:rsidP="000929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929D8">
              <w:rPr>
                <w:rFonts w:hint="eastAsia"/>
                <w:sz w:val="20"/>
                <w:szCs w:val="20"/>
              </w:rPr>
              <w:t>839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80218C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 w:rsidR="000929D8"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0929D8" w:rsidP="00DB5F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3A7DA1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0929D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A52D3E" w:rsidP="000929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0929D8">
              <w:rPr>
                <w:rFonts w:hint="eastAsia"/>
                <w:sz w:val="20"/>
                <w:szCs w:val="20"/>
              </w:rPr>
              <w:t>1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0929D8">
        <w:rPr>
          <w:rFonts w:hint="eastAsia"/>
          <w:sz w:val="21"/>
          <w:szCs w:val="21"/>
        </w:rPr>
        <w:t>二</w:t>
      </w:r>
      <w:r w:rsidR="00DA1D1A">
        <w:rPr>
          <w:sz w:val="21"/>
          <w:szCs w:val="21"/>
        </w:rPr>
        <w:t>上期所燃料油期货市场共成交</w:t>
      </w:r>
      <w:r w:rsidR="000929D8">
        <w:rPr>
          <w:rFonts w:hint="eastAsia"/>
          <w:sz w:val="21"/>
          <w:szCs w:val="21"/>
        </w:rPr>
        <w:t>56</w:t>
      </w:r>
      <w:r w:rsidR="00DA1D1A">
        <w:rPr>
          <w:sz w:val="21"/>
          <w:szCs w:val="21"/>
        </w:rPr>
        <w:t>手，其中主力1704约成交</w:t>
      </w:r>
      <w:r w:rsidR="000929D8">
        <w:rPr>
          <w:rFonts w:hint="eastAsia"/>
          <w:sz w:val="21"/>
          <w:szCs w:val="21"/>
        </w:rPr>
        <w:t>56</w:t>
      </w:r>
      <w:r w:rsidR="00DA1D1A">
        <w:rPr>
          <w:sz w:val="21"/>
          <w:szCs w:val="21"/>
        </w:rPr>
        <w:t>手。主力合约收盘</w:t>
      </w:r>
      <w:r w:rsidR="00A52D3E">
        <w:rPr>
          <w:rFonts w:hint="eastAsia"/>
          <w:sz w:val="21"/>
          <w:szCs w:val="21"/>
        </w:rPr>
        <w:t>3</w:t>
      </w:r>
      <w:r w:rsidR="000929D8">
        <w:rPr>
          <w:rFonts w:hint="eastAsia"/>
          <w:sz w:val="21"/>
          <w:szCs w:val="21"/>
        </w:rPr>
        <w:t>839</w:t>
      </w:r>
      <w:r w:rsidR="00DA1D1A">
        <w:rPr>
          <w:sz w:val="21"/>
          <w:szCs w:val="21"/>
        </w:rPr>
        <w:t>吨，结算</w:t>
      </w:r>
      <w:r w:rsidR="00A52D3E">
        <w:rPr>
          <w:rFonts w:hint="eastAsia"/>
          <w:sz w:val="21"/>
          <w:szCs w:val="21"/>
        </w:rPr>
        <w:t>3</w:t>
      </w:r>
      <w:r w:rsidR="000929D8">
        <w:rPr>
          <w:rFonts w:hint="eastAsia"/>
          <w:sz w:val="21"/>
          <w:szCs w:val="21"/>
        </w:rPr>
        <w:t>839</w:t>
      </w:r>
      <w:r w:rsidR="00DA1D1A">
        <w:rPr>
          <w:sz w:val="21"/>
          <w:szCs w:val="21"/>
        </w:rPr>
        <w:t>吨，结算价较前一工作日</w:t>
      </w:r>
      <w:r w:rsidR="003A7DA1">
        <w:rPr>
          <w:rFonts w:hint="eastAsia"/>
          <w:sz w:val="21"/>
          <w:szCs w:val="21"/>
        </w:rPr>
        <w:t>下跌</w:t>
      </w:r>
      <w:r w:rsidR="000929D8">
        <w:rPr>
          <w:rFonts w:hint="eastAsia"/>
          <w:sz w:val="21"/>
          <w:szCs w:val="21"/>
        </w:rPr>
        <w:t>104</w:t>
      </w:r>
      <w:r w:rsidR="00DA1D1A">
        <w:rPr>
          <w:sz w:val="21"/>
          <w:szCs w:val="21"/>
        </w:rPr>
        <w:t>元/吨。</w:t>
      </w:r>
    </w:p>
    <w:p w:rsidR="002B3B43" w:rsidRPr="000929D8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A52D3E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4,200.00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1A3CC1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A52D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52D3E">
              <w:rPr>
                <w:rFonts w:hint="eastAsia"/>
                <w:b/>
                <w:bCs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A52D3E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lastRenderedPageBreak/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2B3B4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AD27F8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DCE" w:rsidRDefault="004B7DCE" w:rsidP="00162EC6">
      <w:pPr>
        <w:rPr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4A0"/>
      </w:tblPr>
      <w:tblGrid>
        <w:gridCol w:w="512"/>
        <w:gridCol w:w="1105"/>
        <w:gridCol w:w="1005"/>
        <w:gridCol w:w="1312"/>
        <w:gridCol w:w="1566"/>
        <w:gridCol w:w="1839"/>
        <w:gridCol w:w="1189"/>
      </w:tblGrid>
      <w:tr w:rsidR="00A035C5" w:rsidRPr="00A035C5" w:rsidTr="007E6B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ATROMMITOS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阿米斯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DUBAI GLAMO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LONDON SPIR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榆林湾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53,000.00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狮子座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大庆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CAP LARA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罗拉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ANTIGONE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安提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鑫通洲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274,000.00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Boyaca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博亚卡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永兴洲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天弘化学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星光勇士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SEBAROK SPI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FRONT ARIAKE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弗龙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90,000.0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ANAFI 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WARRI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lastRenderedPageBreak/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EL GURDABIA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戈比亚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SENTOSA RIV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2,195,000.00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B3B43" w:rsidRPr="00AA38D6" w:rsidRDefault="002B3B43"/>
    <w:sectPr w:rsidR="002B3B43" w:rsidRPr="00AA38D6" w:rsidSect="00967C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D6" w:rsidRDefault="002C06D6">
      <w:r>
        <w:separator/>
      </w:r>
    </w:p>
  </w:endnote>
  <w:endnote w:type="continuationSeparator" w:id="1">
    <w:p w:rsidR="002C06D6" w:rsidRDefault="002C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C6F2D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1C6F2D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A30DD5">
      <w:rPr>
        <w:rStyle w:val="a6"/>
        <w:rFonts w:cs="宋体"/>
        <w:noProof/>
        <w:sz w:val="21"/>
        <w:szCs w:val="21"/>
      </w:rPr>
      <w:t>7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D6" w:rsidRDefault="002C06D6">
      <w:r>
        <w:separator/>
      </w:r>
    </w:p>
  </w:footnote>
  <w:footnote w:type="continuationSeparator" w:id="1">
    <w:p w:rsidR="002C06D6" w:rsidRDefault="002C0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C6F2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1C6F2D" w:rsidP="00670367">
    <w:pPr>
      <w:pStyle w:val="a4"/>
      <w:jc w:val="both"/>
      <w:rPr>
        <w:b/>
        <w:color w:val="808080"/>
        <w:sz w:val="21"/>
        <w:szCs w:val="21"/>
      </w:rPr>
    </w:pPr>
    <w:r w:rsidRPr="001C6F2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C6F2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385"/>
    <w:rsid w:val="00B81586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wj@chinacc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20/defaul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D22B-30F1-42F3-8E38-F611704E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1026</Words>
  <Characters>5853</Characters>
  <Application>Microsoft Office Word</Application>
  <DocSecurity>0</DocSecurity>
  <Lines>48</Lines>
  <Paragraphs>13</Paragraphs>
  <ScaleCrop>false</ScaleCrop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345</cp:revision>
  <cp:lastPrinted>2012-08-08T01:39:00Z</cp:lastPrinted>
  <dcterms:created xsi:type="dcterms:W3CDTF">2017-02-04T00:57:00Z</dcterms:created>
  <dcterms:modified xsi:type="dcterms:W3CDTF">2017-02-22T04:19:00Z</dcterms:modified>
</cp:coreProperties>
</file>